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F2740" w14:textId="77777777" w:rsidR="00F6036E" w:rsidRDefault="00F6036E" w:rsidP="00F6036E"/>
    <w:p w14:paraId="7191BD5B" w14:textId="77777777" w:rsidR="00F6036E" w:rsidRDefault="00F6036E" w:rsidP="00F6036E"/>
    <w:p w14:paraId="7F1A369A" w14:textId="77777777" w:rsidR="00F6036E" w:rsidRDefault="00F6036E" w:rsidP="00F6036E"/>
    <w:p w14:paraId="2BADBD8A" w14:textId="77777777" w:rsidR="00F6036E" w:rsidRDefault="00F6036E" w:rsidP="00F6036E"/>
    <w:p w14:paraId="434D19E5" w14:textId="77777777" w:rsidR="00F6036E" w:rsidRDefault="00F6036E" w:rsidP="00F6036E"/>
    <w:p w14:paraId="7FE739F5" w14:textId="77777777" w:rsidR="00F6036E" w:rsidRDefault="00F6036E" w:rsidP="00F6036E"/>
    <w:p w14:paraId="64A76F0D" w14:textId="77777777" w:rsidR="00F6036E" w:rsidRDefault="00F6036E" w:rsidP="00F6036E"/>
    <w:p w14:paraId="065C3A17" w14:textId="77777777" w:rsidR="00F6036E" w:rsidRDefault="00F6036E" w:rsidP="00F6036E"/>
    <w:p w14:paraId="1B2D3B35" w14:textId="77777777" w:rsidR="00F6036E" w:rsidRDefault="00F6036E" w:rsidP="00F6036E"/>
    <w:p w14:paraId="3145123B" w14:textId="77777777" w:rsidR="00F6036E" w:rsidRDefault="00F6036E" w:rsidP="00F6036E"/>
    <w:p w14:paraId="41D94131" w14:textId="77777777" w:rsidR="00F6036E" w:rsidRDefault="00F6036E" w:rsidP="00F6036E"/>
    <w:p w14:paraId="46A6D3E2" w14:textId="77777777" w:rsidR="00F6036E" w:rsidRDefault="00F6036E" w:rsidP="00F6036E"/>
    <w:p w14:paraId="091B7233" w14:textId="77777777" w:rsidR="00F6036E" w:rsidRDefault="00F6036E" w:rsidP="00F6036E"/>
    <w:p w14:paraId="7CF8D3FC" w14:textId="77777777" w:rsidR="00F6036E" w:rsidRDefault="00F6036E" w:rsidP="00F6036E">
      <w:r>
        <w:rPr>
          <w:noProof/>
          <w:lang w:val="en-US"/>
        </w:rPr>
        <mc:AlternateContent>
          <mc:Choice Requires="wps">
            <w:drawing>
              <wp:anchor distT="0" distB="0" distL="114300" distR="114300" simplePos="0" relativeHeight="251662336" behindDoc="1" locked="1" layoutInCell="0" allowOverlap="1" wp14:anchorId="3214033B" wp14:editId="44CCB4F1">
                <wp:simplePos x="0" y="0"/>
                <wp:positionH relativeFrom="page">
                  <wp:posOffset>276225</wp:posOffset>
                </wp:positionH>
                <wp:positionV relativeFrom="page">
                  <wp:posOffset>5381625</wp:posOffset>
                </wp:positionV>
                <wp:extent cx="7219950" cy="3171825"/>
                <wp:effectExtent l="0" t="0" r="0" b="9525"/>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3171825"/>
                        </a:xfrm>
                        <a:prstGeom prst="rect">
                          <a:avLst/>
                        </a:prstGeom>
                        <a:solidFill>
                          <a:schemeClr val="bg1">
                            <a:lumMod val="50000"/>
                          </a:schemeClr>
                        </a:solidFill>
                        <a:ln>
                          <a:noFill/>
                        </a:ln>
                        <a:effectLst/>
                        <a:extLst/>
                      </wps:spPr>
                      <wps:txbx>
                        <w:txbxContent>
                          <w:p w14:paraId="05ADCD84" w14:textId="77777777" w:rsidR="00AE586A" w:rsidRDefault="00AE586A" w:rsidP="00F6036E">
                            <w:pPr>
                              <w:contextualSpacing/>
                              <w:rPr>
                                <w:rFonts w:cstheme="minorHAnsi"/>
                                <w:color w:val="FFFFFF" w:themeColor="background1"/>
                              </w:rPr>
                            </w:pPr>
                          </w:p>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left:0;text-align:left;margin-left:21.75pt;margin-top:423.75pt;width:568.5pt;height:249.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" o:allowincell="f" fillcolor="#7f7f7f [1612]" stroked="f">
                <v:textbox inset="18pt,18pt,1in,18pt">
                  <w:txbxContent>
                    <w:p w14:paraId="05ADCD84" w14:textId="77777777" w:rsidR="007F7AB4" w:rsidRDefault="007F7AB4" w:rsidP="00F6036E">
                      <w:pPr>
                        <w:contextualSpacing/>
                        <w:rPr>
                          <w:rFonts w:cstheme="minorHAnsi"/>
                          <w:color w:val="FFFFFF" w:themeColor="background1"/>
                        </w:rPr>
                      </w:pPr>
                    </w:p>
                  </w:txbxContent>
                </v:textbox>
                <w10:wrap anchorx="page" anchory="page"/>
                <w10:anchorlock/>
              </v:rect>
            </w:pict>
          </mc:Fallback>
        </mc:AlternateContent>
      </w:r>
    </w:p>
    <w:p w14:paraId="70E952FF" w14:textId="77777777" w:rsidR="00F6036E" w:rsidRDefault="00F6036E" w:rsidP="00F6036E"/>
    <w:p w14:paraId="4221E291" w14:textId="77777777" w:rsidR="00F6036E" w:rsidRDefault="00F6036E" w:rsidP="00F6036E"/>
    <w:p w14:paraId="28FDBE1A" w14:textId="77777777" w:rsidR="00F6036E" w:rsidRDefault="00F6036E" w:rsidP="00F6036E"/>
    <w:p w14:paraId="2972B4BA" w14:textId="77777777" w:rsidR="00F6036E" w:rsidRDefault="00F6036E" w:rsidP="00F6036E"/>
    <w:p w14:paraId="308C0FC6" w14:textId="77777777" w:rsidR="00F6036E" w:rsidRDefault="00F6036E" w:rsidP="00E00099">
      <w:pPr>
        <w:pStyle w:val="Subtitle"/>
        <w:spacing w:before="720"/>
        <w:ind w:right="-1196"/>
        <w:rPr>
          <w:color w:val="FFFFFF" w:themeColor="background1"/>
          <w:sz w:val="36"/>
          <w:szCs w:val="36"/>
          <w:lang w:val="en-AU"/>
        </w:rPr>
      </w:pPr>
      <w:r w:rsidRPr="00B83873">
        <w:rPr>
          <w:color w:val="FFFFFF" w:themeColor="background1"/>
          <w:sz w:val="36"/>
          <w:szCs w:val="36"/>
        </w:rPr>
        <w:t>Prepared for the Department of Sustainability, Environment, Water, Population and Communities</w:t>
      </w:r>
      <w:r w:rsidRPr="00B83873">
        <w:rPr>
          <w:color w:val="FFFFFF" w:themeColor="background1"/>
          <w:sz w:val="36"/>
          <w:szCs w:val="36"/>
          <w:lang w:val="en-AU"/>
        </w:rPr>
        <w:t xml:space="preserve"> </w:t>
      </w:r>
    </w:p>
    <w:p w14:paraId="0845EE5B" w14:textId="77777777" w:rsidR="00E00099" w:rsidRPr="00E00099" w:rsidRDefault="00E00099" w:rsidP="00E00099">
      <w:pPr>
        <w:pStyle w:val="Subtitle"/>
        <w:spacing w:before="480"/>
        <w:ind w:right="-1196"/>
        <w:rPr>
          <w:color w:val="FFFFFF" w:themeColor="background1"/>
          <w:sz w:val="36"/>
          <w:szCs w:val="36"/>
        </w:rPr>
      </w:pPr>
      <w:r w:rsidRPr="00E00099">
        <w:rPr>
          <w:color w:val="FFFFFF" w:themeColor="background1"/>
          <w:sz w:val="36"/>
          <w:szCs w:val="36"/>
        </w:rPr>
        <w:t xml:space="preserve">A study of the refrigeration and air conditioning </w:t>
      </w:r>
      <w:r>
        <w:rPr>
          <w:color w:val="FFFFFF" w:themeColor="background1"/>
          <w:sz w:val="36"/>
          <w:szCs w:val="36"/>
        </w:rPr>
        <w:t xml:space="preserve">            </w:t>
      </w:r>
      <w:r w:rsidRPr="00E00099">
        <w:rPr>
          <w:color w:val="FFFFFF" w:themeColor="background1"/>
          <w:sz w:val="36"/>
          <w:szCs w:val="36"/>
        </w:rPr>
        <w:t>industry in Australia</w:t>
      </w:r>
    </w:p>
    <w:p w14:paraId="7DD5E136" w14:textId="65F774F1" w:rsidR="00E00099" w:rsidRDefault="00482A8A" w:rsidP="00E00099">
      <w:pPr>
        <w:pStyle w:val="Date"/>
        <w:ind w:right="-1198"/>
      </w:pPr>
      <w:r>
        <w:rPr>
          <w:color w:val="FFFFFF" w:themeColor="background1"/>
          <w:sz w:val="36"/>
          <w:szCs w:val="36"/>
        </w:rPr>
        <w:t>Ju</w:t>
      </w:r>
      <w:r w:rsidR="003B74AD">
        <w:rPr>
          <w:color w:val="FFFFFF" w:themeColor="background1"/>
          <w:sz w:val="36"/>
          <w:szCs w:val="36"/>
        </w:rPr>
        <w:t>ly</w:t>
      </w:r>
      <w:r w:rsidR="00F6036E" w:rsidRPr="00B83873">
        <w:rPr>
          <w:color w:val="FFFFFF" w:themeColor="background1"/>
          <w:sz w:val="36"/>
          <w:szCs w:val="36"/>
        </w:rPr>
        <w:t xml:space="preserve"> 201</w:t>
      </w:r>
      <w:r w:rsidR="00E00099">
        <w:rPr>
          <w:color w:val="FFFFFF" w:themeColor="background1"/>
          <w:sz w:val="36"/>
          <w:szCs w:val="36"/>
        </w:rPr>
        <w:t>3</w:t>
      </w:r>
    </w:p>
    <w:p w14:paraId="112DD1C0" w14:textId="77777777" w:rsidR="00E00099" w:rsidRPr="00E00099" w:rsidRDefault="00E00099" w:rsidP="00E00099"/>
    <w:p w14:paraId="25D4736A" w14:textId="77777777" w:rsidR="00F6036E" w:rsidRDefault="00F6036E" w:rsidP="00F6036E"/>
    <w:p w14:paraId="625C79FB" w14:textId="77777777" w:rsidR="00F6036E" w:rsidRDefault="00F6036E" w:rsidP="00F6036E"/>
    <w:p w14:paraId="10C06F2C" w14:textId="77777777" w:rsidR="00F6036E" w:rsidRDefault="00F6036E" w:rsidP="00F6036E">
      <w:r>
        <w:t xml:space="preserve"> </w:t>
      </w:r>
    </w:p>
    <w:p w14:paraId="4175AE6C" w14:textId="77777777" w:rsidR="00F6036E" w:rsidRDefault="00E00099" w:rsidP="00A76A76">
      <w:pPr>
        <w:ind w:right="-1198"/>
        <w:jc w:val="right"/>
      </w:pPr>
      <w:r w:rsidRPr="00E00099">
        <w:rPr>
          <w:rFonts w:asciiTheme="minorHAnsi" w:hAnsiTheme="minorHAnsi"/>
          <w:noProof/>
          <w:sz w:val="24"/>
          <w:lang w:val="en-US"/>
        </w:rPr>
        <mc:AlternateContent>
          <mc:Choice Requires="wpg">
            <w:drawing>
              <wp:inline distT="0" distB="0" distL="0" distR="0" wp14:anchorId="7C465877" wp14:editId="31BCC20B">
                <wp:extent cx="3535337" cy="669814"/>
                <wp:effectExtent l="0" t="0" r="0" b="0"/>
                <wp:docPr id="2" name="Group 1"/>
                <wp:cNvGraphicFramePr/>
                <a:graphic xmlns:a="http://schemas.openxmlformats.org/drawingml/2006/main">
                  <a:graphicData uri="http://schemas.microsoft.com/office/word/2010/wordprocessingGroup">
                    <wpg:wgp>
                      <wpg:cNvGrpSpPr/>
                      <wpg:grpSpPr>
                        <a:xfrm>
                          <a:off x="0" y="0"/>
                          <a:ext cx="3535337" cy="669814"/>
                          <a:chOff x="0" y="0"/>
                          <a:chExt cx="3535337" cy="669814"/>
                        </a:xfrm>
                      </wpg:grpSpPr>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3429000" cy="586105"/>
                          </a:xfrm>
                          <a:prstGeom prst="rect">
                            <a:avLst/>
                          </a:prstGeom>
                        </pic:spPr>
                      </pic:pic>
                      <wps:wsp>
                        <wps:cNvPr id="4" name="Text Box 4"/>
                        <wps:cNvSpPr txBox="1"/>
                        <wps:spPr>
                          <a:xfrm>
                            <a:off x="588937" y="388509"/>
                            <a:ext cx="2946400" cy="281305"/>
                          </a:xfrm>
                          <a:prstGeom prst="rect">
                            <a:avLst/>
                          </a:prstGeom>
                          <a:noFill/>
                        </wps:spPr>
                        <wps:txbx>
                          <w:txbxContent>
                            <w:p w14:paraId="3DDFB87F" w14:textId="77777777" w:rsidR="00AE586A" w:rsidRDefault="00AE586A" w:rsidP="00E00099">
                              <w:pPr>
                                <w:pStyle w:val="NormalWeb"/>
                                <w:spacing w:before="0" w:beforeAutospacing="0" w:after="0" w:afterAutospacing="0"/>
                              </w:pPr>
                              <w:r>
                                <w:rPr>
                                  <w:color w:val="17365D" w:themeColor="text2" w:themeShade="BF"/>
                                  <w:kern w:val="24"/>
                                  <w:sz w:val="26"/>
                                  <w:szCs w:val="26"/>
                                </w:rPr>
                                <w:t>In association with Thinkwell Australia</w:t>
                              </w:r>
                            </w:p>
                          </w:txbxContent>
                        </wps:txbx>
                        <wps:bodyPr wrap="square" rtlCol="0">
                          <a:spAutoFit/>
                        </wps:bodyPr>
                      </wps:wsp>
                    </wpg:wgp>
                  </a:graphicData>
                </a:graphic>
              </wp:inline>
            </w:drawing>
          </mc:Choice>
          <mc:Fallback>
            <w:pict>
              <v:group id="Group 1" o:spid="_x0000_s1027" style="width:278.35pt;height:52.75pt;mso-position-horizontal-relative:char;mso-position-vertical-relative:line" coordsize="3535337,669814"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T/7GHiHw14K+&#10;GmoXevazpNjf3t4fOW4uo4nCIoCDDEHGS5B/2jXzBRX0PDHEEuGccsdCkpySaSelr6X08tPmeHxF&#10;kkeIcG8HOo4RbTbXW2tvv1+QUUUV9afGT9s3SPC1nJafDN4tY1NxtE4BNtB7548w+w49T2r5Z8Re&#10;I77xbrM+oeJbqW8vblt8kshyWP8AIAdABwBwKo0VvxLxdmHFNRSxcrQW0FpFefm/N/Ky0MOH+F8D&#10;w3TccNG8nvJ6yf8AkvJfO7Ciiiiiiivlz6M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3429000;height:5861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VD&#10;9Z/CAAAA2gAAAA8AAABkcnMvZG93bnJldi54bWxEj0FrwkAUhO+F/oflFbyUulFRJHWVIgjqRUy0&#10;50f2NRuafRuyaxL/vSsUehxm5htmtRlsLTpqfeVYwWScgCAunK64VHDJdx9LED4ga6wdk4I7edis&#10;X19WmGrX85m6LJQiQtinqMCE0KRS+sKQRT92DXH0flxrMUTZllK32Ee4reU0SRbSYsVxwWBDW0PF&#10;b3azCorsetkfvs99wkc5n7+fpMknnVKjt+HrE0SgIfyH/9p7rWAGzyvxBsj1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FQ/WfwgAAANoAAAAPAAAAAAAAAAAAAAAAAJwCAABk&#10;cnMvZG93bnJldi54bWxQSwUGAAAAAAQABAD3AAAAiwMAAAAA&#10;">
                  <v:imagedata r:id="rId10" o:title=""/>
                </v:shape>
                <v:shapetype id="_x0000_t202" coordsize="21600,21600" o:spt="202" path="m0,0l0,21600,21600,21600,21600,0xe">
                  <v:stroke joinstyle="miter"/>
                  <v:path gradientshapeok="t" o:connecttype="rect"/>
                </v:shapetype>
                <v:shape id="Text Box 4" o:spid="_x0000_s1029" type="#_x0000_t202" style="position:absolute;left:588937;top:388509;width:2946400;height:28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C44UwQAA&#10;ANoAAAAPAAAAZHJzL2Rvd25yZXYueG1sRI9Pa8JAFMTvBb/D8gRvdWOx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AuOFMEAAADaAAAADwAAAAAAAAAAAAAAAACXAgAAZHJzL2Rvd25y&#10;ZXYueG1sUEsFBgAAAAAEAAQA9QAAAIUDAAAAAA==&#10;" filled="f" stroked="f">
                  <v:textbox style="mso-fit-shape-to-text:t">
                    <w:txbxContent>
                      <w:p w14:paraId="3DDFB87F" w14:textId="77777777" w:rsidR="007F7AB4" w:rsidRDefault="007F7AB4" w:rsidP="00E00099">
                        <w:pPr>
                          <w:pStyle w:val="NormalWeb"/>
                          <w:spacing w:before="0" w:beforeAutospacing="0" w:after="0" w:afterAutospacing="0"/>
                        </w:pPr>
                        <w:r>
                          <w:rPr>
                            <w:color w:val="17365D" w:themeColor="text2" w:themeShade="BF"/>
                            <w:kern w:val="24"/>
                            <w:sz w:val="26"/>
                            <w:szCs w:val="26"/>
                          </w:rPr>
                          <w:t>In association with Thinkwell Australia</w:t>
                        </w:r>
                      </w:p>
                    </w:txbxContent>
                  </v:textbox>
                </v:shape>
                <w10:anchorlock/>
              </v:group>
            </w:pict>
          </mc:Fallback>
        </mc:AlternateContent>
      </w:r>
      <w:r w:rsidR="00F6036E">
        <w:rPr>
          <w:noProof/>
          <w:lang w:val="en-US"/>
        </w:rPr>
        <mc:AlternateContent>
          <mc:Choice Requires="wps">
            <w:drawing>
              <wp:anchor distT="0" distB="0" distL="114300" distR="114300" simplePos="0" relativeHeight="251661312" behindDoc="0" locked="1" layoutInCell="0" allowOverlap="1" wp14:anchorId="316D00BB" wp14:editId="3DC1CC84">
                <wp:simplePos x="0" y="0"/>
                <wp:positionH relativeFrom="page">
                  <wp:posOffset>276225</wp:posOffset>
                </wp:positionH>
                <wp:positionV relativeFrom="page">
                  <wp:posOffset>2514600</wp:posOffset>
                </wp:positionV>
                <wp:extent cx="7219950" cy="855980"/>
                <wp:effectExtent l="0" t="0" r="0" b="7620"/>
                <wp:wrapNone/>
                <wp:docPr id="3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5980"/>
                        </a:xfrm>
                        <a:prstGeom prst="rect">
                          <a:avLst/>
                        </a:prstGeom>
                        <a:solidFill>
                          <a:srgbClr val="000000">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ajorEastAsia" w:hAnsiTheme="minorHAnsi" w:cstheme="minorHAnsi"/>
                                <w:color w:val="FFFFFF" w:themeColor="background1"/>
                                <w:sz w:val="72"/>
                                <w:szCs w:val="52"/>
                              </w:rPr>
                              <w:alias w:val="Title"/>
                              <w:id w:val="1479573923"/>
                              <w:dataBinding w:prefixMappings="xmlns:ns0='http://schemas.openxmlformats.org/package/2006/metadata/core-properties' xmlns:ns1='http://purl.org/dc/elements/1.1/'" w:xpath="/ns0:coreProperties[1]/ns1:title[1]" w:storeItemID="{6C3C8BC8-F283-45AE-878A-BAB7291924A1}"/>
                              <w:text/>
                            </w:sdtPr>
                            <w:sdtEndPr/>
                            <w:sdtContent>
                              <w:p w14:paraId="00799775" w14:textId="77777777" w:rsidR="00AE586A" w:rsidRDefault="00AE586A" w:rsidP="00F6036E">
                                <w:pPr>
                                  <w:pStyle w:val="NoSpacing"/>
                                  <w:snapToGrid w:val="0"/>
                                  <w:spacing w:before="120" w:after="240"/>
                                  <w:rPr>
                                    <w:rFonts w:asciiTheme="minorHAnsi" w:eastAsiaTheme="majorEastAsia" w:hAnsiTheme="minorHAnsi" w:cstheme="minorHAnsi"/>
                                    <w:color w:val="FFFFFF" w:themeColor="background1"/>
                                    <w:sz w:val="72"/>
                                    <w:szCs w:val="52"/>
                                  </w:rPr>
                                </w:pPr>
                                <w:r>
                                  <w:rPr>
                                    <w:rFonts w:asciiTheme="minorHAnsi" w:eastAsiaTheme="majorEastAsia" w:hAnsiTheme="minorHAnsi" w:cstheme="minorHAnsi"/>
                                    <w:color w:val="FFFFFF" w:themeColor="background1"/>
                                    <w:sz w:val="72"/>
                                    <w:szCs w:val="52"/>
                                  </w:rPr>
                                  <w:t>Cold Hard Facts 2</w:t>
                                </w:r>
                              </w:p>
                            </w:sdtContent>
                          </w:sdt>
                        </w:txbxContent>
                      </wps:txbx>
                      <wps:bodyPr rot="0" vert="horz" wrap="square" lIns="228600" tIns="45720" rIns="914400" bIns="45720" anchor="b" anchorCtr="0" upright="1">
                        <a:spAutoFit/>
                      </wps:bodyPr>
                    </wps:wsp>
                  </a:graphicData>
                </a:graphic>
                <wp14:sizeRelH relativeFrom="page">
                  <wp14:pctWidth>0</wp14:pctWidth>
                </wp14:sizeRelH>
                <wp14:sizeRelV relativeFrom="page">
                  <wp14:pctHeight>0</wp14:pctHeight>
                </wp14:sizeRelV>
              </wp:anchor>
            </w:drawing>
          </mc:Choice>
          <mc:Fallback>
            <w:pict>
              <v:rect id="Rectangle 82" o:spid="_x0000_s1030" style="position:absolute;left:0;text-align:left;margin-left:21.75pt;margin-top:198pt;width:568.5pt;height:6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" o:allowincell="f" fillcolor="black" stroked="f">
                <v:fill opacity="46003f"/>
                <v:textbox style="mso-fit-shape-to-text:t" inset="18pt,,1in">
                  <w:txbxContent>
                    <w:sdt>
                      <w:sdtPr>
                        <w:rPr>
                          <w:rFonts w:asciiTheme="minorHAnsi" w:eastAsiaTheme="majorEastAsia" w:hAnsiTheme="minorHAnsi" w:cstheme="minorHAnsi"/>
                          <w:color w:val="FFFFFF" w:themeColor="background1"/>
                          <w:sz w:val="72"/>
                          <w:szCs w:val="52"/>
                        </w:rPr>
                        <w:alias w:val="Title"/>
                        <w:id w:val="1479573923"/>
                        <w:dataBinding w:prefixMappings="xmlns:ns0='http://schemas.openxmlformats.org/package/2006/metadata/core-properties' xmlns:ns1='http://purl.org/dc/elements/1.1/'" w:xpath="/ns0:coreProperties[1]/ns1:title[1]" w:storeItemID="{6C3C8BC8-F283-45AE-878A-BAB7291924A1}"/>
                        <w:text/>
                      </w:sdtPr>
                      <w:sdtContent>
                        <w:p w14:paraId="00799775" w14:textId="77777777" w:rsidR="007F7AB4" w:rsidRDefault="007F7AB4" w:rsidP="00F6036E">
                          <w:pPr>
                            <w:pStyle w:val="NoSpacing"/>
                            <w:snapToGrid w:val="0"/>
                            <w:spacing w:before="120" w:after="240"/>
                            <w:rPr>
                              <w:rFonts w:asciiTheme="minorHAnsi" w:eastAsiaTheme="majorEastAsia" w:hAnsiTheme="minorHAnsi" w:cstheme="minorHAnsi"/>
                              <w:color w:val="FFFFFF" w:themeColor="background1"/>
                              <w:sz w:val="72"/>
                              <w:szCs w:val="52"/>
                            </w:rPr>
                          </w:pPr>
                          <w:r>
                            <w:rPr>
                              <w:rFonts w:asciiTheme="minorHAnsi" w:eastAsiaTheme="majorEastAsia" w:hAnsiTheme="minorHAnsi" w:cstheme="minorHAnsi"/>
                              <w:color w:val="FFFFFF" w:themeColor="background1"/>
                              <w:sz w:val="72"/>
                              <w:szCs w:val="52"/>
                            </w:rPr>
                            <w:t>Cold Hard Facts 2</w:t>
                          </w:r>
                        </w:p>
                      </w:sdtContent>
                    </w:sdt>
                  </w:txbxContent>
                </v:textbox>
                <w10:wrap anchorx="page" anchory="page"/>
                <w10:anchorlock/>
              </v:rect>
            </w:pict>
          </mc:Fallback>
        </mc:AlternateContent>
      </w:r>
      <w:r w:rsidR="00F6036E">
        <w:rPr>
          <w:noProof/>
          <w:lang w:val="en-US"/>
        </w:rPr>
        <w:drawing>
          <wp:anchor distT="0" distB="0" distL="114300" distR="114300" simplePos="0" relativeHeight="251660288" behindDoc="1" locked="1" layoutInCell="0" allowOverlap="1" wp14:anchorId="4ECFC1D6" wp14:editId="134C1F70">
            <wp:simplePos x="0" y="0"/>
            <wp:positionH relativeFrom="page">
              <wp:posOffset>276225</wp:posOffset>
            </wp:positionH>
            <wp:positionV relativeFrom="page">
              <wp:posOffset>596900</wp:posOffset>
            </wp:positionV>
            <wp:extent cx="7225030" cy="4778375"/>
            <wp:effectExtent l="0" t="0" r="0" b="0"/>
            <wp:wrapNone/>
            <wp:docPr id="2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rotWithShape="1">
                    <a:blip r:embed="rId11">
                      <a:extLst>
                        <a:ext uri="{28A0092B-C50C-407E-A947-70E740481C1C}">
                          <a14:useLocalDpi xmlns:a14="http://schemas.microsoft.com/office/drawing/2010/main" val="0"/>
                        </a:ext>
                      </a:extLst>
                    </a:blip>
                    <a:srcRect l="1207" r="1179"/>
                    <a:stretch/>
                  </pic:blipFill>
                  <pic:spPr bwMode="auto">
                    <a:xfrm>
                      <a:off x="0" y="0"/>
                      <a:ext cx="7225030" cy="4778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036E">
        <w:rPr>
          <w:noProof/>
          <w:lang w:val="en-US"/>
        </w:rPr>
        <mc:AlternateContent>
          <mc:Choice Requires="wps">
            <w:drawing>
              <wp:anchor distT="0" distB="0" distL="114300" distR="114300" simplePos="0" relativeHeight="251659264" behindDoc="1" locked="1" layoutInCell="0" allowOverlap="1" wp14:anchorId="6A5EC65B" wp14:editId="50EC7383">
                <wp:simplePos x="0" y="0"/>
                <wp:positionH relativeFrom="page">
                  <wp:posOffset>276225</wp:posOffset>
                </wp:positionH>
                <wp:positionV relativeFrom="page">
                  <wp:posOffset>276225</wp:posOffset>
                </wp:positionV>
                <wp:extent cx="7223760" cy="320040"/>
                <wp:effectExtent l="0" t="0" r="0" b="3810"/>
                <wp:wrapNone/>
                <wp:docPr id="4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320040"/>
                        </a:xfrm>
                        <a:prstGeom prst="rect">
                          <a:avLst/>
                        </a:prstGeom>
                        <a:solidFill>
                          <a:schemeClr val="accent5">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1.75pt;margin-top:21.75pt;width:568.8pt;height:2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" o:allowincell="f" fillcolor="#31849b [2408]" stroked="f">
                <v:textbox inset=",7.2pt,,7.2pt"/>
                <w10:wrap anchorx="page" anchory="page"/>
                <w10:anchorlock/>
              </v:rect>
            </w:pict>
          </mc:Fallback>
        </mc:AlternateContent>
      </w:r>
      <w:r w:rsidR="00F6036E">
        <w:br w:type="page"/>
      </w:r>
    </w:p>
    <w:p w14:paraId="5AB12AFE" w14:textId="77777777" w:rsidR="003937A5" w:rsidRDefault="003937A5">
      <w:pPr>
        <w:spacing w:before="0"/>
        <w:jc w:val="left"/>
        <w:sectPr w:rsidR="003937A5" w:rsidSect="00DD2F90">
          <w:footerReference w:type="default" r:id="rId12"/>
          <w:headerReference w:type="first" r:id="rId13"/>
          <w:pgSz w:w="11900" w:h="16840"/>
          <w:pgMar w:top="1440" w:right="1800" w:bottom="1440" w:left="1800" w:header="708" w:footer="708" w:gutter="0"/>
          <w:cols w:space="708"/>
        </w:sectPr>
      </w:pPr>
    </w:p>
    <w:p w14:paraId="59CB303B" w14:textId="77777777" w:rsidR="003937A5" w:rsidRPr="003937A5" w:rsidRDefault="003937A5" w:rsidP="003937A5">
      <w:pPr>
        <w:rPr>
          <w:rFonts w:asciiTheme="majorHAnsi" w:hAnsiTheme="majorHAnsi"/>
          <w:sz w:val="36"/>
          <w:szCs w:val="36"/>
        </w:rPr>
      </w:pPr>
      <w:r w:rsidRPr="003937A5">
        <w:rPr>
          <w:rFonts w:asciiTheme="majorHAnsi" w:hAnsiTheme="majorHAnsi"/>
          <w:sz w:val="36"/>
          <w:szCs w:val="36"/>
        </w:rPr>
        <w:lastRenderedPageBreak/>
        <w:t>Table of Contents</w:t>
      </w:r>
    </w:p>
    <w:p w14:paraId="1956578F" w14:textId="77777777" w:rsidR="00C3395E" w:rsidRDefault="00C3395E">
      <w:pPr>
        <w:pStyle w:val="TOC1"/>
        <w:rPr>
          <w:rFonts w:asciiTheme="minorHAnsi" w:eastAsiaTheme="minorEastAsia" w:hAnsiTheme="minorHAnsi" w:cstheme="minorBidi"/>
          <w:b w:val="0"/>
          <w:color w:val="auto"/>
          <w:lang w:eastAsia="ja-JP"/>
        </w:rPr>
      </w:pPr>
      <w:r>
        <w:rPr>
          <w:rFonts w:ascii="Verdana" w:hAnsi="Verdana"/>
          <w:sz w:val="20"/>
          <w:szCs w:val="20"/>
        </w:rPr>
        <w:fldChar w:fldCharType="begin"/>
      </w:r>
      <w:r>
        <w:rPr>
          <w:rFonts w:ascii="Verdana" w:hAnsi="Verdana"/>
          <w:sz w:val="20"/>
          <w:szCs w:val="20"/>
        </w:rPr>
        <w:instrText xml:space="preserve"> TOC \o "1-3" </w:instrText>
      </w:r>
      <w:r>
        <w:rPr>
          <w:rFonts w:ascii="Verdana" w:hAnsi="Verdana"/>
          <w:sz w:val="20"/>
          <w:szCs w:val="20"/>
        </w:rPr>
        <w:fldChar w:fldCharType="separate"/>
      </w:r>
      <w:r>
        <w:t>Acknowledgements</w:t>
      </w:r>
      <w:r>
        <w:tab/>
      </w:r>
      <w:r>
        <w:fldChar w:fldCharType="begin"/>
      </w:r>
      <w:r>
        <w:instrText xml:space="preserve"> PAGEREF _Toc233084129 \h </w:instrText>
      </w:r>
      <w:r>
        <w:fldChar w:fldCharType="separate"/>
      </w:r>
      <w:r w:rsidR="00196462">
        <w:t>6</w:t>
      </w:r>
      <w:r>
        <w:fldChar w:fldCharType="end"/>
      </w:r>
    </w:p>
    <w:p w14:paraId="2069B7C8" w14:textId="77777777" w:rsidR="00C3395E" w:rsidRDefault="00C3395E">
      <w:pPr>
        <w:pStyle w:val="TOC1"/>
        <w:rPr>
          <w:rFonts w:asciiTheme="minorHAnsi" w:eastAsiaTheme="minorEastAsia" w:hAnsiTheme="minorHAnsi" w:cstheme="minorBidi"/>
          <w:b w:val="0"/>
          <w:color w:val="auto"/>
          <w:lang w:eastAsia="ja-JP"/>
        </w:rPr>
      </w:pPr>
      <w:r>
        <w:t>Glossary</w:t>
      </w:r>
      <w:r>
        <w:tab/>
      </w:r>
      <w:r>
        <w:fldChar w:fldCharType="begin"/>
      </w:r>
      <w:r>
        <w:instrText xml:space="preserve"> PAGEREF _Toc233084130 \h </w:instrText>
      </w:r>
      <w:r>
        <w:fldChar w:fldCharType="separate"/>
      </w:r>
      <w:r w:rsidR="00196462">
        <w:t>7</w:t>
      </w:r>
      <w:r>
        <w:fldChar w:fldCharType="end"/>
      </w:r>
    </w:p>
    <w:p w14:paraId="12BC3B4A" w14:textId="77777777" w:rsidR="00C3395E" w:rsidRDefault="00C3395E">
      <w:pPr>
        <w:pStyle w:val="TOC1"/>
        <w:rPr>
          <w:rFonts w:asciiTheme="minorHAnsi" w:eastAsiaTheme="minorEastAsia" w:hAnsiTheme="minorHAnsi" w:cstheme="minorBidi"/>
          <w:b w:val="0"/>
          <w:color w:val="auto"/>
          <w:lang w:eastAsia="ja-JP"/>
        </w:rPr>
      </w:pPr>
      <w:r>
        <w:t>Abbreviations</w:t>
      </w:r>
      <w:r>
        <w:tab/>
      </w:r>
      <w:r>
        <w:fldChar w:fldCharType="begin"/>
      </w:r>
      <w:r>
        <w:instrText xml:space="preserve"> PAGEREF _Toc233084131 \h </w:instrText>
      </w:r>
      <w:r>
        <w:fldChar w:fldCharType="separate"/>
      </w:r>
      <w:r w:rsidR="00196462">
        <w:t>10</w:t>
      </w:r>
      <w:r>
        <w:fldChar w:fldCharType="end"/>
      </w:r>
    </w:p>
    <w:p w14:paraId="5A3B523C" w14:textId="77777777" w:rsidR="00C3395E" w:rsidRDefault="00C3395E">
      <w:pPr>
        <w:pStyle w:val="TOC1"/>
        <w:rPr>
          <w:rFonts w:asciiTheme="minorHAnsi" w:eastAsiaTheme="minorEastAsia" w:hAnsiTheme="minorHAnsi" w:cstheme="minorBidi"/>
          <w:b w:val="0"/>
          <w:color w:val="auto"/>
          <w:lang w:eastAsia="ja-JP"/>
        </w:rPr>
      </w:pPr>
      <w:r>
        <w:t>1</w:t>
      </w:r>
      <w:r>
        <w:rPr>
          <w:rFonts w:asciiTheme="minorHAnsi" w:eastAsiaTheme="minorEastAsia" w:hAnsiTheme="minorHAnsi" w:cstheme="minorBidi"/>
          <w:b w:val="0"/>
          <w:color w:val="auto"/>
          <w:lang w:eastAsia="ja-JP"/>
        </w:rPr>
        <w:tab/>
      </w:r>
      <w:r>
        <w:t>Executive summary</w:t>
      </w:r>
      <w:r>
        <w:tab/>
      </w:r>
      <w:r>
        <w:fldChar w:fldCharType="begin"/>
      </w:r>
      <w:r>
        <w:instrText xml:space="preserve"> PAGEREF _Toc233084132 \h </w:instrText>
      </w:r>
      <w:r>
        <w:fldChar w:fldCharType="separate"/>
      </w:r>
      <w:r w:rsidR="00196462">
        <w:t>12</w:t>
      </w:r>
      <w:r>
        <w:fldChar w:fldCharType="end"/>
      </w:r>
    </w:p>
    <w:p w14:paraId="30CEA529" w14:textId="77777777" w:rsidR="00C3395E" w:rsidRDefault="00C3395E">
      <w:pPr>
        <w:pStyle w:val="TOC1"/>
        <w:rPr>
          <w:rFonts w:asciiTheme="minorHAnsi" w:eastAsiaTheme="minorEastAsia" w:hAnsiTheme="minorHAnsi" w:cstheme="minorBidi"/>
          <w:b w:val="0"/>
          <w:color w:val="auto"/>
          <w:lang w:eastAsia="ja-JP"/>
        </w:rPr>
      </w:pPr>
      <w:r>
        <w:t>2</w:t>
      </w:r>
      <w:r>
        <w:rPr>
          <w:rFonts w:asciiTheme="minorHAnsi" w:eastAsiaTheme="minorEastAsia" w:hAnsiTheme="minorHAnsi" w:cstheme="minorBidi"/>
          <w:b w:val="0"/>
          <w:color w:val="auto"/>
          <w:lang w:eastAsia="ja-JP"/>
        </w:rPr>
        <w:tab/>
      </w:r>
      <w:r>
        <w:t>Introduction</w:t>
      </w:r>
      <w:r>
        <w:tab/>
      </w:r>
      <w:r>
        <w:fldChar w:fldCharType="begin"/>
      </w:r>
      <w:r>
        <w:instrText xml:space="preserve"> PAGEREF _Toc233084133 \h </w:instrText>
      </w:r>
      <w:r>
        <w:fldChar w:fldCharType="separate"/>
      </w:r>
      <w:r w:rsidR="00196462">
        <w:t>15</w:t>
      </w:r>
      <w:r>
        <w:fldChar w:fldCharType="end"/>
      </w:r>
    </w:p>
    <w:p w14:paraId="02A2D5D0"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2.1</w:t>
      </w:r>
      <w:r>
        <w:rPr>
          <w:rFonts w:asciiTheme="minorHAnsi" w:eastAsiaTheme="minorEastAsia" w:hAnsiTheme="minorHAnsi" w:cstheme="minorBidi"/>
          <w:noProof/>
          <w:sz w:val="24"/>
          <w:szCs w:val="24"/>
          <w:lang w:eastAsia="ja-JP"/>
        </w:rPr>
        <w:tab/>
      </w:r>
      <w:r>
        <w:rPr>
          <w:noProof/>
        </w:rPr>
        <w:t>Structure of Cold Hard Facts 2</w:t>
      </w:r>
      <w:r>
        <w:rPr>
          <w:noProof/>
        </w:rPr>
        <w:tab/>
      </w:r>
      <w:r>
        <w:rPr>
          <w:noProof/>
        </w:rPr>
        <w:fldChar w:fldCharType="begin"/>
      </w:r>
      <w:r>
        <w:rPr>
          <w:noProof/>
        </w:rPr>
        <w:instrText xml:space="preserve"> PAGEREF _Toc233084134 \h </w:instrText>
      </w:r>
      <w:r>
        <w:rPr>
          <w:noProof/>
        </w:rPr>
      </w:r>
      <w:r>
        <w:rPr>
          <w:noProof/>
        </w:rPr>
        <w:fldChar w:fldCharType="separate"/>
      </w:r>
      <w:r w:rsidR="00196462">
        <w:rPr>
          <w:noProof/>
        </w:rPr>
        <w:t>17</w:t>
      </w:r>
      <w:r>
        <w:rPr>
          <w:noProof/>
        </w:rPr>
        <w:fldChar w:fldCharType="end"/>
      </w:r>
    </w:p>
    <w:p w14:paraId="3BF13DB7" w14:textId="77777777" w:rsidR="00C3395E" w:rsidRDefault="00C3395E">
      <w:pPr>
        <w:pStyle w:val="TOC1"/>
        <w:rPr>
          <w:rFonts w:asciiTheme="minorHAnsi" w:eastAsiaTheme="minorEastAsia" w:hAnsiTheme="minorHAnsi" w:cstheme="minorBidi"/>
          <w:b w:val="0"/>
          <w:color w:val="auto"/>
          <w:lang w:eastAsia="ja-JP"/>
        </w:rPr>
      </w:pPr>
      <w:r>
        <w:t>3</w:t>
      </w:r>
      <w:r>
        <w:rPr>
          <w:rFonts w:asciiTheme="minorHAnsi" w:eastAsiaTheme="minorEastAsia" w:hAnsiTheme="minorHAnsi" w:cstheme="minorBidi"/>
          <w:b w:val="0"/>
          <w:color w:val="auto"/>
          <w:lang w:eastAsia="ja-JP"/>
        </w:rPr>
        <w:tab/>
      </w:r>
      <w:r>
        <w:t>Taxonomy of technology</w:t>
      </w:r>
      <w:r>
        <w:tab/>
      </w:r>
      <w:r>
        <w:fldChar w:fldCharType="begin"/>
      </w:r>
      <w:r>
        <w:instrText xml:space="preserve"> PAGEREF _Toc233084135 \h </w:instrText>
      </w:r>
      <w:r>
        <w:fldChar w:fldCharType="separate"/>
      </w:r>
      <w:r w:rsidR="00196462">
        <w:t>19</w:t>
      </w:r>
      <w:r>
        <w:fldChar w:fldCharType="end"/>
      </w:r>
    </w:p>
    <w:p w14:paraId="30D97551" w14:textId="77777777" w:rsidR="00C3395E" w:rsidRDefault="00C3395E">
      <w:pPr>
        <w:pStyle w:val="TOC1"/>
        <w:rPr>
          <w:rFonts w:asciiTheme="minorHAnsi" w:eastAsiaTheme="minorEastAsia" w:hAnsiTheme="minorHAnsi" w:cstheme="minorBidi"/>
          <w:b w:val="0"/>
          <w:color w:val="auto"/>
          <w:lang w:eastAsia="ja-JP"/>
        </w:rPr>
      </w:pPr>
      <w:r>
        <w:t>4</w:t>
      </w:r>
      <w:r>
        <w:rPr>
          <w:rFonts w:asciiTheme="minorHAnsi" w:eastAsiaTheme="minorEastAsia" w:hAnsiTheme="minorHAnsi" w:cstheme="minorBidi"/>
          <w:b w:val="0"/>
          <w:color w:val="auto"/>
          <w:lang w:eastAsia="ja-JP"/>
        </w:rPr>
        <w:tab/>
      </w:r>
      <w:r>
        <w:t>The stock of equipment</w:t>
      </w:r>
      <w:r>
        <w:tab/>
      </w:r>
      <w:r>
        <w:fldChar w:fldCharType="begin"/>
      </w:r>
      <w:r>
        <w:instrText xml:space="preserve"> PAGEREF _Toc233084136 \h </w:instrText>
      </w:r>
      <w:r>
        <w:fldChar w:fldCharType="separate"/>
      </w:r>
      <w:r w:rsidR="00196462">
        <w:t>23</w:t>
      </w:r>
      <w:r>
        <w:fldChar w:fldCharType="end"/>
      </w:r>
    </w:p>
    <w:p w14:paraId="21767B1F"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4.1</w:t>
      </w:r>
      <w:r>
        <w:rPr>
          <w:rFonts w:asciiTheme="minorHAnsi" w:eastAsiaTheme="minorEastAsia" w:hAnsiTheme="minorHAnsi" w:cstheme="minorBidi"/>
          <w:noProof/>
          <w:sz w:val="24"/>
          <w:szCs w:val="24"/>
          <w:lang w:eastAsia="ja-JP"/>
        </w:rPr>
        <w:tab/>
      </w:r>
      <w:r>
        <w:rPr>
          <w:noProof/>
        </w:rPr>
        <w:t>The scale of events</w:t>
      </w:r>
      <w:r>
        <w:rPr>
          <w:noProof/>
        </w:rPr>
        <w:tab/>
      </w:r>
      <w:r>
        <w:rPr>
          <w:noProof/>
        </w:rPr>
        <w:fldChar w:fldCharType="begin"/>
      </w:r>
      <w:r>
        <w:rPr>
          <w:noProof/>
        </w:rPr>
        <w:instrText xml:space="preserve"> PAGEREF _Toc233084137 \h </w:instrText>
      </w:r>
      <w:r>
        <w:rPr>
          <w:noProof/>
        </w:rPr>
      </w:r>
      <w:r>
        <w:rPr>
          <w:noProof/>
        </w:rPr>
        <w:fldChar w:fldCharType="separate"/>
      </w:r>
      <w:r w:rsidR="00196462">
        <w:rPr>
          <w:noProof/>
        </w:rPr>
        <w:t>23</w:t>
      </w:r>
      <w:r>
        <w:rPr>
          <w:noProof/>
        </w:rPr>
        <w:fldChar w:fldCharType="end"/>
      </w:r>
    </w:p>
    <w:p w14:paraId="595E0DCE"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4.2</w:t>
      </w:r>
      <w:r>
        <w:rPr>
          <w:rFonts w:asciiTheme="minorHAnsi" w:eastAsiaTheme="minorEastAsia" w:hAnsiTheme="minorHAnsi" w:cstheme="minorBidi"/>
          <w:noProof/>
          <w:sz w:val="24"/>
          <w:szCs w:val="24"/>
          <w:lang w:eastAsia="ja-JP"/>
        </w:rPr>
        <w:tab/>
      </w:r>
      <w:r>
        <w:rPr>
          <w:noProof/>
        </w:rPr>
        <w:t>Stationary air conditioning</w:t>
      </w:r>
      <w:r>
        <w:rPr>
          <w:noProof/>
        </w:rPr>
        <w:tab/>
      </w:r>
      <w:r>
        <w:rPr>
          <w:noProof/>
        </w:rPr>
        <w:fldChar w:fldCharType="begin"/>
      </w:r>
      <w:r>
        <w:rPr>
          <w:noProof/>
        </w:rPr>
        <w:instrText xml:space="preserve"> PAGEREF _Toc233084138 \h </w:instrText>
      </w:r>
      <w:r>
        <w:rPr>
          <w:noProof/>
        </w:rPr>
      </w:r>
      <w:r>
        <w:rPr>
          <w:noProof/>
        </w:rPr>
        <w:fldChar w:fldCharType="separate"/>
      </w:r>
      <w:r w:rsidR="00196462">
        <w:rPr>
          <w:noProof/>
        </w:rPr>
        <w:t>24</w:t>
      </w:r>
      <w:r>
        <w:rPr>
          <w:noProof/>
        </w:rPr>
        <w:fldChar w:fldCharType="end"/>
      </w:r>
    </w:p>
    <w:p w14:paraId="084484DC"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4.3</w:t>
      </w:r>
      <w:r>
        <w:rPr>
          <w:rFonts w:asciiTheme="minorHAnsi" w:eastAsiaTheme="minorEastAsia" w:hAnsiTheme="minorHAnsi" w:cstheme="minorBidi"/>
          <w:noProof/>
          <w:sz w:val="24"/>
          <w:szCs w:val="24"/>
          <w:lang w:eastAsia="ja-JP"/>
        </w:rPr>
        <w:tab/>
      </w:r>
      <w:r>
        <w:rPr>
          <w:noProof/>
        </w:rPr>
        <w:t>Mobile air conditioning</w:t>
      </w:r>
      <w:r>
        <w:rPr>
          <w:noProof/>
        </w:rPr>
        <w:tab/>
      </w:r>
      <w:r>
        <w:rPr>
          <w:noProof/>
        </w:rPr>
        <w:fldChar w:fldCharType="begin"/>
      </w:r>
      <w:r>
        <w:rPr>
          <w:noProof/>
        </w:rPr>
        <w:instrText xml:space="preserve"> PAGEREF _Toc233084139 \h </w:instrText>
      </w:r>
      <w:r>
        <w:rPr>
          <w:noProof/>
        </w:rPr>
      </w:r>
      <w:r>
        <w:rPr>
          <w:noProof/>
        </w:rPr>
        <w:fldChar w:fldCharType="separate"/>
      </w:r>
      <w:r w:rsidR="00196462">
        <w:rPr>
          <w:noProof/>
        </w:rPr>
        <w:t>29</w:t>
      </w:r>
      <w:r>
        <w:rPr>
          <w:noProof/>
        </w:rPr>
        <w:fldChar w:fldCharType="end"/>
      </w:r>
    </w:p>
    <w:p w14:paraId="47A9AA69"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4.4</w:t>
      </w:r>
      <w:r>
        <w:rPr>
          <w:rFonts w:asciiTheme="minorHAnsi" w:eastAsiaTheme="minorEastAsia" w:hAnsiTheme="minorHAnsi" w:cstheme="minorBidi"/>
          <w:noProof/>
          <w:sz w:val="24"/>
          <w:szCs w:val="24"/>
          <w:lang w:eastAsia="ja-JP"/>
        </w:rPr>
        <w:tab/>
      </w:r>
      <w:r>
        <w:rPr>
          <w:noProof/>
        </w:rPr>
        <w:t>Domestic refrigeration</w:t>
      </w:r>
      <w:r>
        <w:rPr>
          <w:noProof/>
        </w:rPr>
        <w:tab/>
      </w:r>
      <w:r>
        <w:rPr>
          <w:noProof/>
        </w:rPr>
        <w:fldChar w:fldCharType="begin"/>
      </w:r>
      <w:r>
        <w:rPr>
          <w:noProof/>
        </w:rPr>
        <w:instrText xml:space="preserve"> PAGEREF _Toc233084140 \h </w:instrText>
      </w:r>
      <w:r>
        <w:rPr>
          <w:noProof/>
        </w:rPr>
      </w:r>
      <w:r>
        <w:rPr>
          <w:noProof/>
        </w:rPr>
        <w:fldChar w:fldCharType="separate"/>
      </w:r>
      <w:r w:rsidR="00196462">
        <w:rPr>
          <w:noProof/>
        </w:rPr>
        <w:t>32</w:t>
      </w:r>
      <w:r>
        <w:rPr>
          <w:noProof/>
        </w:rPr>
        <w:fldChar w:fldCharType="end"/>
      </w:r>
    </w:p>
    <w:p w14:paraId="52FB6AB7"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4.5</w:t>
      </w:r>
      <w:r>
        <w:rPr>
          <w:rFonts w:asciiTheme="minorHAnsi" w:eastAsiaTheme="minorEastAsia" w:hAnsiTheme="minorHAnsi" w:cstheme="minorBidi"/>
          <w:noProof/>
          <w:sz w:val="24"/>
          <w:szCs w:val="24"/>
          <w:lang w:eastAsia="ja-JP"/>
        </w:rPr>
        <w:tab/>
      </w:r>
      <w:r>
        <w:rPr>
          <w:noProof/>
        </w:rPr>
        <w:t>Refrigerated cold food chain</w:t>
      </w:r>
      <w:r>
        <w:rPr>
          <w:noProof/>
        </w:rPr>
        <w:tab/>
      </w:r>
      <w:r>
        <w:rPr>
          <w:noProof/>
        </w:rPr>
        <w:fldChar w:fldCharType="begin"/>
      </w:r>
      <w:r>
        <w:rPr>
          <w:noProof/>
        </w:rPr>
        <w:instrText xml:space="preserve"> PAGEREF _Toc233084141 \h </w:instrText>
      </w:r>
      <w:r>
        <w:rPr>
          <w:noProof/>
        </w:rPr>
      </w:r>
      <w:r>
        <w:rPr>
          <w:noProof/>
        </w:rPr>
        <w:fldChar w:fldCharType="separate"/>
      </w:r>
      <w:r w:rsidR="00196462">
        <w:rPr>
          <w:noProof/>
        </w:rPr>
        <w:t>35</w:t>
      </w:r>
      <w:r>
        <w:rPr>
          <w:noProof/>
        </w:rPr>
        <w:fldChar w:fldCharType="end"/>
      </w:r>
    </w:p>
    <w:p w14:paraId="1239CFE4" w14:textId="77777777" w:rsidR="00C3395E" w:rsidRDefault="00C3395E">
      <w:pPr>
        <w:pStyle w:val="TOC3"/>
        <w:tabs>
          <w:tab w:val="left" w:pos="676"/>
        </w:tabs>
        <w:rPr>
          <w:rFonts w:asciiTheme="minorHAnsi" w:eastAsiaTheme="minorEastAsia" w:hAnsiTheme="minorHAnsi" w:cstheme="minorBidi"/>
          <w:i w:val="0"/>
          <w:noProof/>
          <w:sz w:val="24"/>
          <w:szCs w:val="24"/>
          <w:lang w:eastAsia="ja-JP"/>
        </w:rPr>
      </w:pPr>
      <w:r>
        <w:rPr>
          <w:noProof/>
        </w:rPr>
        <w:t>4.5.1</w:t>
      </w:r>
      <w:r>
        <w:rPr>
          <w:rFonts w:asciiTheme="minorHAnsi" w:eastAsiaTheme="minorEastAsia" w:hAnsiTheme="minorHAnsi" w:cstheme="minorBidi"/>
          <w:i w:val="0"/>
          <w:noProof/>
          <w:sz w:val="24"/>
          <w:szCs w:val="24"/>
          <w:lang w:eastAsia="ja-JP"/>
        </w:rPr>
        <w:tab/>
      </w:r>
      <w:r>
        <w:rPr>
          <w:noProof/>
        </w:rPr>
        <w:t>Self-contained commercial refrigeration</w:t>
      </w:r>
      <w:r>
        <w:rPr>
          <w:noProof/>
        </w:rPr>
        <w:tab/>
      </w:r>
      <w:r>
        <w:rPr>
          <w:noProof/>
        </w:rPr>
        <w:fldChar w:fldCharType="begin"/>
      </w:r>
      <w:r>
        <w:rPr>
          <w:noProof/>
        </w:rPr>
        <w:instrText xml:space="preserve"> PAGEREF _Toc233084142 \h </w:instrText>
      </w:r>
      <w:r>
        <w:rPr>
          <w:noProof/>
        </w:rPr>
      </w:r>
      <w:r>
        <w:rPr>
          <w:noProof/>
        </w:rPr>
        <w:fldChar w:fldCharType="separate"/>
      </w:r>
      <w:r w:rsidR="00196462">
        <w:rPr>
          <w:noProof/>
        </w:rPr>
        <w:t>38</w:t>
      </w:r>
      <w:r>
        <w:rPr>
          <w:noProof/>
        </w:rPr>
        <w:fldChar w:fldCharType="end"/>
      </w:r>
    </w:p>
    <w:p w14:paraId="4EE91666" w14:textId="77777777" w:rsidR="00C3395E" w:rsidRDefault="00C3395E">
      <w:pPr>
        <w:pStyle w:val="TOC3"/>
        <w:tabs>
          <w:tab w:val="left" w:pos="676"/>
        </w:tabs>
        <w:rPr>
          <w:rFonts w:asciiTheme="minorHAnsi" w:eastAsiaTheme="minorEastAsia" w:hAnsiTheme="minorHAnsi" w:cstheme="minorBidi"/>
          <w:i w:val="0"/>
          <w:noProof/>
          <w:sz w:val="24"/>
          <w:szCs w:val="24"/>
          <w:lang w:eastAsia="ja-JP"/>
        </w:rPr>
      </w:pPr>
      <w:r>
        <w:rPr>
          <w:noProof/>
        </w:rPr>
        <w:t>4.5.2</w:t>
      </w:r>
      <w:r>
        <w:rPr>
          <w:rFonts w:asciiTheme="minorHAnsi" w:eastAsiaTheme="minorEastAsia" w:hAnsiTheme="minorHAnsi" w:cstheme="minorBidi"/>
          <w:i w:val="0"/>
          <w:noProof/>
          <w:sz w:val="24"/>
          <w:szCs w:val="24"/>
          <w:lang w:eastAsia="ja-JP"/>
        </w:rPr>
        <w:tab/>
      </w:r>
      <w:r>
        <w:rPr>
          <w:noProof/>
        </w:rPr>
        <w:t>Commercial refrigeration (excluding self-contained)</w:t>
      </w:r>
      <w:r>
        <w:rPr>
          <w:noProof/>
        </w:rPr>
        <w:tab/>
      </w:r>
      <w:r>
        <w:rPr>
          <w:noProof/>
        </w:rPr>
        <w:fldChar w:fldCharType="begin"/>
      </w:r>
      <w:r>
        <w:rPr>
          <w:noProof/>
        </w:rPr>
        <w:instrText xml:space="preserve"> PAGEREF _Toc233084143 \h </w:instrText>
      </w:r>
      <w:r>
        <w:rPr>
          <w:noProof/>
        </w:rPr>
      </w:r>
      <w:r>
        <w:rPr>
          <w:noProof/>
        </w:rPr>
        <w:fldChar w:fldCharType="separate"/>
      </w:r>
      <w:r w:rsidR="00196462">
        <w:rPr>
          <w:noProof/>
        </w:rPr>
        <w:t>39</w:t>
      </w:r>
      <w:r>
        <w:rPr>
          <w:noProof/>
        </w:rPr>
        <w:fldChar w:fldCharType="end"/>
      </w:r>
    </w:p>
    <w:p w14:paraId="5F0D2636" w14:textId="77777777" w:rsidR="00C3395E" w:rsidRDefault="00C3395E">
      <w:pPr>
        <w:pStyle w:val="TOC3"/>
        <w:tabs>
          <w:tab w:val="left" w:pos="676"/>
        </w:tabs>
        <w:rPr>
          <w:rFonts w:asciiTheme="minorHAnsi" w:eastAsiaTheme="minorEastAsia" w:hAnsiTheme="minorHAnsi" w:cstheme="minorBidi"/>
          <w:i w:val="0"/>
          <w:noProof/>
          <w:sz w:val="24"/>
          <w:szCs w:val="24"/>
          <w:lang w:eastAsia="ja-JP"/>
        </w:rPr>
      </w:pPr>
      <w:r>
        <w:rPr>
          <w:noProof/>
        </w:rPr>
        <w:t>4.5.3</w:t>
      </w:r>
      <w:r>
        <w:rPr>
          <w:rFonts w:asciiTheme="minorHAnsi" w:eastAsiaTheme="minorEastAsia" w:hAnsiTheme="minorHAnsi" w:cstheme="minorBidi"/>
          <w:i w:val="0"/>
          <w:noProof/>
          <w:sz w:val="24"/>
          <w:szCs w:val="24"/>
          <w:lang w:eastAsia="ja-JP"/>
        </w:rPr>
        <w:tab/>
      </w:r>
      <w:r>
        <w:rPr>
          <w:noProof/>
        </w:rPr>
        <w:t>Industrial refrigeration, process chilling and cold storage</w:t>
      </w:r>
      <w:r>
        <w:rPr>
          <w:noProof/>
        </w:rPr>
        <w:tab/>
      </w:r>
      <w:r>
        <w:rPr>
          <w:noProof/>
        </w:rPr>
        <w:fldChar w:fldCharType="begin"/>
      </w:r>
      <w:r>
        <w:rPr>
          <w:noProof/>
        </w:rPr>
        <w:instrText xml:space="preserve"> PAGEREF _Toc233084144 \h </w:instrText>
      </w:r>
      <w:r>
        <w:rPr>
          <w:noProof/>
        </w:rPr>
      </w:r>
      <w:r>
        <w:rPr>
          <w:noProof/>
        </w:rPr>
        <w:fldChar w:fldCharType="separate"/>
      </w:r>
      <w:r w:rsidR="00196462">
        <w:rPr>
          <w:noProof/>
        </w:rPr>
        <w:t>41</w:t>
      </w:r>
      <w:r>
        <w:rPr>
          <w:noProof/>
        </w:rPr>
        <w:fldChar w:fldCharType="end"/>
      </w:r>
    </w:p>
    <w:p w14:paraId="167FD9AF" w14:textId="77777777" w:rsidR="00C3395E" w:rsidRDefault="00C3395E">
      <w:pPr>
        <w:pStyle w:val="TOC3"/>
        <w:tabs>
          <w:tab w:val="left" w:pos="676"/>
        </w:tabs>
        <w:rPr>
          <w:rFonts w:asciiTheme="minorHAnsi" w:eastAsiaTheme="minorEastAsia" w:hAnsiTheme="minorHAnsi" w:cstheme="minorBidi"/>
          <w:i w:val="0"/>
          <w:noProof/>
          <w:sz w:val="24"/>
          <w:szCs w:val="24"/>
          <w:lang w:eastAsia="ja-JP"/>
        </w:rPr>
      </w:pPr>
      <w:r>
        <w:rPr>
          <w:noProof/>
        </w:rPr>
        <w:t>4.5.4</w:t>
      </w:r>
      <w:r>
        <w:rPr>
          <w:rFonts w:asciiTheme="minorHAnsi" w:eastAsiaTheme="minorEastAsia" w:hAnsiTheme="minorHAnsi" w:cstheme="minorBidi"/>
          <w:i w:val="0"/>
          <w:noProof/>
          <w:sz w:val="24"/>
          <w:szCs w:val="24"/>
          <w:lang w:eastAsia="ja-JP"/>
        </w:rPr>
        <w:tab/>
      </w:r>
      <w:r>
        <w:rPr>
          <w:noProof/>
        </w:rPr>
        <w:t>Refrigerated transport</w:t>
      </w:r>
      <w:r>
        <w:rPr>
          <w:noProof/>
        </w:rPr>
        <w:tab/>
      </w:r>
      <w:r>
        <w:rPr>
          <w:noProof/>
        </w:rPr>
        <w:fldChar w:fldCharType="begin"/>
      </w:r>
      <w:r>
        <w:rPr>
          <w:noProof/>
        </w:rPr>
        <w:instrText xml:space="preserve"> PAGEREF _Toc233084145 \h </w:instrText>
      </w:r>
      <w:r>
        <w:rPr>
          <w:noProof/>
        </w:rPr>
      </w:r>
      <w:r>
        <w:rPr>
          <w:noProof/>
        </w:rPr>
        <w:fldChar w:fldCharType="separate"/>
      </w:r>
      <w:r w:rsidR="00196462">
        <w:rPr>
          <w:noProof/>
        </w:rPr>
        <w:t>41</w:t>
      </w:r>
      <w:r>
        <w:rPr>
          <w:noProof/>
        </w:rPr>
        <w:fldChar w:fldCharType="end"/>
      </w:r>
    </w:p>
    <w:p w14:paraId="41CECFE9" w14:textId="77777777" w:rsidR="00C3395E" w:rsidRDefault="00C3395E">
      <w:pPr>
        <w:pStyle w:val="TOC1"/>
        <w:rPr>
          <w:rFonts w:asciiTheme="minorHAnsi" w:eastAsiaTheme="minorEastAsia" w:hAnsiTheme="minorHAnsi" w:cstheme="minorBidi"/>
          <w:b w:val="0"/>
          <w:color w:val="auto"/>
          <w:lang w:eastAsia="ja-JP"/>
        </w:rPr>
      </w:pPr>
      <w:r>
        <w:t>5</w:t>
      </w:r>
      <w:r>
        <w:rPr>
          <w:rFonts w:asciiTheme="minorHAnsi" w:eastAsiaTheme="minorEastAsia" w:hAnsiTheme="minorHAnsi" w:cstheme="minorBidi"/>
          <w:b w:val="0"/>
          <w:color w:val="auto"/>
          <w:lang w:eastAsia="ja-JP"/>
        </w:rPr>
        <w:tab/>
      </w:r>
      <w:r>
        <w:t>The bank in 2012</w:t>
      </w:r>
      <w:r>
        <w:tab/>
      </w:r>
      <w:r>
        <w:fldChar w:fldCharType="begin"/>
      </w:r>
      <w:r>
        <w:instrText xml:space="preserve"> PAGEREF _Toc233084146 \h </w:instrText>
      </w:r>
      <w:r>
        <w:fldChar w:fldCharType="separate"/>
      </w:r>
      <w:r w:rsidR="00196462">
        <w:t>44</w:t>
      </w:r>
      <w:r>
        <w:fldChar w:fldCharType="end"/>
      </w:r>
    </w:p>
    <w:p w14:paraId="360B0678"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5.1</w:t>
      </w:r>
      <w:r>
        <w:rPr>
          <w:rFonts w:asciiTheme="minorHAnsi" w:eastAsiaTheme="minorEastAsia" w:hAnsiTheme="minorHAnsi" w:cstheme="minorBidi"/>
          <w:noProof/>
          <w:sz w:val="24"/>
          <w:szCs w:val="24"/>
          <w:lang w:eastAsia="ja-JP"/>
        </w:rPr>
        <w:tab/>
      </w:r>
      <w:r>
        <w:rPr>
          <w:noProof/>
        </w:rPr>
        <w:t>GWP of components of the bank</w:t>
      </w:r>
      <w:r>
        <w:rPr>
          <w:noProof/>
        </w:rPr>
        <w:tab/>
      </w:r>
      <w:r>
        <w:rPr>
          <w:noProof/>
        </w:rPr>
        <w:fldChar w:fldCharType="begin"/>
      </w:r>
      <w:r>
        <w:rPr>
          <w:noProof/>
        </w:rPr>
        <w:instrText xml:space="preserve"> PAGEREF _Toc233084147 \h </w:instrText>
      </w:r>
      <w:r>
        <w:rPr>
          <w:noProof/>
        </w:rPr>
      </w:r>
      <w:r>
        <w:rPr>
          <w:noProof/>
        </w:rPr>
        <w:fldChar w:fldCharType="separate"/>
      </w:r>
      <w:r w:rsidR="00196462">
        <w:rPr>
          <w:noProof/>
        </w:rPr>
        <w:t>45</w:t>
      </w:r>
      <w:r>
        <w:rPr>
          <w:noProof/>
        </w:rPr>
        <w:fldChar w:fldCharType="end"/>
      </w:r>
    </w:p>
    <w:p w14:paraId="600407DA"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5.2</w:t>
      </w:r>
      <w:r>
        <w:rPr>
          <w:rFonts w:asciiTheme="minorHAnsi" w:eastAsiaTheme="minorEastAsia" w:hAnsiTheme="minorHAnsi" w:cstheme="minorBidi"/>
          <w:noProof/>
          <w:sz w:val="24"/>
          <w:szCs w:val="24"/>
          <w:lang w:eastAsia="ja-JP"/>
        </w:rPr>
        <w:tab/>
      </w:r>
      <w:r>
        <w:rPr>
          <w:noProof/>
        </w:rPr>
        <w:t>Refrigerant bank 2006 versus 2012</w:t>
      </w:r>
      <w:r>
        <w:rPr>
          <w:noProof/>
        </w:rPr>
        <w:tab/>
      </w:r>
      <w:r>
        <w:rPr>
          <w:noProof/>
        </w:rPr>
        <w:fldChar w:fldCharType="begin"/>
      </w:r>
      <w:r>
        <w:rPr>
          <w:noProof/>
        </w:rPr>
        <w:instrText xml:space="preserve"> PAGEREF _Toc233084148 \h </w:instrText>
      </w:r>
      <w:r>
        <w:rPr>
          <w:noProof/>
        </w:rPr>
      </w:r>
      <w:r>
        <w:rPr>
          <w:noProof/>
        </w:rPr>
        <w:fldChar w:fldCharType="separate"/>
      </w:r>
      <w:r w:rsidR="00196462">
        <w:rPr>
          <w:noProof/>
        </w:rPr>
        <w:t>45</w:t>
      </w:r>
      <w:r>
        <w:rPr>
          <w:noProof/>
        </w:rPr>
        <w:fldChar w:fldCharType="end"/>
      </w:r>
    </w:p>
    <w:p w14:paraId="15AE235E" w14:textId="77777777" w:rsidR="00C3395E" w:rsidRDefault="00C3395E">
      <w:pPr>
        <w:pStyle w:val="TOC3"/>
        <w:tabs>
          <w:tab w:val="left" w:pos="676"/>
        </w:tabs>
        <w:rPr>
          <w:rFonts w:asciiTheme="minorHAnsi" w:eastAsiaTheme="minorEastAsia" w:hAnsiTheme="minorHAnsi" w:cstheme="minorBidi"/>
          <w:i w:val="0"/>
          <w:noProof/>
          <w:sz w:val="24"/>
          <w:szCs w:val="24"/>
          <w:lang w:eastAsia="ja-JP"/>
        </w:rPr>
      </w:pPr>
      <w:r>
        <w:rPr>
          <w:noProof/>
        </w:rPr>
        <w:t>5.2.1</w:t>
      </w:r>
      <w:r>
        <w:rPr>
          <w:rFonts w:asciiTheme="minorHAnsi" w:eastAsiaTheme="minorEastAsia" w:hAnsiTheme="minorHAnsi" w:cstheme="minorBidi"/>
          <w:i w:val="0"/>
          <w:noProof/>
          <w:sz w:val="24"/>
          <w:szCs w:val="24"/>
          <w:lang w:eastAsia="ja-JP"/>
        </w:rPr>
        <w:tab/>
      </w:r>
      <w:r>
        <w:rPr>
          <w:noProof/>
        </w:rPr>
        <w:t>The bank by high GWP species</w:t>
      </w:r>
      <w:r>
        <w:rPr>
          <w:noProof/>
        </w:rPr>
        <w:tab/>
      </w:r>
      <w:r>
        <w:rPr>
          <w:noProof/>
        </w:rPr>
        <w:fldChar w:fldCharType="begin"/>
      </w:r>
      <w:r>
        <w:rPr>
          <w:noProof/>
        </w:rPr>
        <w:instrText xml:space="preserve"> PAGEREF _Toc233084149 \h </w:instrText>
      </w:r>
      <w:r>
        <w:rPr>
          <w:noProof/>
        </w:rPr>
      </w:r>
      <w:r>
        <w:rPr>
          <w:noProof/>
        </w:rPr>
        <w:fldChar w:fldCharType="separate"/>
      </w:r>
      <w:r w:rsidR="00196462">
        <w:rPr>
          <w:noProof/>
        </w:rPr>
        <w:t>46</w:t>
      </w:r>
      <w:r>
        <w:rPr>
          <w:noProof/>
        </w:rPr>
        <w:fldChar w:fldCharType="end"/>
      </w:r>
    </w:p>
    <w:p w14:paraId="548F9993" w14:textId="77777777" w:rsidR="00C3395E" w:rsidRDefault="00C3395E">
      <w:pPr>
        <w:pStyle w:val="TOC3"/>
        <w:tabs>
          <w:tab w:val="left" w:pos="676"/>
        </w:tabs>
        <w:rPr>
          <w:rFonts w:asciiTheme="minorHAnsi" w:eastAsiaTheme="minorEastAsia" w:hAnsiTheme="minorHAnsi" w:cstheme="minorBidi"/>
          <w:i w:val="0"/>
          <w:noProof/>
          <w:sz w:val="24"/>
          <w:szCs w:val="24"/>
          <w:lang w:eastAsia="ja-JP"/>
        </w:rPr>
      </w:pPr>
      <w:r>
        <w:rPr>
          <w:noProof/>
        </w:rPr>
        <w:t>5.2.2</w:t>
      </w:r>
      <w:r>
        <w:rPr>
          <w:rFonts w:asciiTheme="minorHAnsi" w:eastAsiaTheme="minorEastAsia" w:hAnsiTheme="minorHAnsi" w:cstheme="minorBidi"/>
          <w:i w:val="0"/>
          <w:noProof/>
          <w:sz w:val="24"/>
          <w:szCs w:val="24"/>
          <w:lang w:eastAsia="ja-JP"/>
        </w:rPr>
        <w:tab/>
      </w:r>
      <w:r>
        <w:rPr>
          <w:noProof/>
        </w:rPr>
        <w:t>Stockpiles</w:t>
      </w:r>
      <w:r>
        <w:rPr>
          <w:noProof/>
        </w:rPr>
        <w:tab/>
      </w:r>
      <w:r>
        <w:rPr>
          <w:noProof/>
        </w:rPr>
        <w:fldChar w:fldCharType="begin"/>
      </w:r>
      <w:r>
        <w:rPr>
          <w:noProof/>
        </w:rPr>
        <w:instrText xml:space="preserve"> PAGEREF _Toc233084150 \h </w:instrText>
      </w:r>
      <w:r>
        <w:rPr>
          <w:noProof/>
        </w:rPr>
      </w:r>
      <w:r>
        <w:rPr>
          <w:noProof/>
        </w:rPr>
        <w:fldChar w:fldCharType="separate"/>
      </w:r>
      <w:r w:rsidR="00196462">
        <w:rPr>
          <w:noProof/>
        </w:rPr>
        <w:t>49</w:t>
      </w:r>
      <w:r>
        <w:rPr>
          <w:noProof/>
        </w:rPr>
        <w:fldChar w:fldCharType="end"/>
      </w:r>
    </w:p>
    <w:p w14:paraId="240380BC" w14:textId="77777777" w:rsidR="00C3395E" w:rsidRDefault="00C3395E">
      <w:pPr>
        <w:pStyle w:val="TOC3"/>
        <w:tabs>
          <w:tab w:val="left" w:pos="676"/>
        </w:tabs>
        <w:rPr>
          <w:rFonts w:asciiTheme="minorHAnsi" w:eastAsiaTheme="minorEastAsia" w:hAnsiTheme="minorHAnsi" w:cstheme="minorBidi"/>
          <w:i w:val="0"/>
          <w:noProof/>
          <w:sz w:val="24"/>
          <w:szCs w:val="24"/>
          <w:lang w:eastAsia="ja-JP"/>
        </w:rPr>
      </w:pPr>
      <w:r>
        <w:rPr>
          <w:noProof/>
        </w:rPr>
        <w:t>5.2.3</w:t>
      </w:r>
      <w:r>
        <w:rPr>
          <w:rFonts w:asciiTheme="minorHAnsi" w:eastAsiaTheme="minorEastAsia" w:hAnsiTheme="minorHAnsi" w:cstheme="minorBidi"/>
          <w:i w:val="0"/>
          <w:noProof/>
          <w:sz w:val="24"/>
          <w:szCs w:val="24"/>
          <w:lang w:eastAsia="ja-JP"/>
        </w:rPr>
        <w:tab/>
      </w:r>
      <w:r>
        <w:rPr>
          <w:noProof/>
        </w:rPr>
        <w:t>The bank employed</w:t>
      </w:r>
      <w:r>
        <w:rPr>
          <w:noProof/>
        </w:rPr>
        <w:tab/>
      </w:r>
      <w:r>
        <w:rPr>
          <w:noProof/>
        </w:rPr>
        <w:fldChar w:fldCharType="begin"/>
      </w:r>
      <w:r>
        <w:rPr>
          <w:noProof/>
        </w:rPr>
        <w:instrText xml:space="preserve"> PAGEREF _Toc233084151 \h </w:instrText>
      </w:r>
      <w:r>
        <w:rPr>
          <w:noProof/>
        </w:rPr>
      </w:r>
      <w:r>
        <w:rPr>
          <w:noProof/>
        </w:rPr>
        <w:fldChar w:fldCharType="separate"/>
      </w:r>
      <w:r w:rsidR="00196462">
        <w:rPr>
          <w:noProof/>
        </w:rPr>
        <w:t>49</w:t>
      </w:r>
      <w:r>
        <w:rPr>
          <w:noProof/>
        </w:rPr>
        <w:fldChar w:fldCharType="end"/>
      </w:r>
    </w:p>
    <w:p w14:paraId="356E6817" w14:textId="77777777" w:rsidR="00C3395E" w:rsidRDefault="00C3395E">
      <w:pPr>
        <w:pStyle w:val="TOC3"/>
        <w:tabs>
          <w:tab w:val="left" w:pos="676"/>
        </w:tabs>
        <w:rPr>
          <w:rFonts w:asciiTheme="minorHAnsi" w:eastAsiaTheme="minorEastAsia" w:hAnsiTheme="minorHAnsi" w:cstheme="minorBidi"/>
          <w:i w:val="0"/>
          <w:noProof/>
          <w:sz w:val="24"/>
          <w:szCs w:val="24"/>
          <w:lang w:eastAsia="ja-JP"/>
        </w:rPr>
      </w:pPr>
      <w:r>
        <w:rPr>
          <w:noProof/>
        </w:rPr>
        <w:t>5.2.4</w:t>
      </w:r>
      <w:r>
        <w:rPr>
          <w:rFonts w:asciiTheme="minorHAnsi" w:eastAsiaTheme="minorEastAsia" w:hAnsiTheme="minorHAnsi" w:cstheme="minorBidi"/>
          <w:i w:val="0"/>
          <w:noProof/>
          <w:sz w:val="24"/>
          <w:szCs w:val="24"/>
          <w:lang w:eastAsia="ja-JP"/>
        </w:rPr>
        <w:tab/>
      </w:r>
      <w:r>
        <w:rPr>
          <w:noProof/>
        </w:rPr>
        <w:t>Bulk gas imports</w:t>
      </w:r>
      <w:r>
        <w:rPr>
          <w:noProof/>
        </w:rPr>
        <w:tab/>
      </w:r>
      <w:r>
        <w:rPr>
          <w:noProof/>
        </w:rPr>
        <w:fldChar w:fldCharType="begin"/>
      </w:r>
      <w:r>
        <w:rPr>
          <w:noProof/>
        </w:rPr>
        <w:instrText xml:space="preserve"> PAGEREF _Toc233084152 \h </w:instrText>
      </w:r>
      <w:r>
        <w:rPr>
          <w:noProof/>
        </w:rPr>
      </w:r>
      <w:r>
        <w:rPr>
          <w:noProof/>
        </w:rPr>
        <w:fldChar w:fldCharType="separate"/>
      </w:r>
      <w:r w:rsidR="00196462">
        <w:rPr>
          <w:noProof/>
        </w:rPr>
        <w:t>51</w:t>
      </w:r>
      <w:r>
        <w:rPr>
          <w:noProof/>
        </w:rPr>
        <w:fldChar w:fldCharType="end"/>
      </w:r>
    </w:p>
    <w:p w14:paraId="679C123F" w14:textId="77777777" w:rsidR="00C3395E" w:rsidRDefault="00C3395E">
      <w:pPr>
        <w:pStyle w:val="TOC3"/>
        <w:tabs>
          <w:tab w:val="left" w:pos="676"/>
        </w:tabs>
        <w:rPr>
          <w:rFonts w:asciiTheme="minorHAnsi" w:eastAsiaTheme="minorEastAsia" w:hAnsiTheme="minorHAnsi" w:cstheme="minorBidi"/>
          <w:i w:val="0"/>
          <w:noProof/>
          <w:sz w:val="24"/>
          <w:szCs w:val="24"/>
          <w:lang w:eastAsia="ja-JP"/>
        </w:rPr>
      </w:pPr>
      <w:r w:rsidRPr="006B5CEE">
        <w:rPr>
          <w:rFonts w:eastAsiaTheme="minorEastAsia"/>
          <w:noProof/>
        </w:rPr>
        <w:t>5.2.5</w:t>
      </w:r>
      <w:r>
        <w:rPr>
          <w:rFonts w:asciiTheme="minorHAnsi" w:eastAsiaTheme="minorEastAsia" w:hAnsiTheme="minorHAnsi" w:cstheme="minorBidi"/>
          <w:i w:val="0"/>
          <w:noProof/>
          <w:sz w:val="24"/>
          <w:szCs w:val="24"/>
          <w:lang w:eastAsia="ja-JP"/>
        </w:rPr>
        <w:tab/>
      </w:r>
      <w:r>
        <w:rPr>
          <w:noProof/>
        </w:rPr>
        <w:t>Pre-charged equipment (PCE) imports</w:t>
      </w:r>
      <w:r>
        <w:rPr>
          <w:noProof/>
        </w:rPr>
        <w:tab/>
      </w:r>
      <w:r>
        <w:rPr>
          <w:noProof/>
        </w:rPr>
        <w:fldChar w:fldCharType="begin"/>
      </w:r>
      <w:r>
        <w:rPr>
          <w:noProof/>
        </w:rPr>
        <w:instrText xml:space="preserve"> PAGEREF _Toc233084153 \h </w:instrText>
      </w:r>
      <w:r>
        <w:rPr>
          <w:noProof/>
        </w:rPr>
      </w:r>
      <w:r>
        <w:rPr>
          <w:noProof/>
        </w:rPr>
        <w:fldChar w:fldCharType="separate"/>
      </w:r>
      <w:r w:rsidR="00196462">
        <w:rPr>
          <w:noProof/>
        </w:rPr>
        <w:t>56</w:t>
      </w:r>
      <w:r>
        <w:rPr>
          <w:noProof/>
        </w:rPr>
        <w:fldChar w:fldCharType="end"/>
      </w:r>
    </w:p>
    <w:p w14:paraId="6974D732" w14:textId="77777777" w:rsidR="00C3395E" w:rsidRDefault="00C3395E">
      <w:pPr>
        <w:pStyle w:val="TOC3"/>
        <w:tabs>
          <w:tab w:val="left" w:pos="676"/>
        </w:tabs>
        <w:rPr>
          <w:rFonts w:asciiTheme="minorHAnsi" w:eastAsiaTheme="minorEastAsia" w:hAnsiTheme="minorHAnsi" w:cstheme="minorBidi"/>
          <w:i w:val="0"/>
          <w:noProof/>
          <w:sz w:val="24"/>
          <w:szCs w:val="24"/>
          <w:lang w:eastAsia="ja-JP"/>
        </w:rPr>
      </w:pPr>
      <w:r w:rsidRPr="006B5CEE">
        <w:rPr>
          <w:rFonts w:eastAsiaTheme="minorEastAsia"/>
          <w:iCs/>
          <w:noProof/>
        </w:rPr>
        <w:t>5.2.6</w:t>
      </w:r>
      <w:r>
        <w:rPr>
          <w:rFonts w:asciiTheme="minorHAnsi" w:eastAsiaTheme="minorEastAsia" w:hAnsiTheme="minorHAnsi" w:cstheme="minorBidi"/>
          <w:i w:val="0"/>
          <w:noProof/>
          <w:sz w:val="24"/>
          <w:szCs w:val="24"/>
          <w:lang w:eastAsia="ja-JP"/>
        </w:rPr>
        <w:tab/>
      </w:r>
      <w:r w:rsidRPr="006B5CEE">
        <w:rPr>
          <w:rFonts w:eastAsiaTheme="minorEastAsia"/>
          <w:noProof/>
        </w:rPr>
        <w:t xml:space="preserve">HCFCs in the </w:t>
      </w:r>
      <w:r w:rsidRPr="006B5CEE">
        <w:rPr>
          <w:rFonts w:eastAsiaTheme="minorEastAsia"/>
          <w:iCs/>
          <w:noProof/>
        </w:rPr>
        <w:t>r</w:t>
      </w:r>
      <w:r w:rsidRPr="006B5CEE">
        <w:rPr>
          <w:rFonts w:eastAsiaTheme="minorEastAsia"/>
          <w:noProof/>
        </w:rPr>
        <w:t xml:space="preserve">efrigerant </w:t>
      </w:r>
      <w:r w:rsidRPr="006B5CEE">
        <w:rPr>
          <w:rFonts w:eastAsiaTheme="minorEastAsia"/>
          <w:iCs/>
          <w:noProof/>
        </w:rPr>
        <w:t>b</w:t>
      </w:r>
      <w:r w:rsidRPr="006B5CEE">
        <w:rPr>
          <w:rFonts w:eastAsiaTheme="minorEastAsia"/>
          <w:noProof/>
        </w:rPr>
        <w:t>ank</w:t>
      </w:r>
      <w:r>
        <w:rPr>
          <w:noProof/>
        </w:rPr>
        <w:tab/>
      </w:r>
      <w:r>
        <w:rPr>
          <w:noProof/>
        </w:rPr>
        <w:fldChar w:fldCharType="begin"/>
      </w:r>
      <w:r>
        <w:rPr>
          <w:noProof/>
        </w:rPr>
        <w:instrText xml:space="preserve"> PAGEREF _Toc233084154 \h </w:instrText>
      </w:r>
      <w:r>
        <w:rPr>
          <w:noProof/>
        </w:rPr>
      </w:r>
      <w:r>
        <w:rPr>
          <w:noProof/>
        </w:rPr>
        <w:fldChar w:fldCharType="separate"/>
      </w:r>
      <w:r w:rsidR="00196462">
        <w:rPr>
          <w:noProof/>
        </w:rPr>
        <w:t>61</w:t>
      </w:r>
      <w:r>
        <w:rPr>
          <w:noProof/>
        </w:rPr>
        <w:fldChar w:fldCharType="end"/>
      </w:r>
    </w:p>
    <w:p w14:paraId="427090F9" w14:textId="77777777" w:rsidR="00C3395E" w:rsidRDefault="00C3395E">
      <w:pPr>
        <w:pStyle w:val="TOC3"/>
        <w:tabs>
          <w:tab w:val="left" w:pos="676"/>
        </w:tabs>
        <w:rPr>
          <w:rFonts w:asciiTheme="minorHAnsi" w:eastAsiaTheme="minorEastAsia" w:hAnsiTheme="minorHAnsi" w:cstheme="minorBidi"/>
          <w:i w:val="0"/>
          <w:noProof/>
          <w:sz w:val="24"/>
          <w:szCs w:val="24"/>
          <w:lang w:eastAsia="ja-JP"/>
        </w:rPr>
      </w:pPr>
      <w:r>
        <w:rPr>
          <w:noProof/>
        </w:rPr>
        <w:t>5.2.7</w:t>
      </w:r>
      <w:r>
        <w:rPr>
          <w:rFonts w:asciiTheme="minorHAnsi" w:eastAsiaTheme="minorEastAsia" w:hAnsiTheme="minorHAnsi" w:cstheme="minorBidi"/>
          <w:i w:val="0"/>
          <w:noProof/>
          <w:sz w:val="24"/>
          <w:szCs w:val="24"/>
          <w:lang w:eastAsia="ja-JP"/>
        </w:rPr>
        <w:tab/>
      </w:r>
      <w:r>
        <w:rPr>
          <w:noProof/>
        </w:rPr>
        <w:t>Low GWP refrigerants</w:t>
      </w:r>
      <w:r>
        <w:rPr>
          <w:noProof/>
        </w:rPr>
        <w:tab/>
      </w:r>
      <w:r>
        <w:rPr>
          <w:noProof/>
        </w:rPr>
        <w:fldChar w:fldCharType="begin"/>
      </w:r>
      <w:r>
        <w:rPr>
          <w:noProof/>
        </w:rPr>
        <w:instrText xml:space="preserve"> PAGEREF _Toc233084155 \h </w:instrText>
      </w:r>
      <w:r>
        <w:rPr>
          <w:noProof/>
        </w:rPr>
      </w:r>
      <w:r>
        <w:rPr>
          <w:noProof/>
        </w:rPr>
        <w:fldChar w:fldCharType="separate"/>
      </w:r>
      <w:r w:rsidR="00196462">
        <w:rPr>
          <w:noProof/>
        </w:rPr>
        <w:t>64</w:t>
      </w:r>
      <w:r>
        <w:rPr>
          <w:noProof/>
        </w:rPr>
        <w:fldChar w:fldCharType="end"/>
      </w:r>
    </w:p>
    <w:p w14:paraId="73768B4D" w14:textId="77777777" w:rsidR="00C3395E" w:rsidRDefault="00C3395E">
      <w:pPr>
        <w:pStyle w:val="TOC3"/>
        <w:tabs>
          <w:tab w:val="left" w:pos="676"/>
        </w:tabs>
        <w:rPr>
          <w:rFonts w:asciiTheme="minorHAnsi" w:eastAsiaTheme="minorEastAsia" w:hAnsiTheme="minorHAnsi" w:cstheme="minorBidi"/>
          <w:i w:val="0"/>
          <w:noProof/>
          <w:sz w:val="24"/>
          <w:szCs w:val="24"/>
          <w:lang w:eastAsia="ja-JP"/>
        </w:rPr>
      </w:pPr>
      <w:r>
        <w:rPr>
          <w:noProof/>
        </w:rPr>
        <w:t>5.2.8</w:t>
      </w:r>
      <w:r>
        <w:rPr>
          <w:rFonts w:asciiTheme="minorHAnsi" w:eastAsiaTheme="minorEastAsia" w:hAnsiTheme="minorHAnsi" w:cstheme="minorBidi"/>
          <w:i w:val="0"/>
          <w:noProof/>
          <w:sz w:val="24"/>
          <w:szCs w:val="24"/>
          <w:lang w:eastAsia="ja-JP"/>
        </w:rPr>
        <w:tab/>
      </w:r>
      <w:r>
        <w:rPr>
          <w:noProof/>
        </w:rPr>
        <w:t>Natural refrigerants</w:t>
      </w:r>
      <w:r>
        <w:rPr>
          <w:noProof/>
        </w:rPr>
        <w:tab/>
      </w:r>
      <w:r>
        <w:rPr>
          <w:noProof/>
        </w:rPr>
        <w:fldChar w:fldCharType="begin"/>
      </w:r>
      <w:r>
        <w:rPr>
          <w:noProof/>
        </w:rPr>
        <w:instrText xml:space="preserve"> PAGEREF _Toc233084156 \h </w:instrText>
      </w:r>
      <w:r>
        <w:rPr>
          <w:noProof/>
        </w:rPr>
      </w:r>
      <w:r>
        <w:rPr>
          <w:noProof/>
        </w:rPr>
        <w:fldChar w:fldCharType="separate"/>
      </w:r>
      <w:r w:rsidR="00196462">
        <w:rPr>
          <w:noProof/>
        </w:rPr>
        <w:t>64</w:t>
      </w:r>
      <w:r>
        <w:rPr>
          <w:noProof/>
        </w:rPr>
        <w:fldChar w:fldCharType="end"/>
      </w:r>
    </w:p>
    <w:p w14:paraId="25CB09ED" w14:textId="77777777" w:rsidR="00C3395E" w:rsidRDefault="00C3395E">
      <w:pPr>
        <w:pStyle w:val="TOC3"/>
        <w:tabs>
          <w:tab w:val="left" w:pos="676"/>
        </w:tabs>
        <w:rPr>
          <w:rFonts w:asciiTheme="minorHAnsi" w:eastAsiaTheme="minorEastAsia" w:hAnsiTheme="minorHAnsi" w:cstheme="minorBidi"/>
          <w:i w:val="0"/>
          <w:noProof/>
          <w:sz w:val="24"/>
          <w:szCs w:val="24"/>
          <w:lang w:eastAsia="ja-JP"/>
        </w:rPr>
      </w:pPr>
      <w:r>
        <w:rPr>
          <w:noProof/>
        </w:rPr>
        <w:t>5.2.9</w:t>
      </w:r>
      <w:r>
        <w:rPr>
          <w:rFonts w:asciiTheme="minorHAnsi" w:eastAsiaTheme="minorEastAsia" w:hAnsiTheme="minorHAnsi" w:cstheme="minorBidi"/>
          <w:i w:val="0"/>
          <w:noProof/>
          <w:sz w:val="24"/>
          <w:szCs w:val="24"/>
          <w:lang w:eastAsia="ja-JP"/>
        </w:rPr>
        <w:tab/>
      </w:r>
      <w:r>
        <w:rPr>
          <w:noProof/>
        </w:rPr>
        <w:t>Low GWP synthetic refrigerants</w:t>
      </w:r>
      <w:r>
        <w:rPr>
          <w:noProof/>
        </w:rPr>
        <w:tab/>
      </w:r>
      <w:r>
        <w:rPr>
          <w:noProof/>
        </w:rPr>
        <w:fldChar w:fldCharType="begin"/>
      </w:r>
      <w:r>
        <w:rPr>
          <w:noProof/>
        </w:rPr>
        <w:instrText xml:space="preserve"> PAGEREF _Toc233084157 \h </w:instrText>
      </w:r>
      <w:r>
        <w:rPr>
          <w:noProof/>
        </w:rPr>
      </w:r>
      <w:r>
        <w:rPr>
          <w:noProof/>
        </w:rPr>
        <w:fldChar w:fldCharType="separate"/>
      </w:r>
      <w:r w:rsidR="00196462">
        <w:rPr>
          <w:noProof/>
        </w:rPr>
        <w:t>67</w:t>
      </w:r>
      <w:r>
        <w:rPr>
          <w:noProof/>
        </w:rPr>
        <w:fldChar w:fldCharType="end"/>
      </w:r>
    </w:p>
    <w:p w14:paraId="794893CC" w14:textId="77777777" w:rsidR="00C3395E" w:rsidRDefault="00C3395E">
      <w:pPr>
        <w:pStyle w:val="TOC3"/>
        <w:tabs>
          <w:tab w:val="left" w:pos="793"/>
        </w:tabs>
        <w:rPr>
          <w:rFonts w:asciiTheme="minorHAnsi" w:eastAsiaTheme="minorEastAsia" w:hAnsiTheme="minorHAnsi" w:cstheme="minorBidi"/>
          <w:i w:val="0"/>
          <w:noProof/>
          <w:sz w:val="24"/>
          <w:szCs w:val="24"/>
          <w:lang w:eastAsia="ja-JP"/>
        </w:rPr>
      </w:pPr>
      <w:r>
        <w:rPr>
          <w:noProof/>
        </w:rPr>
        <w:t>5.2.10</w:t>
      </w:r>
      <w:r>
        <w:rPr>
          <w:rFonts w:asciiTheme="minorHAnsi" w:eastAsiaTheme="minorEastAsia" w:hAnsiTheme="minorHAnsi" w:cstheme="minorBidi"/>
          <w:i w:val="0"/>
          <w:noProof/>
          <w:sz w:val="24"/>
          <w:szCs w:val="24"/>
          <w:lang w:eastAsia="ja-JP"/>
        </w:rPr>
        <w:tab/>
      </w:r>
      <w:r>
        <w:rPr>
          <w:noProof/>
        </w:rPr>
        <w:t>Projections of low GWP refrigerant and impact on high ODS and GWP refrigerants</w:t>
      </w:r>
      <w:r>
        <w:rPr>
          <w:noProof/>
        </w:rPr>
        <w:tab/>
      </w:r>
      <w:r>
        <w:rPr>
          <w:noProof/>
        </w:rPr>
        <w:fldChar w:fldCharType="begin"/>
      </w:r>
      <w:r>
        <w:rPr>
          <w:noProof/>
        </w:rPr>
        <w:instrText xml:space="preserve"> PAGEREF _Toc233084158 \h </w:instrText>
      </w:r>
      <w:r>
        <w:rPr>
          <w:noProof/>
        </w:rPr>
      </w:r>
      <w:r>
        <w:rPr>
          <w:noProof/>
        </w:rPr>
        <w:fldChar w:fldCharType="separate"/>
      </w:r>
      <w:r w:rsidR="00196462">
        <w:rPr>
          <w:noProof/>
        </w:rPr>
        <w:t>67</w:t>
      </w:r>
      <w:r>
        <w:rPr>
          <w:noProof/>
        </w:rPr>
        <w:fldChar w:fldCharType="end"/>
      </w:r>
    </w:p>
    <w:p w14:paraId="705AFCFB" w14:textId="77777777" w:rsidR="00C3395E" w:rsidRDefault="00C3395E">
      <w:pPr>
        <w:pStyle w:val="TOC1"/>
        <w:rPr>
          <w:rFonts w:asciiTheme="minorHAnsi" w:eastAsiaTheme="minorEastAsia" w:hAnsiTheme="minorHAnsi" w:cstheme="minorBidi"/>
          <w:b w:val="0"/>
          <w:color w:val="auto"/>
          <w:lang w:eastAsia="ja-JP"/>
        </w:rPr>
      </w:pPr>
      <w:r>
        <w:t>6</w:t>
      </w:r>
      <w:r>
        <w:rPr>
          <w:rFonts w:asciiTheme="minorHAnsi" w:eastAsiaTheme="minorEastAsia" w:hAnsiTheme="minorHAnsi" w:cstheme="minorBidi"/>
          <w:b w:val="0"/>
          <w:color w:val="auto"/>
          <w:lang w:eastAsia="ja-JP"/>
        </w:rPr>
        <w:tab/>
      </w:r>
      <w:r>
        <w:t>Energy and emissions</w:t>
      </w:r>
      <w:r>
        <w:tab/>
      </w:r>
      <w:r>
        <w:fldChar w:fldCharType="begin"/>
      </w:r>
      <w:r>
        <w:instrText xml:space="preserve"> PAGEREF _Toc233084159 \h </w:instrText>
      </w:r>
      <w:r>
        <w:fldChar w:fldCharType="separate"/>
      </w:r>
      <w:r w:rsidR="00196462">
        <w:t>70</w:t>
      </w:r>
      <w:r>
        <w:fldChar w:fldCharType="end"/>
      </w:r>
    </w:p>
    <w:p w14:paraId="6DA81D65"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6.1</w:t>
      </w:r>
      <w:r>
        <w:rPr>
          <w:rFonts w:asciiTheme="minorHAnsi" w:eastAsiaTheme="minorEastAsia" w:hAnsiTheme="minorHAnsi" w:cstheme="minorBidi"/>
          <w:noProof/>
          <w:sz w:val="24"/>
          <w:szCs w:val="24"/>
          <w:lang w:eastAsia="ja-JP"/>
        </w:rPr>
        <w:tab/>
      </w:r>
      <w:r>
        <w:rPr>
          <w:noProof/>
        </w:rPr>
        <w:t>HVAC energy use in buildings</w:t>
      </w:r>
      <w:r>
        <w:rPr>
          <w:noProof/>
        </w:rPr>
        <w:tab/>
      </w:r>
      <w:r>
        <w:rPr>
          <w:noProof/>
        </w:rPr>
        <w:fldChar w:fldCharType="begin"/>
      </w:r>
      <w:r>
        <w:rPr>
          <w:noProof/>
        </w:rPr>
        <w:instrText xml:space="preserve"> PAGEREF _Toc233084160 \h </w:instrText>
      </w:r>
      <w:r>
        <w:rPr>
          <w:noProof/>
        </w:rPr>
      </w:r>
      <w:r>
        <w:rPr>
          <w:noProof/>
        </w:rPr>
        <w:fldChar w:fldCharType="separate"/>
      </w:r>
      <w:r w:rsidR="00196462">
        <w:rPr>
          <w:noProof/>
        </w:rPr>
        <w:t>73</w:t>
      </w:r>
      <w:r>
        <w:rPr>
          <w:noProof/>
        </w:rPr>
        <w:fldChar w:fldCharType="end"/>
      </w:r>
    </w:p>
    <w:p w14:paraId="657CA167"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6.2</w:t>
      </w:r>
      <w:r>
        <w:rPr>
          <w:rFonts w:asciiTheme="minorHAnsi" w:eastAsiaTheme="minorEastAsia" w:hAnsiTheme="minorHAnsi" w:cstheme="minorBidi"/>
          <w:noProof/>
          <w:sz w:val="24"/>
          <w:szCs w:val="24"/>
          <w:lang w:eastAsia="ja-JP"/>
        </w:rPr>
        <w:tab/>
      </w:r>
      <w:r>
        <w:rPr>
          <w:noProof/>
        </w:rPr>
        <w:t>Direct emissions</w:t>
      </w:r>
      <w:r>
        <w:rPr>
          <w:noProof/>
        </w:rPr>
        <w:tab/>
      </w:r>
      <w:r>
        <w:rPr>
          <w:noProof/>
        </w:rPr>
        <w:fldChar w:fldCharType="begin"/>
      </w:r>
      <w:r>
        <w:rPr>
          <w:noProof/>
        </w:rPr>
        <w:instrText xml:space="preserve"> PAGEREF _Toc233084161 \h </w:instrText>
      </w:r>
      <w:r>
        <w:rPr>
          <w:noProof/>
        </w:rPr>
      </w:r>
      <w:r>
        <w:rPr>
          <w:noProof/>
        </w:rPr>
        <w:fldChar w:fldCharType="separate"/>
      </w:r>
      <w:r w:rsidR="00196462">
        <w:rPr>
          <w:noProof/>
        </w:rPr>
        <w:t>78</w:t>
      </w:r>
      <w:r>
        <w:rPr>
          <w:noProof/>
        </w:rPr>
        <w:fldChar w:fldCharType="end"/>
      </w:r>
    </w:p>
    <w:p w14:paraId="7948D40A" w14:textId="77777777" w:rsidR="00C3395E" w:rsidRDefault="00C3395E">
      <w:pPr>
        <w:pStyle w:val="TOC1"/>
        <w:rPr>
          <w:rFonts w:asciiTheme="minorHAnsi" w:eastAsiaTheme="minorEastAsia" w:hAnsiTheme="minorHAnsi" w:cstheme="minorBidi"/>
          <w:b w:val="0"/>
          <w:color w:val="auto"/>
          <w:lang w:eastAsia="ja-JP"/>
        </w:rPr>
      </w:pPr>
      <w:r>
        <w:t>7</w:t>
      </w:r>
      <w:r>
        <w:rPr>
          <w:rFonts w:asciiTheme="minorHAnsi" w:eastAsiaTheme="minorEastAsia" w:hAnsiTheme="minorHAnsi" w:cstheme="minorBidi"/>
          <w:b w:val="0"/>
          <w:color w:val="auto"/>
          <w:lang w:eastAsia="ja-JP"/>
        </w:rPr>
        <w:tab/>
      </w:r>
      <w:r>
        <w:t>Economics and employment</w:t>
      </w:r>
      <w:r>
        <w:tab/>
      </w:r>
      <w:r>
        <w:fldChar w:fldCharType="begin"/>
      </w:r>
      <w:r>
        <w:instrText xml:space="preserve"> PAGEREF _Toc233084162 \h </w:instrText>
      </w:r>
      <w:r>
        <w:fldChar w:fldCharType="separate"/>
      </w:r>
      <w:r w:rsidR="00196462">
        <w:t>83</w:t>
      </w:r>
      <w:r>
        <w:fldChar w:fldCharType="end"/>
      </w:r>
    </w:p>
    <w:p w14:paraId="79FB8BD9"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7.1</w:t>
      </w:r>
      <w:r>
        <w:rPr>
          <w:rFonts w:asciiTheme="minorHAnsi" w:eastAsiaTheme="minorEastAsia" w:hAnsiTheme="minorHAnsi" w:cstheme="minorBidi"/>
          <w:noProof/>
          <w:sz w:val="24"/>
          <w:szCs w:val="24"/>
          <w:lang w:eastAsia="ja-JP"/>
        </w:rPr>
        <w:tab/>
      </w:r>
      <w:r>
        <w:rPr>
          <w:noProof/>
        </w:rPr>
        <w:t>Structure of the industry</w:t>
      </w:r>
      <w:r>
        <w:rPr>
          <w:noProof/>
        </w:rPr>
        <w:tab/>
      </w:r>
      <w:r>
        <w:rPr>
          <w:noProof/>
        </w:rPr>
        <w:fldChar w:fldCharType="begin"/>
      </w:r>
      <w:r>
        <w:rPr>
          <w:noProof/>
        </w:rPr>
        <w:instrText xml:space="preserve"> PAGEREF _Toc233084163 \h </w:instrText>
      </w:r>
      <w:r>
        <w:rPr>
          <w:noProof/>
        </w:rPr>
      </w:r>
      <w:r>
        <w:rPr>
          <w:noProof/>
        </w:rPr>
        <w:fldChar w:fldCharType="separate"/>
      </w:r>
      <w:r w:rsidR="00196462">
        <w:rPr>
          <w:noProof/>
        </w:rPr>
        <w:t>83</w:t>
      </w:r>
      <w:r>
        <w:rPr>
          <w:noProof/>
        </w:rPr>
        <w:fldChar w:fldCharType="end"/>
      </w:r>
    </w:p>
    <w:p w14:paraId="42310CBA"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7.2</w:t>
      </w:r>
      <w:r>
        <w:rPr>
          <w:rFonts w:asciiTheme="minorHAnsi" w:eastAsiaTheme="minorEastAsia" w:hAnsiTheme="minorHAnsi" w:cstheme="minorBidi"/>
          <w:noProof/>
          <w:sz w:val="24"/>
          <w:szCs w:val="24"/>
          <w:lang w:eastAsia="ja-JP"/>
        </w:rPr>
        <w:tab/>
      </w:r>
      <w:r>
        <w:rPr>
          <w:noProof/>
        </w:rPr>
        <w:t>Supply lines</w:t>
      </w:r>
      <w:r>
        <w:rPr>
          <w:noProof/>
        </w:rPr>
        <w:tab/>
      </w:r>
      <w:r>
        <w:rPr>
          <w:noProof/>
        </w:rPr>
        <w:fldChar w:fldCharType="begin"/>
      </w:r>
      <w:r>
        <w:rPr>
          <w:noProof/>
        </w:rPr>
        <w:instrText xml:space="preserve"> PAGEREF _Toc233084164 \h </w:instrText>
      </w:r>
      <w:r>
        <w:rPr>
          <w:noProof/>
        </w:rPr>
      </w:r>
      <w:r>
        <w:rPr>
          <w:noProof/>
        </w:rPr>
        <w:fldChar w:fldCharType="separate"/>
      </w:r>
      <w:r w:rsidR="00196462">
        <w:rPr>
          <w:noProof/>
        </w:rPr>
        <w:t>83</w:t>
      </w:r>
      <w:r>
        <w:rPr>
          <w:noProof/>
        </w:rPr>
        <w:fldChar w:fldCharType="end"/>
      </w:r>
    </w:p>
    <w:p w14:paraId="6EC21003"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7.3</w:t>
      </w:r>
      <w:r>
        <w:rPr>
          <w:rFonts w:asciiTheme="minorHAnsi" w:eastAsiaTheme="minorEastAsia" w:hAnsiTheme="minorHAnsi" w:cstheme="minorBidi"/>
          <w:noProof/>
          <w:sz w:val="24"/>
          <w:szCs w:val="24"/>
          <w:lang w:eastAsia="ja-JP"/>
        </w:rPr>
        <w:tab/>
      </w:r>
      <w:r>
        <w:rPr>
          <w:noProof/>
        </w:rPr>
        <w:t>Indicators of value</w:t>
      </w:r>
      <w:r>
        <w:rPr>
          <w:noProof/>
        </w:rPr>
        <w:tab/>
      </w:r>
      <w:r>
        <w:rPr>
          <w:noProof/>
        </w:rPr>
        <w:fldChar w:fldCharType="begin"/>
      </w:r>
      <w:r>
        <w:rPr>
          <w:noProof/>
        </w:rPr>
        <w:instrText xml:space="preserve"> PAGEREF _Toc233084165 \h </w:instrText>
      </w:r>
      <w:r>
        <w:rPr>
          <w:noProof/>
        </w:rPr>
      </w:r>
      <w:r>
        <w:rPr>
          <w:noProof/>
        </w:rPr>
        <w:fldChar w:fldCharType="separate"/>
      </w:r>
      <w:r w:rsidR="00196462">
        <w:rPr>
          <w:noProof/>
        </w:rPr>
        <w:t>84</w:t>
      </w:r>
      <w:r>
        <w:rPr>
          <w:noProof/>
        </w:rPr>
        <w:fldChar w:fldCharType="end"/>
      </w:r>
    </w:p>
    <w:p w14:paraId="25ED3821" w14:textId="77777777" w:rsidR="00C3395E" w:rsidRDefault="00C3395E">
      <w:pPr>
        <w:pStyle w:val="TOC1"/>
        <w:rPr>
          <w:rFonts w:asciiTheme="minorHAnsi" w:eastAsiaTheme="minorEastAsia" w:hAnsiTheme="minorHAnsi" w:cstheme="minorBidi"/>
          <w:b w:val="0"/>
          <w:color w:val="auto"/>
          <w:lang w:eastAsia="ja-JP"/>
        </w:rPr>
      </w:pPr>
      <w:r>
        <w:t>8</w:t>
      </w:r>
      <w:r>
        <w:rPr>
          <w:rFonts w:asciiTheme="minorHAnsi" w:eastAsiaTheme="minorEastAsia" w:hAnsiTheme="minorHAnsi" w:cstheme="minorBidi"/>
          <w:b w:val="0"/>
          <w:color w:val="auto"/>
          <w:lang w:eastAsia="ja-JP"/>
        </w:rPr>
        <w:tab/>
      </w:r>
      <w:r>
        <w:t>The dependent economy</w:t>
      </w:r>
      <w:r>
        <w:tab/>
      </w:r>
      <w:r>
        <w:fldChar w:fldCharType="begin"/>
      </w:r>
      <w:r>
        <w:instrText xml:space="preserve"> PAGEREF _Toc233084166 \h </w:instrText>
      </w:r>
      <w:r>
        <w:fldChar w:fldCharType="separate"/>
      </w:r>
      <w:r w:rsidR="00196462">
        <w:t>93</w:t>
      </w:r>
      <w:r>
        <w:fldChar w:fldCharType="end"/>
      </w:r>
    </w:p>
    <w:p w14:paraId="188F1957"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8.1</w:t>
      </w:r>
      <w:r>
        <w:rPr>
          <w:rFonts w:asciiTheme="minorHAnsi" w:eastAsiaTheme="minorEastAsia" w:hAnsiTheme="minorHAnsi" w:cstheme="minorBidi"/>
          <w:noProof/>
          <w:sz w:val="24"/>
          <w:szCs w:val="24"/>
          <w:lang w:eastAsia="ja-JP"/>
        </w:rPr>
        <w:tab/>
      </w:r>
      <w:r>
        <w:rPr>
          <w:noProof/>
        </w:rPr>
        <w:t>Cold food and money – the refrigerated cold food chain</w:t>
      </w:r>
      <w:r>
        <w:rPr>
          <w:noProof/>
        </w:rPr>
        <w:tab/>
      </w:r>
      <w:r>
        <w:rPr>
          <w:noProof/>
        </w:rPr>
        <w:fldChar w:fldCharType="begin"/>
      </w:r>
      <w:r>
        <w:rPr>
          <w:noProof/>
        </w:rPr>
        <w:instrText xml:space="preserve"> PAGEREF _Toc233084167 \h </w:instrText>
      </w:r>
      <w:r>
        <w:rPr>
          <w:noProof/>
        </w:rPr>
      </w:r>
      <w:r>
        <w:rPr>
          <w:noProof/>
        </w:rPr>
        <w:fldChar w:fldCharType="separate"/>
      </w:r>
      <w:r w:rsidR="00196462">
        <w:rPr>
          <w:noProof/>
        </w:rPr>
        <w:t>93</w:t>
      </w:r>
      <w:r>
        <w:rPr>
          <w:noProof/>
        </w:rPr>
        <w:fldChar w:fldCharType="end"/>
      </w:r>
    </w:p>
    <w:p w14:paraId="44CBDFCB"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8.2</w:t>
      </w:r>
      <w:r>
        <w:rPr>
          <w:rFonts w:asciiTheme="minorHAnsi" w:eastAsiaTheme="minorEastAsia" w:hAnsiTheme="minorHAnsi" w:cstheme="minorBidi"/>
          <w:noProof/>
          <w:sz w:val="24"/>
          <w:szCs w:val="24"/>
          <w:lang w:eastAsia="ja-JP"/>
        </w:rPr>
        <w:tab/>
      </w:r>
      <w:r>
        <w:rPr>
          <w:noProof/>
        </w:rPr>
        <w:t>Supermarkets – large energy consumers</w:t>
      </w:r>
      <w:r>
        <w:rPr>
          <w:noProof/>
        </w:rPr>
        <w:tab/>
      </w:r>
      <w:r>
        <w:rPr>
          <w:noProof/>
        </w:rPr>
        <w:fldChar w:fldCharType="begin"/>
      </w:r>
      <w:r>
        <w:rPr>
          <w:noProof/>
        </w:rPr>
        <w:instrText xml:space="preserve"> PAGEREF _Toc233084168 \h </w:instrText>
      </w:r>
      <w:r>
        <w:rPr>
          <w:noProof/>
        </w:rPr>
      </w:r>
      <w:r>
        <w:rPr>
          <w:noProof/>
        </w:rPr>
        <w:fldChar w:fldCharType="separate"/>
      </w:r>
      <w:r w:rsidR="00196462">
        <w:rPr>
          <w:noProof/>
        </w:rPr>
        <w:t>95</w:t>
      </w:r>
      <w:r>
        <w:rPr>
          <w:noProof/>
        </w:rPr>
        <w:fldChar w:fldCharType="end"/>
      </w:r>
    </w:p>
    <w:p w14:paraId="5C5549A2"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8.3</w:t>
      </w:r>
      <w:r>
        <w:rPr>
          <w:rFonts w:asciiTheme="minorHAnsi" w:eastAsiaTheme="minorEastAsia" w:hAnsiTheme="minorHAnsi" w:cstheme="minorBidi"/>
          <w:noProof/>
          <w:sz w:val="24"/>
          <w:szCs w:val="24"/>
          <w:lang w:eastAsia="ja-JP"/>
        </w:rPr>
        <w:tab/>
      </w:r>
      <w:r>
        <w:rPr>
          <w:noProof/>
        </w:rPr>
        <w:t>Stationary air conditioning embedded in the architecture</w:t>
      </w:r>
      <w:r>
        <w:rPr>
          <w:noProof/>
        </w:rPr>
        <w:tab/>
      </w:r>
      <w:r>
        <w:rPr>
          <w:noProof/>
        </w:rPr>
        <w:fldChar w:fldCharType="begin"/>
      </w:r>
      <w:r>
        <w:rPr>
          <w:noProof/>
        </w:rPr>
        <w:instrText xml:space="preserve"> PAGEREF _Toc233084169 \h </w:instrText>
      </w:r>
      <w:r>
        <w:rPr>
          <w:noProof/>
        </w:rPr>
      </w:r>
      <w:r>
        <w:rPr>
          <w:noProof/>
        </w:rPr>
        <w:fldChar w:fldCharType="separate"/>
      </w:r>
      <w:r w:rsidR="00196462">
        <w:rPr>
          <w:noProof/>
        </w:rPr>
        <w:t>98</w:t>
      </w:r>
      <w:r>
        <w:rPr>
          <w:noProof/>
        </w:rPr>
        <w:fldChar w:fldCharType="end"/>
      </w:r>
    </w:p>
    <w:p w14:paraId="4EF6B25A"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8.4</w:t>
      </w:r>
      <w:r>
        <w:rPr>
          <w:rFonts w:asciiTheme="minorHAnsi" w:eastAsiaTheme="minorEastAsia" w:hAnsiTheme="minorHAnsi" w:cstheme="minorBidi"/>
          <w:noProof/>
          <w:sz w:val="24"/>
          <w:szCs w:val="24"/>
          <w:lang w:eastAsia="ja-JP"/>
        </w:rPr>
        <w:tab/>
      </w:r>
      <w:r>
        <w:rPr>
          <w:noProof/>
        </w:rPr>
        <w:t>Cool computers</w:t>
      </w:r>
      <w:r>
        <w:rPr>
          <w:noProof/>
        </w:rPr>
        <w:tab/>
      </w:r>
      <w:r>
        <w:rPr>
          <w:noProof/>
        </w:rPr>
        <w:fldChar w:fldCharType="begin"/>
      </w:r>
      <w:r>
        <w:rPr>
          <w:noProof/>
        </w:rPr>
        <w:instrText xml:space="preserve"> PAGEREF _Toc233084170 \h </w:instrText>
      </w:r>
      <w:r>
        <w:rPr>
          <w:noProof/>
        </w:rPr>
      </w:r>
      <w:r>
        <w:rPr>
          <w:noProof/>
        </w:rPr>
        <w:fldChar w:fldCharType="separate"/>
      </w:r>
      <w:r w:rsidR="00196462">
        <w:rPr>
          <w:noProof/>
        </w:rPr>
        <w:t>99</w:t>
      </w:r>
      <w:r>
        <w:rPr>
          <w:noProof/>
        </w:rPr>
        <w:fldChar w:fldCharType="end"/>
      </w:r>
    </w:p>
    <w:p w14:paraId="6925131D" w14:textId="77777777" w:rsidR="00C3395E" w:rsidRDefault="00C3395E">
      <w:pPr>
        <w:pStyle w:val="TOC2"/>
        <w:rPr>
          <w:rFonts w:asciiTheme="minorHAnsi" w:eastAsiaTheme="minorEastAsia" w:hAnsiTheme="minorHAnsi" w:cstheme="minorBidi"/>
          <w:noProof/>
          <w:sz w:val="24"/>
          <w:szCs w:val="24"/>
          <w:lang w:eastAsia="ja-JP"/>
        </w:rPr>
      </w:pPr>
      <w:r w:rsidRPr="006B5CEE">
        <w:rPr>
          <w:noProof/>
        </w:rPr>
        <w:t>8.5</w:t>
      </w:r>
      <w:r>
        <w:rPr>
          <w:rFonts w:asciiTheme="minorHAnsi" w:eastAsiaTheme="minorEastAsia" w:hAnsiTheme="minorHAnsi" w:cstheme="minorBidi"/>
          <w:noProof/>
          <w:sz w:val="24"/>
          <w:szCs w:val="24"/>
          <w:lang w:eastAsia="ja-JP"/>
        </w:rPr>
        <w:tab/>
      </w:r>
      <w:r>
        <w:rPr>
          <w:noProof/>
        </w:rPr>
        <w:t>Cool and clean - hospitals</w:t>
      </w:r>
      <w:r>
        <w:rPr>
          <w:noProof/>
        </w:rPr>
        <w:tab/>
      </w:r>
      <w:r>
        <w:rPr>
          <w:noProof/>
        </w:rPr>
        <w:fldChar w:fldCharType="begin"/>
      </w:r>
      <w:r>
        <w:rPr>
          <w:noProof/>
        </w:rPr>
        <w:instrText xml:space="preserve"> PAGEREF _Toc233084171 \h </w:instrText>
      </w:r>
      <w:r>
        <w:rPr>
          <w:noProof/>
        </w:rPr>
      </w:r>
      <w:r>
        <w:rPr>
          <w:noProof/>
        </w:rPr>
        <w:fldChar w:fldCharType="separate"/>
      </w:r>
      <w:r w:rsidR="00196462">
        <w:rPr>
          <w:noProof/>
        </w:rPr>
        <w:t>100</w:t>
      </w:r>
      <w:r>
        <w:rPr>
          <w:noProof/>
        </w:rPr>
        <w:fldChar w:fldCharType="end"/>
      </w:r>
    </w:p>
    <w:p w14:paraId="4E5B395E" w14:textId="77777777" w:rsidR="00C3395E" w:rsidRDefault="00C3395E">
      <w:pPr>
        <w:pStyle w:val="TOC1"/>
        <w:rPr>
          <w:rFonts w:asciiTheme="minorHAnsi" w:eastAsiaTheme="minorEastAsia" w:hAnsiTheme="minorHAnsi" w:cstheme="minorBidi"/>
          <w:b w:val="0"/>
          <w:color w:val="auto"/>
          <w:lang w:eastAsia="ja-JP"/>
        </w:rPr>
      </w:pPr>
      <w:r>
        <w:t>9</w:t>
      </w:r>
      <w:r>
        <w:rPr>
          <w:rFonts w:asciiTheme="minorHAnsi" w:eastAsiaTheme="minorEastAsia" w:hAnsiTheme="minorHAnsi" w:cstheme="minorBidi"/>
          <w:b w:val="0"/>
          <w:color w:val="auto"/>
          <w:lang w:eastAsia="ja-JP"/>
        </w:rPr>
        <w:tab/>
      </w:r>
      <w:r>
        <w:t>CHF1 and CHF2 Comparative measures</w:t>
      </w:r>
      <w:r>
        <w:tab/>
      </w:r>
      <w:r>
        <w:fldChar w:fldCharType="begin"/>
      </w:r>
      <w:r>
        <w:instrText xml:space="preserve"> PAGEREF _Toc233084172 \h </w:instrText>
      </w:r>
      <w:r>
        <w:fldChar w:fldCharType="separate"/>
      </w:r>
      <w:r w:rsidR="00196462">
        <w:t>104</w:t>
      </w:r>
      <w:r>
        <w:fldChar w:fldCharType="end"/>
      </w:r>
    </w:p>
    <w:p w14:paraId="239CAC04" w14:textId="5367E019" w:rsidR="003937A5" w:rsidRPr="00BE3B27" w:rsidRDefault="00C3395E" w:rsidP="003937A5">
      <w:pPr>
        <w:rPr>
          <w:rFonts w:asciiTheme="majorHAnsi" w:hAnsiTheme="majorHAnsi"/>
          <w:sz w:val="36"/>
          <w:szCs w:val="36"/>
        </w:rPr>
      </w:pPr>
      <w:r>
        <w:rPr>
          <w:rFonts w:ascii="Verdana" w:eastAsia="Times New Roman" w:hAnsi="Verdana" w:cs="Times New Roman"/>
          <w:noProof/>
          <w:color w:val="31849B" w:themeColor="accent5" w:themeShade="BF"/>
          <w:sz w:val="20"/>
          <w:szCs w:val="20"/>
          <w:lang w:val="en-US"/>
        </w:rPr>
        <w:lastRenderedPageBreak/>
        <w:fldChar w:fldCharType="end"/>
      </w:r>
      <w:r w:rsidR="003937A5" w:rsidRPr="00BE3B27">
        <w:rPr>
          <w:rFonts w:asciiTheme="majorHAnsi" w:hAnsiTheme="majorHAnsi"/>
          <w:sz w:val="36"/>
          <w:szCs w:val="36"/>
        </w:rPr>
        <w:t>Appendices</w:t>
      </w:r>
    </w:p>
    <w:p w14:paraId="65157A33" w14:textId="2677FC8A" w:rsidR="00482A8A" w:rsidRDefault="00482A8A" w:rsidP="003937A5">
      <w:pPr>
        <w:rPr>
          <w:rFonts w:ascii="Calibri" w:hAnsi="Calibri"/>
          <w:b/>
          <w:noProof/>
          <w:color w:val="31849B" w:themeColor="accent5" w:themeShade="BF"/>
        </w:rPr>
      </w:pPr>
      <w:r w:rsidRPr="00482A8A">
        <w:rPr>
          <w:rFonts w:ascii="Calibri" w:hAnsi="Calibri"/>
          <w:b/>
          <w:noProof/>
          <w:color w:val="31849B" w:themeColor="accent5" w:themeShade="BF"/>
        </w:rPr>
        <w:t>Appendix A: Methodology</w:t>
      </w:r>
    </w:p>
    <w:p w14:paraId="6D6F2BE6" w14:textId="77777777" w:rsidR="00482A8A" w:rsidRDefault="00482A8A" w:rsidP="003937A5">
      <w:pPr>
        <w:rPr>
          <w:rFonts w:ascii="Calibri" w:hAnsi="Calibri"/>
          <w:b/>
          <w:noProof/>
          <w:color w:val="31849B" w:themeColor="accent5" w:themeShade="BF"/>
        </w:rPr>
      </w:pPr>
      <w:r w:rsidRPr="00482A8A">
        <w:rPr>
          <w:rFonts w:ascii="Calibri" w:hAnsi="Calibri"/>
          <w:b/>
          <w:noProof/>
          <w:color w:val="31849B" w:themeColor="accent5" w:themeShade="BF"/>
        </w:rPr>
        <w:t>Appendix B: Technical resources and assumptions</w:t>
      </w:r>
    </w:p>
    <w:p w14:paraId="7704179F" w14:textId="5CF40440" w:rsidR="00CD5A5F" w:rsidRDefault="00CD5A5F" w:rsidP="003937A5">
      <w:pPr>
        <w:rPr>
          <w:rFonts w:ascii="Calibri" w:hAnsi="Calibri"/>
          <w:b/>
          <w:noProof/>
          <w:color w:val="31849B" w:themeColor="accent5" w:themeShade="BF"/>
        </w:rPr>
      </w:pPr>
      <w:r w:rsidRPr="00CD5A5F">
        <w:rPr>
          <w:rFonts w:ascii="Calibri" w:hAnsi="Calibri"/>
          <w:b/>
          <w:noProof/>
          <w:color w:val="31849B" w:themeColor="accent5" w:themeShade="BF"/>
        </w:rPr>
        <w:t>Appendix C: End-use applications for RAC systems</w:t>
      </w:r>
    </w:p>
    <w:p w14:paraId="39622EC0" w14:textId="4D9AE079" w:rsidR="00CD5A5F" w:rsidRDefault="00CD5A5F" w:rsidP="003937A5">
      <w:pPr>
        <w:rPr>
          <w:rFonts w:ascii="Calibri" w:hAnsi="Calibri"/>
          <w:b/>
          <w:noProof/>
          <w:color w:val="31849B" w:themeColor="accent5" w:themeShade="BF"/>
        </w:rPr>
      </w:pPr>
      <w:r w:rsidRPr="00CD5A5F">
        <w:rPr>
          <w:rFonts w:ascii="Calibri" w:hAnsi="Calibri"/>
          <w:b/>
          <w:noProof/>
          <w:color w:val="31849B" w:themeColor="accent5" w:themeShade="BF"/>
        </w:rPr>
        <w:t>Appendix D: The stock of equipment</w:t>
      </w:r>
    </w:p>
    <w:p w14:paraId="44E6E5C6" w14:textId="78B839A5" w:rsidR="00CD5A5F" w:rsidRPr="00B83873" w:rsidRDefault="00CD5A5F" w:rsidP="003937A5">
      <w:pPr>
        <w:rPr>
          <w:rFonts w:ascii="Calibri" w:hAnsi="Calibri"/>
          <w:b/>
          <w:noProof/>
          <w:color w:val="31849B" w:themeColor="accent5" w:themeShade="BF"/>
        </w:rPr>
      </w:pPr>
      <w:r w:rsidRPr="00CD5A5F">
        <w:rPr>
          <w:rFonts w:ascii="Calibri" w:hAnsi="Calibri"/>
          <w:b/>
          <w:noProof/>
          <w:color w:val="31849B" w:themeColor="accent5" w:themeShade="BF"/>
        </w:rPr>
        <w:t>Appendix E: Business and employment types</w:t>
      </w:r>
    </w:p>
    <w:p w14:paraId="693EF323" w14:textId="77777777" w:rsidR="005A1640" w:rsidRDefault="005A1640" w:rsidP="003937A5">
      <w:pPr>
        <w:spacing w:after="120"/>
        <w:rPr>
          <w:rFonts w:ascii="Cambria" w:hAnsi="Cambria"/>
          <w:b/>
          <w:color w:val="548DD4"/>
          <w:szCs w:val="20"/>
        </w:rPr>
      </w:pPr>
    </w:p>
    <w:p w14:paraId="2AF9EEE1" w14:textId="1374465A" w:rsidR="003937A5" w:rsidRPr="003937A5" w:rsidRDefault="003937A5" w:rsidP="003937A5">
      <w:pPr>
        <w:spacing w:after="120"/>
        <w:rPr>
          <w:rFonts w:asciiTheme="majorHAnsi" w:hAnsiTheme="majorHAnsi"/>
          <w:sz w:val="36"/>
          <w:szCs w:val="36"/>
        </w:rPr>
      </w:pPr>
      <w:r w:rsidRPr="003937A5">
        <w:rPr>
          <w:rFonts w:asciiTheme="majorHAnsi" w:hAnsiTheme="majorHAnsi"/>
          <w:sz w:val="36"/>
          <w:szCs w:val="36"/>
        </w:rPr>
        <w:t>List of Tables</w:t>
      </w:r>
    </w:p>
    <w:p w14:paraId="035599C0"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Pr>
          <w:szCs w:val="20"/>
        </w:rPr>
        <w:fldChar w:fldCharType="begin"/>
      </w:r>
      <w:r>
        <w:rPr>
          <w:szCs w:val="20"/>
        </w:rPr>
        <w:instrText xml:space="preserve"> TOC \c "Table" </w:instrText>
      </w:r>
      <w:r>
        <w:rPr>
          <w:szCs w:val="20"/>
        </w:rPr>
        <w:fldChar w:fldCharType="separate"/>
      </w:r>
      <w:r w:rsidRPr="00642B0A">
        <w:rPr>
          <w:i/>
          <w:noProof/>
        </w:rPr>
        <w:t>Table 1: Main economic indicators of RAC industry activity 2012</w:t>
      </w:r>
      <w:r>
        <w:rPr>
          <w:noProof/>
        </w:rPr>
        <w:tab/>
      </w:r>
      <w:r>
        <w:rPr>
          <w:noProof/>
        </w:rPr>
        <w:fldChar w:fldCharType="begin"/>
      </w:r>
      <w:r>
        <w:rPr>
          <w:noProof/>
        </w:rPr>
        <w:instrText xml:space="preserve"> PAGEREF _Toc233084045 \h </w:instrText>
      </w:r>
      <w:r>
        <w:rPr>
          <w:noProof/>
        </w:rPr>
      </w:r>
      <w:r>
        <w:rPr>
          <w:noProof/>
        </w:rPr>
        <w:fldChar w:fldCharType="separate"/>
      </w:r>
      <w:r w:rsidR="00196462">
        <w:rPr>
          <w:noProof/>
        </w:rPr>
        <w:t>13</w:t>
      </w:r>
      <w:r>
        <w:rPr>
          <w:noProof/>
        </w:rPr>
        <w:fldChar w:fldCharType="end"/>
      </w:r>
    </w:p>
    <w:p w14:paraId="05F80BD5"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2: A taxonomy of RAC technology</w:t>
      </w:r>
      <w:r>
        <w:rPr>
          <w:noProof/>
        </w:rPr>
        <w:tab/>
      </w:r>
      <w:r>
        <w:rPr>
          <w:noProof/>
        </w:rPr>
        <w:fldChar w:fldCharType="begin"/>
      </w:r>
      <w:r>
        <w:rPr>
          <w:noProof/>
        </w:rPr>
        <w:instrText xml:space="preserve"> PAGEREF _Toc233084046 \h </w:instrText>
      </w:r>
      <w:r>
        <w:rPr>
          <w:noProof/>
        </w:rPr>
      </w:r>
      <w:r>
        <w:rPr>
          <w:noProof/>
        </w:rPr>
        <w:fldChar w:fldCharType="separate"/>
      </w:r>
      <w:r w:rsidR="00196462">
        <w:rPr>
          <w:noProof/>
        </w:rPr>
        <w:t>20</w:t>
      </w:r>
      <w:r>
        <w:rPr>
          <w:noProof/>
        </w:rPr>
        <w:fldChar w:fldCharType="end"/>
      </w:r>
    </w:p>
    <w:p w14:paraId="17EA9CE2"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3: Stationary air conditioning taxonomy</w:t>
      </w:r>
      <w:r>
        <w:rPr>
          <w:noProof/>
        </w:rPr>
        <w:tab/>
      </w:r>
      <w:r>
        <w:rPr>
          <w:noProof/>
        </w:rPr>
        <w:fldChar w:fldCharType="begin"/>
      </w:r>
      <w:r>
        <w:rPr>
          <w:noProof/>
        </w:rPr>
        <w:instrText xml:space="preserve"> PAGEREF _Toc233084047 \h </w:instrText>
      </w:r>
      <w:r>
        <w:rPr>
          <w:noProof/>
        </w:rPr>
      </w:r>
      <w:r>
        <w:rPr>
          <w:noProof/>
        </w:rPr>
        <w:fldChar w:fldCharType="separate"/>
      </w:r>
      <w:r w:rsidR="00196462">
        <w:rPr>
          <w:noProof/>
        </w:rPr>
        <w:t>24</w:t>
      </w:r>
      <w:r>
        <w:rPr>
          <w:noProof/>
        </w:rPr>
        <w:fldChar w:fldCharType="end"/>
      </w:r>
    </w:p>
    <w:p w14:paraId="1E914DEA"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4: Stationary air conditioning by category and stock numbers</w:t>
      </w:r>
      <w:r>
        <w:rPr>
          <w:noProof/>
        </w:rPr>
        <w:tab/>
      </w:r>
      <w:r>
        <w:rPr>
          <w:noProof/>
        </w:rPr>
        <w:fldChar w:fldCharType="begin"/>
      </w:r>
      <w:r>
        <w:rPr>
          <w:noProof/>
        </w:rPr>
        <w:instrText xml:space="preserve"> PAGEREF _Toc233084048 \h </w:instrText>
      </w:r>
      <w:r>
        <w:rPr>
          <w:noProof/>
        </w:rPr>
      </w:r>
      <w:r>
        <w:rPr>
          <w:noProof/>
        </w:rPr>
        <w:fldChar w:fldCharType="separate"/>
      </w:r>
      <w:r w:rsidR="00196462">
        <w:rPr>
          <w:noProof/>
        </w:rPr>
        <w:t>25</w:t>
      </w:r>
      <w:r>
        <w:rPr>
          <w:noProof/>
        </w:rPr>
        <w:fldChar w:fldCharType="end"/>
      </w:r>
    </w:p>
    <w:p w14:paraId="4766CC3F"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5: Stationary air conditioning main metrics</w:t>
      </w:r>
      <w:r>
        <w:rPr>
          <w:noProof/>
        </w:rPr>
        <w:tab/>
      </w:r>
      <w:r>
        <w:rPr>
          <w:noProof/>
        </w:rPr>
        <w:fldChar w:fldCharType="begin"/>
      </w:r>
      <w:r>
        <w:rPr>
          <w:noProof/>
        </w:rPr>
        <w:instrText xml:space="preserve"> PAGEREF _Toc233084049 \h </w:instrText>
      </w:r>
      <w:r>
        <w:rPr>
          <w:noProof/>
        </w:rPr>
      </w:r>
      <w:r>
        <w:rPr>
          <w:noProof/>
        </w:rPr>
        <w:fldChar w:fldCharType="separate"/>
      </w:r>
      <w:r w:rsidR="00196462">
        <w:rPr>
          <w:noProof/>
        </w:rPr>
        <w:t>28</w:t>
      </w:r>
      <w:r>
        <w:rPr>
          <w:noProof/>
        </w:rPr>
        <w:fldChar w:fldCharType="end"/>
      </w:r>
    </w:p>
    <w:p w14:paraId="4DB6563E"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6: Mobile air conditioning taxonomy</w:t>
      </w:r>
      <w:r>
        <w:rPr>
          <w:noProof/>
        </w:rPr>
        <w:tab/>
      </w:r>
      <w:r>
        <w:rPr>
          <w:noProof/>
        </w:rPr>
        <w:fldChar w:fldCharType="begin"/>
      </w:r>
      <w:r>
        <w:rPr>
          <w:noProof/>
        </w:rPr>
        <w:instrText xml:space="preserve"> PAGEREF _Toc233084050 \h </w:instrText>
      </w:r>
      <w:r>
        <w:rPr>
          <w:noProof/>
        </w:rPr>
      </w:r>
      <w:r>
        <w:rPr>
          <w:noProof/>
        </w:rPr>
        <w:fldChar w:fldCharType="separate"/>
      </w:r>
      <w:r w:rsidR="00196462">
        <w:rPr>
          <w:noProof/>
        </w:rPr>
        <w:t>29</w:t>
      </w:r>
      <w:r>
        <w:rPr>
          <w:noProof/>
        </w:rPr>
        <w:fldChar w:fldCharType="end"/>
      </w:r>
    </w:p>
    <w:p w14:paraId="67175BB1"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7: Mobile air conditioning by category and stock numbers</w:t>
      </w:r>
      <w:r>
        <w:rPr>
          <w:noProof/>
        </w:rPr>
        <w:tab/>
      </w:r>
      <w:r>
        <w:rPr>
          <w:noProof/>
        </w:rPr>
        <w:fldChar w:fldCharType="begin"/>
      </w:r>
      <w:r>
        <w:rPr>
          <w:noProof/>
        </w:rPr>
        <w:instrText xml:space="preserve"> PAGEREF _Toc233084051 \h </w:instrText>
      </w:r>
      <w:r>
        <w:rPr>
          <w:noProof/>
        </w:rPr>
      </w:r>
      <w:r>
        <w:rPr>
          <w:noProof/>
        </w:rPr>
        <w:fldChar w:fldCharType="separate"/>
      </w:r>
      <w:r w:rsidR="00196462">
        <w:rPr>
          <w:noProof/>
        </w:rPr>
        <w:t>30</w:t>
      </w:r>
      <w:r>
        <w:rPr>
          <w:noProof/>
        </w:rPr>
        <w:fldChar w:fldCharType="end"/>
      </w:r>
    </w:p>
    <w:p w14:paraId="062586F9"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8: Mobile air conditioning main metrics</w:t>
      </w:r>
      <w:r>
        <w:rPr>
          <w:noProof/>
        </w:rPr>
        <w:tab/>
      </w:r>
      <w:r>
        <w:rPr>
          <w:noProof/>
        </w:rPr>
        <w:fldChar w:fldCharType="begin"/>
      </w:r>
      <w:r>
        <w:rPr>
          <w:noProof/>
        </w:rPr>
        <w:instrText xml:space="preserve"> PAGEREF _Toc233084052 \h </w:instrText>
      </w:r>
      <w:r>
        <w:rPr>
          <w:noProof/>
        </w:rPr>
      </w:r>
      <w:r>
        <w:rPr>
          <w:noProof/>
        </w:rPr>
        <w:fldChar w:fldCharType="separate"/>
      </w:r>
      <w:r w:rsidR="00196462">
        <w:rPr>
          <w:noProof/>
        </w:rPr>
        <w:t>31</w:t>
      </w:r>
      <w:r>
        <w:rPr>
          <w:noProof/>
        </w:rPr>
        <w:fldChar w:fldCharType="end"/>
      </w:r>
    </w:p>
    <w:p w14:paraId="68B7A09F"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9: Domestic refrigeration taxonomy</w:t>
      </w:r>
      <w:r>
        <w:rPr>
          <w:noProof/>
        </w:rPr>
        <w:tab/>
      </w:r>
      <w:r>
        <w:rPr>
          <w:noProof/>
        </w:rPr>
        <w:fldChar w:fldCharType="begin"/>
      </w:r>
      <w:r>
        <w:rPr>
          <w:noProof/>
        </w:rPr>
        <w:instrText xml:space="preserve"> PAGEREF _Toc233084053 \h </w:instrText>
      </w:r>
      <w:r>
        <w:rPr>
          <w:noProof/>
        </w:rPr>
      </w:r>
      <w:r>
        <w:rPr>
          <w:noProof/>
        </w:rPr>
        <w:fldChar w:fldCharType="separate"/>
      </w:r>
      <w:r w:rsidR="00196462">
        <w:rPr>
          <w:noProof/>
        </w:rPr>
        <w:t>32</w:t>
      </w:r>
      <w:r>
        <w:rPr>
          <w:noProof/>
        </w:rPr>
        <w:fldChar w:fldCharType="end"/>
      </w:r>
    </w:p>
    <w:p w14:paraId="6799ED5E"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10: Domestic refrigeration main metrics</w:t>
      </w:r>
      <w:r>
        <w:rPr>
          <w:noProof/>
        </w:rPr>
        <w:tab/>
      </w:r>
      <w:r>
        <w:rPr>
          <w:noProof/>
        </w:rPr>
        <w:fldChar w:fldCharType="begin"/>
      </w:r>
      <w:r>
        <w:rPr>
          <w:noProof/>
        </w:rPr>
        <w:instrText xml:space="preserve"> PAGEREF _Toc233084054 \h </w:instrText>
      </w:r>
      <w:r>
        <w:rPr>
          <w:noProof/>
        </w:rPr>
      </w:r>
      <w:r>
        <w:rPr>
          <w:noProof/>
        </w:rPr>
        <w:fldChar w:fldCharType="separate"/>
      </w:r>
      <w:r w:rsidR="00196462">
        <w:rPr>
          <w:noProof/>
        </w:rPr>
        <w:t>34</w:t>
      </w:r>
      <w:r>
        <w:rPr>
          <w:noProof/>
        </w:rPr>
        <w:fldChar w:fldCharType="end"/>
      </w:r>
    </w:p>
    <w:p w14:paraId="173427C9"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11: Refrigerated cold food chain taxonomy</w:t>
      </w:r>
      <w:r>
        <w:rPr>
          <w:noProof/>
        </w:rPr>
        <w:tab/>
      </w:r>
      <w:r>
        <w:rPr>
          <w:noProof/>
        </w:rPr>
        <w:fldChar w:fldCharType="begin"/>
      </w:r>
      <w:r>
        <w:rPr>
          <w:noProof/>
        </w:rPr>
        <w:instrText xml:space="preserve"> PAGEREF _Toc233084055 \h </w:instrText>
      </w:r>
      <w:r>
        <w:rPr>
          <w:noProof/>
        </w:rPr>
      </w:r>
      <w:r>
        <w:rPr>
          <w:noProof/>
        </w:rPr>
        <w:fldChar w:fldCharType="separate"/>
      </w:r>
      <w:r w:rsidR="00196462">
        <w:rPr>
          <w:noProof/>
        </w:rPr>
        <w:t>35</w:t>
      </w:r>
      <w:r>
        <w:rPr>
          <w:noProof/>
        </w:rPr>
        <w:fldChar w:fldCharType="end"/>
      </w:r>
    </w:p>
    <w:p w14:paraId="46E70E6E"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12: Refrigerated cold food chain by category and stock numbers</w:t>
      </w:r>
      <w:r>
        <w:rPr>
          <w:noProof/>
        </w:rPr>
        <w:tab/>
      </w:r>
      <w:r>
        <w:rPr>
          <w:noProof/>
        </w:rPr>
        <w:fldChar w:fldCharType="begin"/>
      </w:r>
      <w:r>
        <w:rPr>
          <w:noProof/>
        </w:rPr>
        <w:instrText xml:space="preserve"> PAGEREF _Toc233084056 \h </w:instrText>
      </w:r>
      <w:r>
        <w:rPr>
          <w:noProof/>
        </w:rPr>
      </w:r>
      <w:r>
        <w:rPr>
          <w:noProof/>
        </w:rPr>
        <w:fldChar w:fldCharType="separate"/>
      </w:r>
      <w:r w:rsidR="00196462">
        <w:rPr>
          <w:noProof/>
        </w:rPr>
        <w:t>36</w:t>
      </w:r>
      <w:r>
        <w:rPr>
          <w:noProof/>
        </w:rPr>
        <w:fldChar w:fldCharType="end"/>
      </w:r>
    </w:p>
    <w:p w14:paraId="29216595"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13: Refrigerated cold food chain main metrics</w:t>
      </w:r>
      <w:r>
        <w:rPr>
          <w:noProof/>
        </w:rPr>
        <w:tab/>
      </w:r>
      <w:r>
        <w:rPr>
          <w:noProof/>
        </w:rPr>
        <w:fldChar w:fldCharType="begin"/>
      </w:r>
      <w:r>
        <w:rPr>
          <w:noProof/>
        </w:rPr>
        <w:instrText xml:space="preserve"> PAGEREF _Toc233084057 \h </w:instrText>
      </w:r>
      <w:r>
        <w:rPr>
          <w:noProof/>
        </w:rPr>
      </w:r>
      <w:r>
        <w:rPr>
          <w:noProof/>
        </w:rPr>
        <w:fldChar w:fldCharType="separate"/>
      </w:r>
      <w:r w:rsidR="00196462">
        <w:rPr>
          <w:noProof/>
        </w:rPr>
        <w:t>43</w:t>
      </w:r>
      <w:r>
        <w:rPr>
          <w:noProof/>
        </w:rPr>
        <w:fldChar w:fldCharType="end"/>
      </w:r>
    </w:p>
    <w:p w14:paraId="0142D3E2"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14: High GWP refrigerant bank at the end of 2012 by mass in tonnes</w:t>
      </w:r>
      <w:r>
        <w:rPr>
          <w:noProof/>
        </w:rPr>
        <w:tab/>
      </w:r>
      <w:r>
        <w:rPr>
          <w:noProof/>
        </w:rPr>
        <w:fldChar w:fldCharType="begin"/>
      </w:r>
      <w:r>
        <w:rPr>
          <w:noProof/>
        </w:rPr>
        <w:instrText xml:space="preserve"> PAGEREF _Toc233084058 \h </w:instrText>
      </w:r>
      <w:r>
        <w:rPr>
          <w:noProof/>
        </w:rPr>
      </w:r>
      <w:r>
        <w:rPr>
          <w:noProof/>
        </w:rPr>
        <w:fldChar w:fldCharType="separate"/>
      </w:r>
      <w:r w:rsidR="00196462">
        <w:rPr>
          <w:noProof/>
        </w:rPr>
        <w:t>46</w:t>
      </w:r>
      <w:r>
        <w:rPr>
          <w:noProof/>
        </w:rPr>
        <w:fldChar w:fldCharType="end"/>
      </w:r>
    </w:p>
    <w:p w14:paraId="7BC734E7"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15: High GWP refrigerant bank 2006 and 2012 by mass in tonnes</w:t>
      </w:r>
      <w:r>
        <w:rPr>
          <w:noProof/>
        </w:rPr>
        <w:tab/>
      </w:r>
      <w:r>
        <w:rPr>
          <w:noProof/>
        </w:rPr>
        <w:fldChar w:fldCharType="begin"/>
      </w:r>
      <w:r>
        <w:rPr>
          <w:noProof/>
        </w:rPr>
        <w:instrText xml:space="preserve"> PAGEREF _Toc233084059 \h </w:instrText>
      </w:r>
      <w:r>
        <w:rPr>
          <w:noProof/>
        </w:rPr>
      </w:r>
      <w:r>
        <w:rPr>
          <w:noProof/>
        </w:rPr>
        <w:fldChar w:fldCharType="separate"/>
      </w:r>
      <w:r w:rsidR="00196462">
        <w:rPr>
          <w:noProof/>
        </w:rPr>
        <w:t>48</w:t>
      </w:r>
      <w:r>
        <w:rPr>
          <w:noProof/>
        </w:rPr>
        <w:fldChar w:fldCharType="end"/>
      </w:r>
    </w:p>
    <w:p w14:paraId="24457DC7"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16: Estimates of 2012 HCFC and HFC gas consumption and refrigerant bank by major class</w:t>
      </w:r>
      <w:r>
        <w:rPr>
          <w:noProof/>
        </w:rPr>
        <w:tab/>
      </w:r>
      <w:r>
        <w:rPr>
          <w:noProof/>
        </w:rPr>
        <w:fldChar w:fldCharType="begin"/>
      </w:r>
      <w:r>
        <w:rPr>
          <w:noProof/>
        </w:rPr>
        <w:instrText xml:space="preserve"> PAGEREF _Toc233084060 \h </w:instrText>
      </w:r>
      <w:r>
        <w:rPr>
          <w:noProof/>
        </w:rPr>
      </w:r>
      <w:r>
        <w:rPr>
          <w:noProof/>
        </w:rPr>
        <w:fldChar w:fldCharType="separate"/>
      </w:r>
      <w:r w:rsidR="00196462">
        <w:rPr>
          <w:noProof/>
        </w:rPr>
        <w:t>55</w:t>
      </w:r>
      <w:r>
        <w:rPr>
          <w:noProof/>
        </w:rPr>
        <w:fldChar w:fldCharType="end"/>
      </w:r>
    </w:p>
    <w:p w14:paraId="18F7040D"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17: Stationary air conditioning pre-charged equipment imports in Australia 2005 to 2011</w:t>
      </w:r>
      <w:r>
        <w:rPr>
          <w:noProof/>
        </w:rPr>
        <w:tab/>
      </w:r>
      <w:r>
        <w:rPr>
          <w:noProof/>
        </w:rPr>
        <w:fldChar w:fldCharType="begin"/>
      </w:r>
      <w:r>
        <w:rPr>
          <w:noProof/>
        </w:rPr>
        <w:instrText xml:space="preserve"> PAGEREF _Toc233084061 \h </w:instrText>
      </w:r>
      <w:r>
        <w:rPr>
          <w:noProof/>
        </w:rPr>
      </w:r>
      <w:r>
        <w:rPr>
          <w:noProof/>
        </w:rPr>
        <w:fldChar w:fldCharType="separate"/>
      </w:r>
      <w:r w:rsidR="00196462">
        <w:rPr>
          <w:noProof/>
        </w:rPr>
        <w:t>57</w:t>
      </w:r>
      <w:r>
        <w:rPr>
          <w:noProof/>
        </w:rPr>
        <w:fldChar w:fldCharType="end"/>
      </w:r>
    </w:p>
    <w:p w14:paraId="57632882"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18: Low GWP refrigerant bank at end 2012 by mass in tonnes</w:t>
      </w:r>
      <w:r>
        <w:rPr>
          <w:noProof/>
        </w:rPr>
        <w:tab/>
      </w:r>
      <w:r>
        <w:rPr>
          <w:noProof/>
        </w:rPr>
        <w:fldChar w:fldCharType="begin"/>
      </w:r>
      <w:r>
        <w:rPr>
          <w:noProof/>
        </w:rPr>
        <w:instrText xml:space="preserve"> PAGEREF _Toc233084062 \h </w:instrText>
      </w:r>
      <w:r>
        <w:rPr>
          <w:noProof/>
        </w:rPr>
      </w:r>
      <w:r>
        <w:rPr>
          <w:noProof/>
        </w:rPr>
        <w:fldChar w:fldCharType="separate"/>
      </w:r>
      <w:r w:rsidR="00196462">
        <w:rPr>
          <w:noProof/>
        </w:rPr>
        <w:t>65</w:t>
      </w:r>
      <w:r>
        <w:rPr>
          <w:noProof/>
        </w:rPr>
        <w:fldChar w:fldCharType="end"/>
      </w:r>
    </w:p>
    <w:p w14:paraId="1215EF80"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19: Total air conditioning and cooling ventilation energy use in CBBS building stock</w:t>
      </w:r>
      <w:r>
        <w:rPr>
          <w:noProof/>
        </w:rPr>
        <w:tab/>
      </w:r>
      <w:r>
        <w:rPr>
          <w:noProof/>
        </w:rPr>
        <w:fldChar w:fldCharType="begin"/>
      </w:r>
      <w:r>
        <w:rPr>
          <w:noProof/>
        </w:rPr>
        <w:instrText xml:space="preserve"> PAGEREF _Toc233084063 \h </w:instrText>
      </w:r>
      <w:r>
        <w:rPr>
          <w:noProof/>
        </w:rPr>
      </w:r>
      <w:r>
        <w:rPr>
          <w:noProof/>
        </w:rPr>
        <w:fldChar w:fldCharType="separate"/>
      </w:r>
      <w:r w:rsidR="00196462">
        <w:rPr>
          <w:noProof/>
        </w:rPr>
        <w:t>76</w:t>
      </w:r>
      <w:r>
        <w:rPr>
          <w:noProof/>
        </w:rPr>
        <w:fldChar w:fldCharType="end"/>
      </w:r>
    </w:p>
    <w:p w14:paraId="6E91C708"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20: Estimated share of air conditioning category allocation to commercial or residential use</w:t>
      </w:r>
      <w:r>
        <w:rPr>
          <w:noProof/>
        </w:rPr>
        <w:tab/>
      </w:r>
      <w:r>
        <w:rPr>
          <w:noProof/>
        </w:rPr>
        <w:fldChar w:fldCharType="begin"/>
      </w:r>
      <w:r>
        <w:rPr>
          <w:noProof/>
        </w:rPr>
        <w:instrText xml:space="preserve"> PAGEREF _Toc233084064 \h </w:instrText>
      </w:r>
      <w:r>
        <w:rPr>
          <w:noProof/>
        </w:rPr>
      </w:r>
      <w:r>
        <w:rPr>
          <w:noProof/>
        </w:rPr>
        <w:fldChar w:fldCharType="separate"/>
      </w:r>
      <w:r w:rsidR="00196462">
        <w:rPr>
          <w:noProof/>
        </w:rPr>
        <w:t>78</w:t>
      </w:r>
      <w:r>
        <w:rPr>
          <w:noProof/>
        </w:rPr>
        <w:fldChar w:fldCharType="end"/>
      </w:r>
    </w:p>
    <w:p w14:paraId="698D6D53"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21: Share of HVAC&amp;R sector energy consumption and emissions by major class</w:t>
      </w:r>
      <w:r>
        <w:rPr>
          <w:noProof/>
        </w:rPr>
        <w:tab/>
      </w:r>
      <w:r>
        <w:rPr>
          <w:noProof/>
        </w:rPr>
        <w:fldChar w:fldCharType="begin"/>
      </w:r>
      <w:r>
        <w:rPr>
          <w:noProof/>
        </w:rPr>
        <w:instrText xml:space="preserve"> PAGEREF _Toc233084065 \h </w:instrText>
      </w:r>
      <w:r>
        <w:rPr>
          <w:noProof/>
        </w:rPr>
      </w:r>
      <w:r>
        <w:rPr>
          <w:noProof/>
        </w:rPr>
        <w:fldChar w:fldCharType="separate"/>
      </w:r>
      <w:r w:rsidR="00196462">
        <w:rPr>
          <w:noProof/>
        </w:rPr>
        <w:t>82</w:t>
      </w:r>
      <w:r>
        <w:rPr>
          <w:noProof/>
        </w:rPr>
        <w:fldChar w:fldCharType="end"/>
      </w:r>
    </w:p>
    <w:p w14:paraId="71A7E6E3"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22: Estimated cost of energy in air conditioning and refrigeration services in 2012</w:t>
      </w:r>
      <w:r>
        <w:rPr>
          <w:noProof/>
        </w:rPr>
        <w:tab/>
      </w:r>
      <w:r>
        <w:rPr>
          <w:noProof/>
        </w:rPr>
        <w:fldChar w:fldCharType="begin"/>
      </w:r>
      <w:r>
        <w:rPr>
          <w:noProof/>
        </w:rPr>
        <w:instrText xml:space="preserve"> PAGEREF _Toc233084066 \h </w:instrText>
      </w:r>
      <w:r>
        <w:rPr>
          <w:noProof/>
        </w:rPr>
      </w:r>
      <w:r>
        <w:rPr>
          <w:noProof/>
        </w:rPr>
        <w:fldChar w:fldCharType="separate"/>
      </w:r>
      <w:r w:rsidR="00196462">
        <w:rPr>
          <w:noProof/>
        </w:rPr>
        <w:t>84</w:t>
      </w:r>
      <w:r>
        <w:rPr>
          <w:noProof/>
        </w:rPr>
        <w:fldChar w:fldCharType="end"/>
      </w:r>
    </w:p>
    <w:p w14:paraId="51517538"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23: Estimated value of new installed equipment in 2012</w:t>
      </w:r>
      <w:r>
        <w:rPr>
          <w:noProof/>
        </w:rPr>
        <w:tab/>
      </w:r>
      <w:r>
        <w:rPr>
          <w:noProof/>
        </w:rPr>
        <w:fldChar w:fldCharType="begin"/>
      </w:r>
      <w:r>
        <w:rPr>
          <w:noProof/>
        </w:rPr>
        <w:instrText xml:space="preserve"> PAGEREF _Toc233084067 \h </w:instrText>
      </w:r>
      <w:r>
        <w:rPr>
          <w:noProof/>
        </w:rPr>
      </w:r>
      <w:r>
        <w:rPr>
          <w:noProof/>
        </w:rPr>
        <w:fldChar w:fldCharType="separate"/>
      </w:r>
      <w:r w:rsidR="00196462">
        <w:rPr>
          <w:noProof/>
        </w:rPr>
        <w:t>85</w:t>
      </w:r>
      <w:r>
        <w:rPr>
          <w:noProof/>
        </w:rPr>
        <w:fldChar w:fldCharType="end"/>
      </w:r>
    </w:p>
    <w:p w14:paraId="3D0ACEC5"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24: Number of refrigerant handling licences by type</w:t>
      </w:r>
      <w:r>
        <w:rPr>
          <w:noProof/>
        </w:rPr>
        <w:tab/>
      </w:r>
      <w:r>
        <w:rPr>
          <w:noProof/>
        </w:rPr>
        <w:fldChar w:fldCharType="begin"/>
      </w:r>
      <w:r>
        <w:rPr>
          <w:noProof/>
        </w:rPr>
        <w:instrText xml:space="preserve"> PAGEREF _Toc233084068 \h </w:instrText>
      </w:r>
      <w:r>
        <w:rPr>
          <w:noProof/>
        </w:rPr>
      </w:r>
      <w:r>
        <w:rPr>
          <w:noProof/>
        </w:rPr>
        <w:fldChar w:fldCharType="separate"/>
      </w:r>
      <w:r w:rsidR="00196462">
        <w:rPr>
          <w:noProof/>
        </w:rPr>
        <w:t>86</w:t>
      </w:r>
      <w:r>
        <w:rPr>
          <w:noProof/>
        </w:rPr>
        <w:fldChar w:fldCharType="end"/>
      </w:r>
    </w:p>
    <w:p w14:paraId="62AB24D8"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25: Employee numbers in occupations that include air conditioning</w:t>
      </w:r>
      <w:r>
        <w:rPr>
          <w:noProof/>
        </w:rPr>
        <w:tab/>
      </w:r>
      <w:r>
        <w:rPr>
          <w:noProof/>
        </w:rPr>
        <w:fldChar w:fldCharType="begin"/>
      </w:r>
      <w:r>
        <w:rPr>
          <w:noProof/>
        </w:rPr>
        <w:instrText xml:space="preserve"> PAGEREF _Toc233084069 \h </w:instrText>
      </w:r>
      <w:r>
        <w:rPr>
          <w:noProof/>
        </w:rPr>
      </w:r>
      <w:r>
        <w:rPr>
          <w:noProof/>
        </w:rPr>
        <w:fldChar w:fldCharType="separate"/>
      </w:r>
      <w:r w:rsidR="00196462">
        <w:rPr>
          <w:noProof/>
        </w:rPr>
        <w:t>87</w:t>
      </w:r>
      <w:r>
        <w:rPr>
          <w:noProof/>
        </w:rPr>
        <w:fldChar w:fldCharType="end"/>
      </w:r>
    </w:p>
    <w:p w14:paraId="5AB16508"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26: Industries employing air conditioning and refrigeration mechanics</w:t>
      </w:r>
      <w:r>
        <w:rPr>
          <w:noProof/>
        </w:rPr>
        <w:tab/>
      </w:r>
      <w:r>
        <w:rPr>
          <w:noProof/>
        </w:rPr>
        <w:fldChar w:fldCharType="begin"/>
      </w:r>
      <w:r>
        <w:rPr>
          <w:noProof/>
        </w:rPr>
        <w:instrText xml:space="preserve"> PAGEREF _Toc233084070 \h </w:instrText>
      </w:r>
      <w:r>
        <w:rPr>
          <w:noProof/>
        </w:rPr>
      </w:r>
      <w:r>
        <w:rPr>
          <w:noProof/>
        </w:rPr>
        <w:fldChar w:fldCharType="separate"/>
      </w:r>
      <w:r w:rsidR="00196462">
        <w:rPr>
          <w:noProof/>
        </w:rPr>
        <w:t>88</w:t>
      </w:r>
      <w:r>
        <w:rPr>
          <w:noProof/>
        </w:rPr>
        <w:fldChar w:fldCharType="end"/>
      </w:r>
    </w:p>
    <w:p w14:paraId="627DD9B1"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27: Occupations employed in the air conditioning and heating services industry class</w:t>
      </w:r>
      <w:r>
        <w:rPr>
          <w:noProof/>
        </w:rPr>
        <w:tab/>
      </w:r>
      <w:r>
        <w:rPr>
          <w:noProof/>
        </w:rPr>
        <w:fldChar w:fldCharType="begin"/>
      </w:r>
      <w:r>
        <w:rPr>
          <w:noProof/>
        </w:rPr>
        <w:instrText xml:space="preserve"> PAGEREF _Toc233084071 \h </w:instrText>
      </w:r>
      <w:r>
        <w:rPr>
          <w:noProof/>
        </w:rPr>
      </w:r>
      <w:r>
        <w:rPr>
          <w:noProof/>
        </w:rPr>
        <w:fldChar w:fldCharType="separate"/>
      </w:r>
      <w:r w:rsidR="00196462">
        <w:rPr>
          <w:noProof/>
        </w:rPr>
        <w:t>89</w:t>
      </w:r>
      <w:r>
        <w:rPr>
          <w:noProof/>
        </w:rPr>
        <w:fldChar w:fldCharType="end"/>
      </w:r>
    </w:p>
    <w:p w14:paraId="111549D3"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28: Share of HVAC&amp;R sector energy consumption and emissions by major class</w:t>
      </w:r>
      <w:r>
        <w:rPr>
          <w:noProof/>
        </w:rPr>
        <w:tab/>
      </w:r>
      <w:r>
        <w:rPr>
          <w:noProof/>
        </w:rPr>
        <w:fldChar w:fldCharType="begin"/>
      </w:r>
      <w:r>
        <w:rPr>
          <w:noProof/>
        </w:rPr>
        <w:instrText xml:space="preserve"> PAGEREF _Toc233084072 \h </w:instrText>
      </w:r>
      <w:r>
        <w:rPr>
          <w:noProof/>
        </w:rPr>
      </w:r>
      <w:r>
        <w:rPr>
          <w:noProof/>
        </w:rPr>
        <w:fldChar w:fldCharType="separate"/>
      </w:r>
      <w:r w:rsidR="00196462">
        <w:rPr>
          <w:noProof/>
        </w:rPr>
        <w:t>90</w:t>
      </w:r>
      <w:r>
        <w:rPr>
          <w:noProof/>
        </w:rPr>
        <w:fldChar w:fldCharType="end"/>
      </w:r>
    </w:p>
    <w:p w14:paraId="78BDD40E"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29: Main economic indicators of RAC industry activity 2012</w:t>
      </w:r>
      <w:r>
        <w:rPr>
          <w:noProof/>
        </w:rPr>
        <w:tab/>
      </w:r>
      <w:r>
        <w:rPr>
          <w:noProof/>
        </w:rPr>
        <w:fldChar w:fldCharType="begin"/>
      </w:r>
      <w:r>
        <w:rPr>
          <w:noProof/>
        </w:rPr>
        <w:instrText xml:space="preserve"> PAGEREF _Toc233084073 \h </w:instrText>
      </w:r>
      <w:r>
        <w:rPr>
          <w:noProof/>
        </w:rPr>
      </w:r>
      <w:r>
        <w:rPr>
          <w:noProof/>
        </w:rPr>
        <w:fldChar w:fldCharType="separate"/>
      </w:r>
      <w:r w:rsidR="00196462">
        <w:rPr>
          <w:noProof/>
        </w:rPr>
        <w:t>92</w:t>
      </w:r>
      <w:r>
        <w:rPr>
          <w:noProof/>
        </w:rPr>
        <w:fldChar w:fldCharType="end"/>
      </w:r>
    </w:p>
    <w:p w14:paraId="257D03F7"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30: Australian production and export of major perishable refrigeration dependent foods</w:t>
      </w:r>
      <w:r>
        <w:rPr>
          <w:noProof/>
        </w:rPr>
        <w:tab/>
      </w:r>
      <w:r>
        <w:rPr>
          <w:noProof/>
        </w:rPr>
        <w:fldChar w:fldCharType="begin"/>
      </w:r>
      <w:r>
        <w:rPr>
          <w:noProof/>
        </w:rPr>
        <w:instrText xml:space="preserve"> PAGEREF _Toc233084074 \h </w:instrText>
      </w:r>
      <w:r>
        <w:rPr>
          <w:noProof/>
        </w:rPr>
      </w:r>
      <w:r>
        <w:rPr>
          <w:noProof/>
        </w:rPr>
        <w:fldChar w:fldCharType="separate"/>
      </w:r>
      <w:r w:rsidR="00196462">
        <w:rPr>
          <w:noProof/>
        </w:rPr>
        <w:t>93</w:t>
      </w:r>
      <w:r>
        <w:rPr>
          <w:noProof/>
        </w:rPr>
        <w:fldChar w:fldCharType="end"/>
      </w:r>
    </w:p>
    <w:p w14:paraId="480DDD57"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31: Estimated supermarket and convenience stores by brand 2012</w:t>
      </w:r>
      <w:r>
        <w:rPr>
          <w:noProof/>
        </w:rPr>
        <w:tab/>
      </w:r>
      <w:r>
        <w:rPr>
          <w:noProof/>
        </w:rPr>
        <w:fldChar w:fldCharType="begin"/>
      </w:r>
      <w:r>
        <w:rPr>
          <w:noProof/>
        </w:rPr>
        <w:instrText xml:space="preserve"> PAGEREF _Toc233084075 \h </w:instrText>
      </w:r>
      <w:r>
        <w:rPr>
          <w:noProof/>
        </w:rPr>
      </w:r>
      <w:r>
        <w:rPr>
          <w:noProof/>
        </w:rPr>
        <w:fldChar w:fldCharType="separate"/>
      </w:r>
      <w:r w:rsidR="00196462">
        <w:rPr>
          <w:noProof/>
        </w:rPr>
        <w:t>94</w:t>
      </w:r>
      <w:r>
        <w:rPr>
          <w:noProof/>
        </w:rPr>
        <w:fldChar w:fldCharType="end"/>
      </w:r>
    </w:p>
    <w:p w14:paraId="56F13ECD"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32: Non supermarket food retail outlets in Australia 2007</w:t>
      </w:r>
      <w:r>
        <w:rPr>
          <w:noProof/>
        </w:rPr>
        <w:tab/>
      </w:r>
      <w:r>
        <w:rPr>
          <w:noProof/>
        </w:rPr>
        <w:fldChar w:fldCharType="begin"/>
      </w:r>
      <w:r>
        <w:rPr>
          <w:noProof/>
        </w:rPr>
        <w:instrText xml:space="preserve"> PAGEREF _Toc233084076 \h </w:instrText>
      </w:r>
      <w:r>
        <w:rPr>
          <w:noProof/>
        </w:rPr>
      </w:r>
      <w:r>
        <w:rPr>
          <w:noProof/>
        </w:rPr>
        <w:fldChar w:fldCharType="separate"/>
      </w:r>
      <w:r w:rsidR="00196462">
        <w:rPr>
          <w:noProof/>
        </w:rPr>
        <w:t>94</w:t>
      </w:r>
      <w:r>
        <w:rPr>
          <w:noProof/>
        </w:rPr>
        <w:fldChar w:fldCharType="end"/>
      </w:r>
    </w:p>
    <w:p w14:paraId="00032368"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33: Australian average energy intensity trends by building type, 1999 – 2020</w:t>
      </w:r>
      <w:r>
        <w:rPr>
          <w:noProof/>
        </w:rPr>
        <w:tab/>
      </w:r>
      <w:r>
        <w:rPr>
          <w:noProof/>
        </w:rPr>
        <w:fldChar w:fldCharType="begin"/>
      </w:r>
      <w:r>
        <w:rPr>
          <w:noProof/>
        </w:rPr>
        <w:instrText xml:space="preserve"> PAGEREF _Toc233084077 \h </w:instrText>
      </w:r>
      <w:r>
        <w:rPr>
          <w:noProof/>
        </w:rPr>
      </w:r>
      <w:r>
        <w:rPr>
          <w:noProof/>
        </w:rPr>
        <w:fldChar w:fldCharType="separate"/>
      </w:r>
      <w:r w:rsidR="00196462">
        <w:rPr>
          <w:noProof/>
        </w:rPr>
        <w:t>96</w:t>
      </w:r>
      <w:r>
        <w:rPr>
          <w:noProof/>
        </w:rPr>
        <w:fldChar w:fldCharType="end"/>
      </w:r>
    </w:p>
    <w:p w14:paraId="1371F399"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34: Energy consumption and GHG emissions of shopping centres and supermarkets 2012</w:t>
      </w:r>
      <w:r>
        <w:rPr>
          <w:noProof/>
        </w:rPr>
        <w:tab/>
      </w:r>
      <w:r>
        <w:rPr>
          <w:noProof/>
        </w:rPr>
        <w:fldChar w:fldCharType="begin"/>
      </w:r>
      <w:r>
        <w:rPr>
          <w:noProof/>
        </w:rPr>
        <w:instrText xml:space="preserve"> PAGEREF _Toc233084078 \h </w:instrText>
      </w:r>
      <w:r>
        <w:rPr>
          <w:noProof/>
        </w:rPr>
      </w:r>
      <w:r>
        <w:rPr>
          <w:noProof/>
        </w:rPr>
        <w:fldChar w:fldCharType="separate"/>
      </w:r>
      <w:r w:rsidR="00196462">
        <w:rPr>
          <w:noProof/>
        </w:rPr>
        <w:t>97</w:t>
      </w:r>
      <w:r>
        <w:rPr>
          <w:noProof/>
        </w:rPr>
        <w:fldChar w:fldCharType="end"/>
      </w:r>
    </w:p>
    <w:p w14:paraId="159AEB82"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35: CHF1 and CHF2 Comparative measures</w:t>
      </w:r>
      <w:r>
        <w:rPr>
          <w:noProof/>
        </w:rPr>
        <w:tab/>
      </w:r>
      <w:r>
        <w:rPr>
          <w:noProof/>
        </w:rPr>
        <w:fldChar w:fldCharType="begin"/>
      </w:r>
      <w:r>
        <w:rPr>
          <w:noProof/>
        </w:rPr>
        <w:instrText xml:space="preserve"> PAGEREF _Toc233084079 \h </w:instrText>
      </w:r>
      <w:r>
        <w:rPr>
          <w:noProof/>
        </w:rPr>
      </w:r>
      <w:r>
        <w:rPr>
          <w:noProof/>
        </w:rPr>
        <w:fldChar w:fldCharType="separate"/>
      </w:r>
      <w:r w:rsidR="00196462">
        <w:rPr>
          <w:noProof/>
        </w:rPr>
        <w:t>104</w:t>
      </w:r>
      <w:r>
        <w:rPr>
          <w:noProof/>
        </w:rPr>
        <w:fldChar w:fldCharType="end"/>
      </w:r>
    </w:p>
    <w:p w14:paraId="7349A0FE"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36: GWP factors of main refrigerant gas species</w:t>
      </w:r>
      <w:r>
        <w:rPr>
          <w:noProof/>
        </w:rPr>
        <w:tab/>
      </w:r>
      <w:r>
        <w:rPr>
          <w:noProof/>
        </w:rPr>
        <w:fldChar w:fldCharType="begin"/>
      </w:r>
      <w:r>
        <w:rPr>
          <w:noProof/>
        </w:rPr>
        <w:instrText xml:space="preserve"> PAGEREF _Toc233084080 \h </w:instrText>
      </w:r>
      <w:r>
        <w:rPr>
          <w:noProof/>
        </w:rPr>
      </w:r>
      <w:r>
        <w:rPr>
          <w:noProof/>
        </w:rPr>
        <w:fldChar w:fldCharType="separate"/>
      </w:r>
      <w:r w:rsidR="00196462">
        <w:rPr>
          <w:noProof/>
        </w:rPr>
        <w:t>117</w:t>
      </w:r>
      <w:r>
        <w:rPr>
          <w:noProof/>
        </w:rPr>
        <w:fldChar w:fldCharType="end"/>
      </w:r>
    </w:p>
    <w:p w14:paraId="6AB232C2"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37: ASHRAE Refrigerant designation and refrigerant mass composition of common blends used in Australia</w:t>
      </w:r>
      <w:r>
        <w:rPr>
          <w:noProof/>
        </w:rPr>
        <w:tab/>
      </w:r>
      <w:r>
        <w:rPr>
          <w:noProof/>
        </w:rPr>
        <w:fldChar w:fldCharType="begin"/>
      </w:r>
      <w:r>
        <w:rPr>
          <w:noProof/>
        </w:rPr>
        <w:instrText xml:space="preserve"> PAGEREF _Toc233084081 \h </w:instrText>
      </w:r>
      <w:r>
        <w:rPr>
          <w:noProof/>
        </w:rPr>
      </w:r>
      <w:r>
        <w:rPr>
          <w:noProof/>
        </w:rPr>
        <w:fldChar w:fldCharType="separate"/>
      </w:r>
      <w:r w:rsidR="00196462">
        <w:rPr>
          <w:noProof/>
        </w:rPr>
        <w:t>118</w:t>
      </w:r>
      <w:r>
        <w:rPr>
          <w:noProof/>
        </w:rPr>
        <w:fldChar w:fldCharType="end"/>
      </w:r>
    </w:p>
    <w:p w14:paraId="51523616"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38: Indirect (scope 2) emission factors from consumption of purchased electricity from a grid</w:t>
      </w:r>
      <w:r>
        <w:rPr>
          <w:noProof/>
        </w:rPr>
        <w:tab/>
      </w:r>
      <w:r>
        <w:rPr>
          <w:noProof/>
        </w:rPr>
        <w:fldChar w:fldCharType="begin"/>
      </w:r>
      <w:r>
        <w:rPr>
          <w:noProof/>
        </w:rPr>
        <w:instrText xml:space="preserve"> PAGEREF _Toc233084082 \h </w:instrText>
      </w:r>
      <w:r>
        <w:rPr>
          <w:noProof/>
        </w:rPr>
      </w:r>
      <w:r>
        <w:rPr>
          <w:noProof/>
        </w:rPr>
        <w:fldChar w:fldCharType="separate"/>
      </w:r>
      <w:r w:rsidR="00196462">
        <w:rPr>
          <w:noProof/>
        </w:rPr>
        <w:t>119</w:t>
      </w:r>
      <w:r>
        <w:rPr>
          <w:noProof/>
        </w:rPr>
        <w:fldChar w:fldCharType="end"/>
      </w:r>
    </w:p>
    <w:p w14:paraId="59F1BC43"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39: Fuel combustion - liquid fuels for transport energy purposes for post-2004 vehicles</w:t>
      </w:r>
      <w:r>
        <w:rPr>
          <w:noProof/>
        </w:rPr>
        <w:tab/>
      </w:r>
      <w:r>
        <w:rPr>
          <w:noProof/>
        </w:rPr>
        <w:fldChar w:fldCharType="begin"/>
      </w:r>
      <w:r>
        <w:rPr>
          <w:noProof/>
        </w:rPr>
        <w:instrText xml:space="preserve"> PAGEREF _Toc233084083 \h </w:instrText>
      </w:r>
      <w:r>
        <w:rPr>
          <w:noProof/>
        </w:rPr>
      </w:r>
      <w:r>
        <w:rPr>
          <w:noProof/>
        </w:rPr>
        <w:fldChar w:fldCharType="separate"/>
      </w:r>
      <w:r w:rsidR="00196462">
        <w:rPr>
          <w:noProof/>
        </w:rPr>
        <w:t>119</w:t>
      </w:r>
      <w:r>
        <w:rPr>
          <w:noProof/>
        </w:rPr>
        <w:fldChar w:fldCharType="end"/>
      </w:r>
    </w:p>
    <w:p w14:paraId="29D0411D" w14:textId="39674B18"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40: Technical characteristics for product categories (av charge, leak rates, lifespan, end-of-life percentage)</w:t>
      </w:r>
      <w:r>
        <w:rPr>
          <w:noProof/>
        </w:rPr>
        <w:tab/>
      </w:r>
      <w:r>
        <w:rPr>
          <w:noProof/>
        </w:rPr>
        <w:fldChar w:fldCharType="begin"/>
      </w:r>
      <w:r>
        <w:rPr>
          <w:noProof/>
        </w:rPr>
        <w:instrText xml:space="preserve"> PAGEREF _Toc233084084 \h </w:instrText>
      </w:r>
      <w:r>
        <w:rPr>
          <w:noProof/>
        </w:rPr>
      </w:r>
      <w:r>
        <w:rPr>
          <w:noProof/>
        </w:rPr>
        <w:fldChar w:fldCharType="separate"/>
      </w:r>
      <w:r w:rsidR="00196462">
        <w:rPr>
          <w:noProof/>
        </w:rPr>
        <w:t>120</w:t>
      </w:r>
      <w:r>
        <w:rPr>
          <w:noProof/>
        </w:rPr>
        <w:fldChar w:fldCharType="end"/>
      </w:r>
    </w:p>
    <w:p w14:paraId="355EC928"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41: Estimated air conditioning proportion of use in commercial applications</w:t>
      </w:r>
      <w:r>
        <w:rPr>
          <w:noProof/>
        </w:rPr>
        <w:tab/>
      </w:r>
      <w:r>
        <w:rPr>
          <w:noProof/>
        </w:rPr>
        <w:fldChar w:fldCharType="begin"/>
      </w:r>
      <w:r>
        <w:rPr>
          <w:noProof/>
        </w:rPr>
        <w:instrText xml:space="preserve"> PAGEREF _Toc233084085 \h </w:instrText>
      </w:r>
      <w:r>
        <w:rPr>
          <w:noProof/>
        </w:rPr>
      </w:r>
      <w:r>
        <w:rPr>
          <w:noProof/>
        </w:rPr>
        <w:fldChar w:fldCharType="separate"/>
      </w:r>
      <w:r w:rsidR="00196462">
        <w:rPr>
          <w:noProof/>
        </w:rPr>
        <w:t>124</w:t>
      </w:r>
      <w:r>
        <w:rPr>
          <w:noProof/>
        </w:rPr>
        <w:fldChar w:fldCharType="end"/>
      </w:r>
    </w:p>
    <w:p w14:paraId="1057D249"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42: Types of businesses in the HVAC&amp;R supply chain</w:t>
      </w:r>
      <w:r>
        <w:rPr>
          <w:noProof/>
        </w:rPr>
        <w:tab/>
      </w:r>
      <w:r>
        <w:rPr>
          <w:noProof/>
        </w:rPr>
        <w:fldChar w:fldCharType="begin"/>
      </w:r>
      <w:r>
        <w:rPr>
          <w:noProof/>
        </w:rPr>
        <w:instrText xml:space="preserve"> PAGEREF _Toc233084086 \h </w:instrText>
      </w:r>
      <w:r>
        <w:rPr>
          <w:noProof/>
        </w:rPr>
      </w:r>
      <w:r>
        <w:rPr>
          <w:noProof/>
        </w:rPr>
        <w:fldChar w:fldCharType="separate"/>
      </w:r>
      <w:r w:rsidR="00196462">
        <w:rPr>
          <w:noProof/>
        </w:rPr>
        <w:t>130</w:t>
      </w:r>
      <w:r>
        <w:rPr>
          <w:noProof/>
        </w:rPr>
        <w:fldChar w:fldCharType="end"/>
      </w:r>
    </w:p>
    <w:p w14:paraId="142AEA54"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lastRenderedPageBreak/>
        <w:t>Table 43: Occupations employed in the air conditioning and heating services industry class</w:t>
      </w:r>
      <w:r>
        <w:rPr>
          <w:noProof/>
        </w:rPr>
        <w:tab/>
      </w:r>
      <w:r>
        <w:rPr>
          <w:noProof/>
        </w:rPr>
        <w:fldChar w:fldCharType="begin"/>
      </w:r>
      <w:r>
        <w:rPr>
          <w:noProof/>
        </w:rPr>
        <w:instrText xml:space="preserve"> PAGEREF _Toc233084087 \h </w:instrText>
      </w:r>
      <w:r>
        <w:rPr>
          <w:noProof/>
        </w:rPr>
      </w:r>
      <w:r>
        <w:rPr>
          <w:noProof/>
        </w:rPr>
        <w:fldChar w:fldCharType="separate"/>
      </w:r>
      <w:r w:rsidR="00196462">
        <w:rPr>
          <w:noProof/>
        </w:rPr>
        <w:t>131</w:t>
      </w:r>
      <w:r>
        <w:rPr>
          <w:noProof/>
        </w:rPr>
        <w:fldChar w:fldCharType="end"/>
      </w:r>
    </w:p>
    <w:p w14:paraId="4D6C47A5"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44: Industries employing air conditioning and refrigeration mechanics</w:t>
      </w:r>
      <w:r>
        <w:rPr>
          <w:noProof/>
        </w:rPr>
        <w:tab/>
      </w:r>
      <w:r>
        <w:rPr>
          <w:noProof/>
        </w:rPr>
        <w:fldChar w:fldCharType="begin"/>
      </w:r>
      <w:r>
        <w:rPr>
          <w:noProof/>
        </w:rPr>
        <w:instrText xml:space="preserve"> PAGEREF _Toc233084088 \h </w:instrText>
      </w:r>
      <w:r>
        <w:rPr>
          <w:noProof/>
        </w:rPr>
      </w:r>
      <w:r>
        <w:rPr>
          <w:noProof/>
        </w:rPr>
        <w:fldChar w:fldCharType="separate"/>
      </w:r>
      <w:r w:rsidR="00196462">
        <w:rPr>
          <w:noProof/>
        </w:rPr>
        <w:t>134</w:t>
      </w:r>
      <w:r>
        <w:rPr>
          <w:noProof/>
        </w:rPr>
        <w:fldChar w:fldCharType="end"/>
      </w:r>
    </w:p>
    <w:p w14:paraId="4E056872"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642B0A">
        <w:rPr>
          <w:i/>
          <w:noProof/>
        </w:rPr>
        <w:t>Table 45: Apprentice commencements and completions</w:t>
      </w:r>
      <w:r>
        <w:rPr>
          <w:noProof/>
        </w:rPr>
        <w:tab/>
      </w:r>
      <w:r>
        <w:rPr>
          <w:noProof/>
        </w:rPr>
        <w:fldChar w:fldCharType="begin"/>
      </w:r>
      <w:r>
        <w:rPr>
          <w:noProof/>
        </w:rPr>
        <w:instrText xml:space="preserve"> PAGEREF _Toc233084089 \h </w:instrText>
      </w:r>
      <w:r>
        <w:rPr>
          <w:noProof/>
        </w:rPr>
      </w:r>
      <w:r>
        <w:rPr>
          <w:noProof/>
        </w:rPr>
        <w:fldChar w:fldCharType="separate"/>
      </w:r>
      <w:r w:rsidR="00196462">
        <w:rPr>
          <w:noProof/>
        </w:rPr>
        <w:t>134</w:t>
      </w:r>
      <w:r>
        <w:rPr>
          <w:noProof/>
        </w:rPr>
        <w:fldChar w:fldCharType="end"/>
      </w:r>
    </w:p>
    <w:p w14:paraId="6DAA0096" w14:textId="34C8961E" w:rsidR="003937A5" w:rsidRDefault="00A8207B" w:rsidP="003937A5">
      <w:pPr>
        <w:rPr>
          <w:rFonts w:asciiTheme="majorHAnsi" w:eastAsia="Times New Roman" w:hAnsiTheme="majorHAnsi" w:cs="Times New Roman"/>
          <w:sz w:val="20"/>
          <w:szCs w:val="20"/>
          <w:lang w:val="en-US"/>
        </w:rPr>
      </w:pPr>
      <w:r>
        <w:rPr>
          <w:rFonts w:asciiTheme="majorHAnsi" w:eastAsia="Times New Roman" w:hAnsiTheme="majorHAnsi" w:cs="Times New Roman"/>
          <w:sz w:val="20"/>
          <w:szCs w:val="20"/>
          <w:lang w:val="en-US"/>
        </w:rPr>
        <w:fldChar w:fldCharType="end"/>
      </w:r>
    </w:p>
    <w:p w14:paraId="2DE55E5F" w14:textId="32FBA771" w:rsidR="003937A5" w:rsidRPr="003937A5" w:rsidRDefault="003937A5" w:rsidP="003937A5">
      <w:pPr>
        <w:spacing w:after="120"/>
        <w:rPr>
          <w:rFonts w:asciiTheme="majorHAnsi" w:hAnsiTheme="majorHAnsi"/>
          <w:sz w:val="36"/>
          <w:szCs w:val="36"/>
        </w:rPr>
      </w:pPr>
      <w:r w:rsidRPr="003937A5">
        <w:rPr>
          <w:rFonts w:asciiTheme="majorHAnsi" w:hAnsiTheme="majorHAnsi"/>
          <w:sz w:val="36"/>
          <w:szCs w:val="36"/>
        </w:rPr>
        <w:t>List of Figures</w:t>
      </w:r>
    </w:p>
    <w:p w14:paraId="0F57664C"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Pr>
          <w:noProof/>
          <w:szCs w:val="20"/>
        </w:rPr>
        <w:fldChar w:fldCharType="begin"/>
      </w:r>
      <w:r>
        <w:rPr>
          <w:noProof/>
          <w:szCs w:val="20"/>
        </w:rPr>
        <w:instrText xml:space="preserve"> TOC \c "Figure" </w:instrText>
      </w:r>
      <w:r>
        <w:rPr>
          <w:noProof/>
          <w:szCs w:val="20"/>
        </w:rPr>
        <w:fldChar w:fldCharType="separate"/>
      </w:r>
      <w:r w:rsidRPr="00486CAC">
        <w:rPr>
          <w:i/>
          <w:noProof/>
        </w:rPr>
        <w:t>Figure 1: Bank of main high GWP HCFCs and HFCs in Australia 2006</w:t>
      </w:r>
      <w:r>
        <w:rPr>
          <w:noProof/>
        </w:rPr>
        <w:tab/>
      </w:r>
      <w:r>
        <w:rPr>
          <w:noProof/>
        </w:rPr>
        <w:fldChar w:fldCharType="begin"/>
      </w:r>
      <w:r>
        <w:rPr>
          <w:noProof/>
        </w:rPr>
        <w:instrText xml:space="preserve"> PAGEREF _Toc233083977 \h </w:instrText>
      </w:r>
      <w:r>
        <w:rPr>
          <w:noProof/>
        </w:rPr>
      </w:r>
      <w:r>
        <w:rPr>
          <w:noProof/>
        </w:rPr>
        <w:fldChar w:fldCharType="separate"/>
      </w:r>
      <w:r w:rsidR="00196462">
        <w:rPr>
          <w:noProof/>
        </w:rPr>
        <w:t>47</w:t>
      </w:r>
      <w:r>
        <w:rPr>
          <w:noProof/>
        </w:rPr>
        <w:fldChar w:fldCharType="end"/>
      </w:r>
    </w:p>
    <w:p w14:paraId="26FC3D70"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2: Bank of main high GWP HCFCs and HFCs in Australia 2012</w:t>
      </w:r>
      <w:r>
        <w:rPr>
          <w:noProof/>
        </w:rPr>
        <w:tab/>
      </w:r>
      <w:r>
        <w:rPr>
          <w:noProof/>
        </w:rPr>
        <w:fldChar w:fldCharType="begin"/>
      </w:r>
      <w:r>
        <w:rPr>
          <w:noProof/>
        </w:rPr>
        <w:instrText xml:space="preserve"> PAGEREF _Toc233083978 \h </w:instrText>
      </w:r>
      <w:r>
        <w:rPr>
          <w:noProof/>
        </w:rPr>
      </w:r>
      <w:r>
        <w:rPr>
          <w:noProof/>
        </w:rPr>
        <w:fldChar w:fldCharType="separate"/>
      </w:r>
      <w:r w:rsidR="00196462">
        <w:rPr>
          <w:noProof/>
        </w:rPr>
        <w:t>47</w:t>
      </w:r>
      <w:r>
        <w:rPr>
          <w:noProof/>
        </w:rPr>
        <w:fldChar w:fldCharType="end"/>
      </w:r>
    </w:p>
    <w:p w14:paraId="35CDC4A2"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3: Bank of refrigerants by major segment 2012</w:t>
      </w:r>
      <w:r>
        <w:rPr>
          <w:noProof/>
        </w:rPr>
        <w:tab/>
      </w:r>
      <w:r>
        <w:rPr>
          <w:noProof/>
        </w:rPr>
        <w:fldChar w:fldCharType="begin"/>
      </w:r>
      <w:r>
        <w:rPr>
          <w:noProof/>
        </w:rPr>
        <w:instrText xml:space="preserve"> PAGEREF _Toc233083979 \h </w:instrText>
      </w:r>
      <w:r>
        <w:rPr>
          <w:noProof/>
        </w:rPr>
      </w:r>
      <w:r>
        <w:rPr>
          <w:noProof/>
        </w:rPr>
        <w:fldChar w:fldCharType="separate"/>
      </w:r>
      <w:r w:rsidR="00196462">
        <w:rPr>
          <w:noProof/>
        </w:rPr>
        <w:t>50</w:t>
      </w:r>
      <w:r>
        <w:rPr>
          <w:noProof/>
        </w:rPr>
        <w:fldChar w:fldCharType="end"/>
      </w:r>
    </w:p>
    <w:p w14:paraId="31FD579D"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4: Actual 2012 HFC bulk gas imports by species based on mass in tonnes</w:t>
      </w:r>
      <w:r>
        <w:rPr>
          <w:noProof/>
        </w:rPr>
        <w:tab/>
      </w:r>
      <w:r>
        <w:rPr>
          <w:noProof/>
        </w:rPr>
        <w:fldChar w:fldCharType="begin"/>
      </w:r>
      <w:r>
        <w:rPr>
          <w:noProof/>
        </w:rPr>
        <w:instrText xml:space="preserve"> PAGEREF _Toc233083980 \h </w:instrText>
      </w:r>
      <w:r>
        <w:rPr>
          <w:noProof/>
        </w:rPr>
      </w:r>
      <w:r>
        <w:rPr>
          <w:noProof/>
        </w:rPr>
        <w:fldChar w:fldCharType="separate"/>
      </w:r>
      <w:r w:rsidR="00196462">
        <w:rPr>
          <w:noProof/>
        </w:rPr>
        <w:t>51</w:t>
      </w:r>
      <w:r>
        <w:rPr>
          <w:noProof/>
        </w:rPr>
        <w:fldChar w:fldCharType="end"/>
      </w:r>
    </w:p>
    <w:p w14:paraId="5F16F6ED"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5: Six year trend of HFC bulk imports as reported in major SGG categories in kt CO</w:t>
      </w:r>
      <w:r w:rsidRPr="00486CAC">
        <w:rPr>
          <w:i/>
          <w:noProof/>
          <w:vertAlign w:val="subscript"/>
        </w:rPr>
        <w:t>2</w:t>
      </w:r>
      <w:r w:rsidRPr="00486CAC">
        <w:rPr>
          <w:i/>
          <w:noProof/>
        </w:rPr>
        <w:t>-e</w:t>
      </w:r>
      <w:r>
        <w:rPr>
          <w:noProof/>
        </w:rPr>
        <w:tab/>
      </w:r>
      <w:r>
        <w:rPr>
          <w:noProof/>
        </w:rPr>
        <w:fldChar w:fldCharType="begin"/>
      </w:r>
      <w:r>
        <w:rPr>
          <w:noProof/>
        </w:rPr>
        <w:instrText xml:space="preserve"> PAGEREF _Toc233083981 \h </w:instrText>
      </w:r>
      <w:r>
        <w:rPr>
          <w:noProof/>
        </w:rPr>
      </w:r>
      <w:r>
        <w:rPr>
          <w:noProof/>
        </w:rPr>
        <w:fldChar w:fldCharType="separate"/>
      </w:r>
      <w:r w:rsidR="00196462">
        <w:rPr>
          <w:noProof/>
        </w:rPr>
        <w:t>52</w:t>
      </w:r>
      <w:r>
        <w:rPr>
          <w:noProof/>
        </w:rPr>
        <w:fldChar w:fldCharType="end"/>
      </w:r>
    </w:p>
    <w:p w14:paraId="0F0BDA96"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6: Estimated HFC consumption in 2006, 2010 and 2012 based on mass in tonnes</w:t>
      </w:r>
      <w:r>
        <w:rPr>
          <w:noProof/>
        </w:rPr>
        <w:tab/>
      </w:r>
      <w:r>
        <w:rPr>
          <w:noProof/>
        </w:rPr>
        <w:fldChar w:fldCharType="begin"/>
      </w:r>
      <w:r>
        <w:rPr>
          <w:noProof/>
        </w:rPr>
        <w:instrText xml:space="preserve"> PAGEREF _Toc233083982 \h </w:instrText>
      </w:r>
      <w:r>
        <w:rPr>
          <w:noProof/>
        </w:rPr>
      </w:r>
      <w:r>
        <w:rPr>
          <w:noProof/>
        </w:rPr>
        <w:fldChar w:fldCharType="separate"/>
      </w:r>
      <w:r w:rsidR="00196462">
        <w:rPr>
          <w:noProof/>
        </w:rPr>
        <w:t>54</w:t>
      </w:r>
      <w:r>
        <w:rPr>
          <w:noProof/>
        </w:rPr>
        <w:fldChar w:fldCharType="end"/>
      </w:r>
    </w:p>
    <w:p w14:paraId="54CD62F7"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7: Estimated HFC consumption in 2012 by major class based on mass</w:t>
      </w:r>
      <w:r>
        <w:rPr>
          <w:noProof/>
        </w:rPr>
        <w:tab/>
      </w:r>
      <w:r>
        <w:rPr>
          <w:noProof/>
        </w:rPr>
        <w:fldChar w:fldCharType="begin"/>
      </w:r>
      <w:r>
        <w:rPr>
          <w:noProof/>
        </w:rPr>
        <w:instrText xml:space="preserve"> PAGEREF _Toc233083983 \h </w:instrText>
      </w:r>
      <w:r>
        <w:rPr>
          <w:noProof/>
        </w:rPr>
      </w:r>
      <w:r>
        <w:rPr>
          <w:noProof/>
        </w:rPr>
        <w:fldChar w:fldCharType="separate"/>
      </w:r>
      <w:r w:rsidR="00196462">
        <w:rPr>
          <w:noProof/>
        </w:rPr>
        <w:t>55</w:t>
      </w:r>
      <w:r>
        <w:rPr>
          <w:noProof/>
        </w:rPr>
        <w:fldChar w:fldCharType="end"/>
      </w:r>
    </w:p>
    <w:p w14:paraId="665A7997"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8: 2012 pre-charged imports by reporting category in tonnes</w:t>
      </w:r>
      <w:r>
        <w:rPr>
          <w:noProof/>
        </w:rPr>
        <w:tab/>
      </w:r>
      <w:r>
        <w:rPr>
          <w:noProof/>
        </w:rPr>
        <w:fldChar w:fldCharType="begin"/>
      </w:r>
      <w:r>
        <w:rPr>
          <w:noProof/>
        </w:rPr>
        <w:instrText xml:space="preserve"> PAGEREF _Toc233083984 \h </w:instrText>
      </w:r>
      <w:r>
        <w:rPr>
          <w:noProof/>
        </w:rPr>
      </w:r>
      <w:r>
        <w:rPr>
          <w:noProof/>
        </w:rPr>
        <w:fldChar w:fldCharType="separate"/>
      </w:r>
      <w:r w:rsidR="00196462">
        <w:rPr>
          <w:noProof/>
        </w:rPr>
        <w:t>58</w:t>
      </w:r>
      <w:r>
        <w:rPr>
          <w:noProof/>
        </w:rPr>
        <w:fldChar w:fldCharType="end"/>
      </w:r>
    </w:p>
    <w:p w14:paraId="37F78A38"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9: 2012 refrigerant by species in pre-charged imports based on tonnes</w:t>
      </w:r>
      <w:r>
        <w:rPr>
          <w:noProof/>
        </w:rPr>
        <w:tab/>
      </w:r>
      <w:r>
        <w:rPr>
          <w:noProof/>
        </w:rPr>
        <w:fldChar w:fldCharType="begin"/>
      </w:r>
      <w:r>
        <w:rPr>
          <w:noProof/>
        </w:rPr>
        <w:instrText xml:space="preserve"> PAGEREF _Toc233083985 \h </w:instrText>
      </w:r>
      <w:r>
        <w:rPr>
          <w:noProof/>
        </w:rPr>
      </w:r>
      <w:r>
        <w:rPr>
          <w:noProof/>
        </w:rPr>
        <w:fldChar w:fldCharType="separate"/>
      </w:r>
      <w:r w:rsidR="00196462">
        <w:rPr>
          <w:noProof/>
        </w:rPr>
        <w:t>59</w:t>
      </w:r>
      <w:r>
        <w:rPr>
          <w:noProof/>
        </w:rPr>
        <w:fldChar w:fldCharType="end"/>
      </w:r>
    </w:p>
    <w:p w14:paraId="2E7E638E"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10: HCFCs and HFCs in pre-charged equipment 2006 to 2012 by species in tonnes</w:t>
      </w:r>
      <w:r>
        <w:rPr>
          <w:noProof/>
        </w:rPr>
        <w:tab/>
      </w:r>
      <w:r>
        <w:rPr>
          <w:noProof/>
        </w:rPr>
        <w:fldChar w:fldCharType="begin"/>
      </w:r>
      <w:r>
        <w:rPr>
          <w:noProof/>
        </w:rPr>
        <w:instrText xml:space="preserve"> PAGEREF _Toc233083986 \h </w:instrText>
      </w:r>
      <w:r>
        <w:rPr>
          <w:noProof/>
        </w:rPr>
      </w:r>
      <w:r>
        <w:rPr>
          <w:noProof/>
        </w:rPr>
        <w:fldChar w:fldCharType="separate"/>
      </w:r>
      <w:r w:rsidR="00196462">
        <w:rPr>
          <w:noProof/>
        </w:rPr>
        <w:t>60</w:t>
      </w:r>
      <w:r>
        <w:rPr>
          <w:noProof/>
        </w:rPr>
        <w:fldChar w:fldCharType="end"/>
      </w:r>
    </w:p>
    <w:p w14:paraId="41BE16ED"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11: HCFC Bulk import trend from 2006 to 2012 in tonnes</w:t>
      </w:r>
      <w:r>
        <w:rPr>
          <w:noProof/>
        </w:rPr>
        <w:tab/>
      </w:r>
      <w:r>
        <w:rPr>
          <w:noProof/>
        </w:rPr>
        <w:fldChar w:fldCharType="begin"/>
      </w:r>
      <w:r>
        <w:rPr>
          <w:noProof/>
        </w:rPr>
        <w:instrText xml:space="preserve"> PAGEREF _Toc233083987 \h </w:instrText>
      </w:r>
      <w:r>
        <w:rPr>
          <w:noProof/>
        </w:rPr>
      </w:r>
      <w:r>
        <w:rPr>
          <w:noProof/>
        </w:rPr>
        <w:fldChar w:fldCharType="separate"/>
      </w:r>
      <w:r w:rsidR="00196462">
        <w:rPr>
          <w:noProof/>
        </w:rPr>
        <w:t>62</w:t>
      </w:r>
      <w:r>
        <w:rPr>
          <w:noProof/>
        </w:rPr>
        <w:fldChar w:fldCharType="end"/>
      </w:r>
    </w:p>
    <w:p w14:paraId="348261DB"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12: HCFC Pre-charged equipment import trend from 2006 to 2012 in tonnes</w:t>
      </w:r>
      <w:r>
        <w:rPr>
          <w:noProof/>
        </w:rPr>
        <w:tab/>
      </w:r>
      <w:r>
        <w:rPr>
          <w:noProof/>
        </w:rPr>
        <w:fldChar w:fldCharType="begin"/>
      </w:r>
      <w:r>
        <w:rPr>
          <w:noProof/>
        </w:rPr>
        <w:instrText xml:space="preserve"> PAGEREF _Toc233083988 \h </w:instrText>
      </w:r>
      <w:r>
        <w:rPr>
          <w:noProof/>
        </w:rPr>
      </w:r>
      <w:r>
        <w:rPr>
          <w:noProof/>
        </w:rPr>
        <w:fldChar w:fldCharType="separate"/>
      </w:r>
      <w:r w:rsidR="00196462">
        <w:rPr>
          <w:noProof/>
        </w:rPr>
        <w:t>62</w:t>
      </w:r>
      <w:r>
        <w:rPr>
          <w:noProof/>
        </w:rPr>
        <w:fldChar w:fldCharType="end"/>
      </w:r>
    </w:p>
    <w:p w14:paraId="08F0EDA5" w14:textId="58E3E29C"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13: HCFC bulk imports from 2006 to 2012, and future projections in ODP tonnes</w:t>
      </w:r>
      <w:r>
        <w:rPr>
          <w:noProof/>
        </w:rPr>
        <w:tab/>
      </w:r>
      <w:r>
        <w:rPr>
          <w:noProof/>
        </w:rPr>
        <w:fldChar w:fldCharType="begin"/>
      </w:r>
      <w:r>
        <w:rPr>
          <w:noProof/>
        </w:rPr>
        <w:instrText xml:space="preserve"> PAGEREF _Toc233083989 \h </w:instrText>
      </w:r>
      <w:r>
        <w:rPr>
          <w:noProof/>
        </w:rPr>
      </w:r>
      <w:r>
        <w:rPr>
          <w:noProof/>
        </w:rPr>
        <w:fldChar w:fldCharType="separate"/>
      </w:r>
      <w:r w:rsidR="00196462">
        <w:rPr>
          <w:noProof/>
        </w:rPr>
        <w:t>63</w:t>
      </w:r>
      <w:r>
        <w:rPr>
          <w:noProof/>
        </w:rPr>
        <w:fldChar w:fldCharType="end"/>
      </w:r>
    </w:p>
    <w:p w14:paraId="1DD999AD" w14:textId="1BF8CAA2"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14: Projected development in the refrigerant bank trend by species from 2010 to 2017</w:t>
      </w:r>
      <w:r>
        <w:rPr>
          <w:noProof/>
        </w:rPr>
        <w:tab/>
      </w:r>
      <w:r>
        <w:rPr>
          <w:noProof/>
        </w:rPr>
        <w:fldChar w:fldCharType="begin"/>
      </w:r>
      <w:r>
        <w:rPr>
          <w:noProof/>
        </w:rPr>
        <w:instrText xml:space="preserve"> PAGEREF _Toc233083990 \h </w:instrText>
      </w:r>
      <w:r>
        <w:rPr>
          <w:noProof/>
        </w:rPr>
      </w:r>
      <w:r>
        <w:rPr>
          <w:noProof/>
        </w:rPr>
        <w:fldChar w:fldCharType="separate"/>
      </w:r>
      <w:r w:rsidR="00196462">
        <w:rPr>
          <w:noProof/>
        </w:rPr>
        <w:t>68</w:t>
      </w:r>
      <w:r>
        <w:rPr>
          <w:noProof/>
        </w:rPr>
        <w:fldChar w:fldCharType="end"/>
      </w:r>
    </w:p>
    <w:p w14:paraId="3FE9474E"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15: Electricity consumption by major class, GWh and per cent of total</w:t>
      </w:r>
      <w:r>
        <w:rPr>
          <w:noProof/>
        </w:rPr>
        <w:tab/>
      </w:r>
      <w:r>
        <w:rPr>
          <w:noProof/>
        </w:rPr>
        <w:fldChar w:fldCharType="begin"/>
      </w:r>
      <w:r>
        <w:rPr>
          <w:noProof/>
        </w:rPr>
        <w:instrText xml:space="preserve"> PAGEREF _Toc233083991 \h </w:instrText>
      </w:r>
      <w:r>
        <w:rPr>
          <w:noProof/>
        </w:rPr>
      </w:r>
      <w:r>
        <w:rPr>
          <w:noProof/>
        </w:rPr>
        <w:fldChar w:fldCharType="separate"/>
      </w:r>
      <w:r w:rsidR="00196462">
        <w:rPr>
          <w:noProof/>
        </w:rPr>
        <w:t>70</w:t>
      </w:r>
      <w:r>
        <w:rPr>
          <w:noProof/>
        </w:rPr>
        <w:fldChar w:fldCharType="end"/>
      </w:r>
    </w:p>
    <w:p w14:paraId="736163C8"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16: Energy consumption by major class in PJ and per cent of total</w:t>
      </w:r>
      <w:r>
        <w:rPr>
          <w:noProof/>
        </w:rPr>
        <w:tab/>
      </w:r>
      <w:r>
        <w:rPr>
          <w:noProof/>
        </w:rPr>
        <w:fldChar w:fldCharType="begin"/>
      </w:r>
      <w:r>
        <w:rPr>
          <w:noProof/>
        </w:rPr>
        <w:instrText xml:space="preserve"> PAGEREF _Toc233083992 \h </w:instrText>
      </w:r>
      <w:r>
        <w:rPr>
          <w:noProof/>
        </w:rPr>
      </w:r>
      <w:r>
        <w:rPr>
          <w:noProof/>
        </w:rPr>
        <w:fldChar w:fldCharType="separate"/>
      </w:r>
      <w:r w:rsidR="00196462">
        <w:rPr>
          <w:noProof/>
        </w:rPr>
        <w:t>71</w:t>
      </w:r>
      <w:r>
        <w:rPr>
          <w:noProof/>
        </w:rPr>
        <w:fldChar w:fldCharType="end"/>
      </w:r>
    </w:p>
    <w:p w14:paraId="7A3DF7CC"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17: Indirect emissions by major class in Mt CO</w:t>
      </w:r>
      <w:r w:rsidRPr="00486CAC">
        <w:rPr>
          <w:i/>
          <w:noProof/>
          <w:vertAlign w:val="subscript"/>
        </w:rPr>
        <w:t>2</w:t>
      </w:r>
      <w:r w:rsidRPr="00486CAC">
        <w:rPr>
          <w:i/>
          <w:noProof/>
        </w:rPr>
        <w:t>-e and per cent</w:t>
      </w:r>
      <w:r>
        <w:rPr>
          <w:noProof/>
        </w:rPr>
        <w:tab/>
      </w:r>
      <w:r>
        <w:rPr>
          <w:noProof/>
        </w:rPr>
        <w:fldChar w:fldCharType="begin"/>
      </w:r>
      <w:r>
        <w:rPr>
          <w:noProof/>
        </w:rPr>
        <w:instrText xml:space="preserve"> PAGEREF _Toc233083993 \h </w:instrText>
      </w:r>
      <w:r>
        <w:rPr>
          <w:noProof/>
        </w:rPr>
      </w:r>
      <w:r>
        <w:rPr>
          <w:noProof/>
        </w:rPr>
        <w:fldChar w:fldCharType="separate"/>
      </w:r>
      <w:r w:rsidR="00196462">
        <w:rPr>
          <w:noProof/>
        </w:rPr>
        <w:t>72</w:t>
      </w:r>
      <w:r>
        <w:rPr>
          <w:noProof/>
        </w:rPr>
        <w:fldChar w:fldCharType="end"/>
      </w:r>
    </w:p>
    <w:p w14:paraId="36584EF6"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18: Total energy consumption by building type in PJ and per cent</w:t>
      </w:r>
      <w:r>
        <w:rPr>
          <w:noProof/>
        </w:rPr>
        <w:tab/>
      </w:r>
      <w:r>
        <w:rPr>
          <w:noProof/>
        </w:rPr>
        <w:fldChar w:fldCharType="begin"/>
      </w:r>
      <w:r>
        <w:rPr>
          <w:noProof/>
        </w:rPr>
        <w:instrText xml:space="preserve"> PAGEREF _Toc233083994 \h </w:instrText>
      </w:r>
      <w:r>
        <w:rPr>
          <w:noProof/>
        </w:rPr>
      </w:r>
      <w:r>
        <w:rPr>
          <w:noProof/>
        </w:rPr>
        <w:fldChar w:fldCharType="separate"/>
      </w:r>
      <w:r w:rsidR="00196462">
        <w:rPr>
          <w:noProof/>
        </w:rPr>
        <w:t>74</w:t>
      </w:r>
      <w:r>
        <w:rPr>
          <w:noProof/>
        </w:rPr>
        <w:fldChar w:fldCharType="end"/>
      </w:r>
    </w:p>
    <w:p w14:paraId="74DA04F6"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19: Offices (All), natural gas consumption end-use shares, 1999 - 2012</w:t>
      </w:r>
      <w:r>
        <w:rPr>
          <w:noProof/>
        </w:rPr>
        <w:tab/>
      </w:r>
      <w:r>
        <w:rPr>
          <w:noProof/>
        </w:rPr>
        <w:fldChar w:fldCharType="begin"/>
      </w:r>
      <w:r>
        <w:rPr>
          <w:noProof/>
        </w:rPr>
        <w:instrText xml:space="preserve"> PAGEREF _Toc233083995 \h </w:instrText>
      </w:r>
      <w:r>
        <w:rPr>
          <w:noProof/>
        </w:rPr>
      </w:r>
      <w:r>
        <w:rPr>
          <w:noProof/>
        </w:rPr>
        <w:fldChar w:fldCharType="separate"/>
      </w:r>
      <w:r w:rsidR="00196462">
        <w:rPr>
          <w:noProof/>
        </w:rPr>
        <w:t>75</w:t>
      </w:r>
      <w:r>
        <w:rPr>
          <w:noProof/>
        </w:rPr>
        <w:fldChar w:fldCharType="end"/>
      </w:r>
    </w:p>
    <w:p w14:paraId="6AFD4A26"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20: Offices (All), electricity consumption end-use shares, 1999 - 2012</w:t>
      </w:r>
      <w:r>
        <w:rPr>
          <w:noProof/>
        </w:rPr>
        <w:tab/>
      </w:r>
      <w:r>
        <w:rPr>
          <w:noProof/>
        </w:rPr>
        <w:fldChar w:fldCharType="begin"/>
      </w:r>
      <w:r>
        <w:rPr>
          <w:noProof/>
        </w:rPr>
        <w:instrText xml:space="preserve"> PAGEREF _Toc233083996 \h </w:instrText>
      </w:r>
      <w:r>
        <w:rPr>
          <w:noProof/>
        </w:rPr>
      </w:r>
      <w:r>
        <w:rPr>
          <w:noProof/>
        </w:rPr>
        <w:fldChar w:fldCharType="separate"/>
      </w:r>
      <w:r w:rsidR="00196462">
        <w:rPr>
          <w:noProof/>
        </w:rPr>
        <w:t>75</w:t>
      </w:r>
      <w:r>
        <w:rPr>
          <w:noProof/>
        </w:rPr>
        <w:fldChar w:fldCharType="end"/>
      </w:r>
    </w:p>
    <w:p w14:paraId="12128C84"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21: 2012 estimated direct emissions of SGGs by major class in Mt CO</w:t>
      </w:r>
      <w:r w:rsidRPr="00486CAC">
        <w:rPr>
          <w:i/>
          <w:noProof/>
          <w:vertAlign w:val="subscript"/>
        </w:rPr>
        <w:t>2</w:t>
      </w:r>
      <w:r w:rsidRPr="00486CAC">
        <w:rPr>
          <w:i/>
          <w:noProof/>
        </w:rPr>
        <w:t>-e</w:t>
      </w:r>
      <w:r>
        <w:rPr>
          <w:noProof/>
        </w:rPr>
        <w:tab/>
      </w:r>
      <w:r>
        <w:rPr>
          <w:noProof/>
        </w:rPr>
        <w:fldChar w:fldCharType="begin"/>
      </w:r>
      <w:r>
        <w:rPr>
          <w:noProof/>
        </w:rPr>
        <w:instrText xml:space="preserve"> PAGEREF _Toc233083997 \h </w:instrText>
      </w:r>
      <w:r>
        <w:rPr>
          <w:noProof/>
        </w:rPr>
      </w:r>
      <w:r>
        <w:rPr>
          <w:noProof/>
        </w:rPr>
        <w:fldChar w:fldCharType="separate"/>
      </w:r>
      <w:r w:rsidR="00196462">
        <w:rPr>
          <w:noProof/>
        </w:rPr>
        <w:t>79</w:t>
      </w:r>
      <w:r>
        <w:rPr>
          <w:noProof/>
        </w:rPr>
        <w:fldChar w:fldCharType="end"/>
      </w:r>
    </w:p>
    <w:p w14:paraId="6CA56F67"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22: 2012 estimated direct emissions of ODS by major class in Mt CO</w:t>
      </w:r>
      <w:r w:rsidRPr="00486CAC">
        <w:rPr>
          <w:i/>
          <w:noProof/>
          <w:vertAlign w:val="subscript"/>
        </w:rPr>
        <w:t>2</w:t>
      </w:r>
      <w:r w:rsidRPr="00486CAC">
        <w:rPr>
          <w:i/>
          <w:noProof/>
        </w:rPr>
        <w:t>-e</w:t>
      </w:r>
      <w:r>
        <w:rPr>
          <w:noProof/>
        </w:rPr>
        <w:tab/>
      </w:r>
      <w:r>
        <w:rPr>
          <w:noProof/>
        </w:rPr>
        <w:fldChar w:fldCharType="begin"/>
      </w:r>
      <w:r>
        <w:rPr>
          <w:noProof/>
        </w:rPr>
        <w:instrText xml:space="preserve"> PAGEREF _Toc233083998 \h </w:instrText>
      </w:r>
      <w:r>
        <w:rPr>
          <w:noProof/>
        </w:rPr>
      </w:r>
      <w:r>
        <w:rPr>
          <w:noProof/>
        </w:rPr>
        <w:fldChar w:fldCharType="separate"/>
      </w:r>
      <w:r w:rsidR="00196462">
        <w:rPr>
          <w:noProof/>
        </w:rPr>
        <w:t>79</w:t>
      </w:r>
      <w:r>
        <w:rPr>
          <w:noProof/>
        </w:rPr>
        <w:fldChar w:fldCharType="end"/>
      </w:r>
    </w:p>
    <w:p w14:paraId="21AFBF40"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23: 2012 estimated emissions by major class (indirect and direct) in Mt CO</w:t>
      </w:r>
      <w:r w:rsidRPr="00486CAC">
        <w:rPr>
          <w:i/>
          <w:noProof/>
          <w:vertAlign w:val="subscript"/>
        </w:rPr>
        <w:t>2</w:t>
      </w:r>
      <w:r w:rsidRPr="00486CAC">
        <w:rPr>
          <w:i/>
          <w:noProof/>
        </w:rPr>
        <w:t>-e</w:t>
      </w:r>
      <w:r>
        <w:rPr>
          <w:noProof/>
        </w:rPr>
        <w:tab/>
      </w:r>
      <w:r>
        <w:rPr>
          <w:noProof/>
        </w:rPr>
        <w:fldChar w:fldCharType="begin"/>
      </w:r>
      <w:r>
        <w:rPr>
          <w:noProof/>
        </w:rPr>
        <w:instrText xml:space="preserve"> PAGEREF _Toc233083999 \h </w:instrText>
      </w:r>
      <w:r>
        <w:rPr>
          <w:noProof/>
        </w:rPr>
      </w:r>
      <w:r>
        <w:rPr>
          <w:noProof/>
        </w:rPr>
        <w:fldChar w:fldCharType="separate"/>
      </w:r>
      <w:r w:rsidR="00196462">
        <w:rPr>
          <w:noProof/>
        </w:rPr>
        <w:t>80</w:t>
      </w:r>
      <w:r>
        <w:rPr>
          <w:noProof/>
        </w:rPr>
        <w:fldChar w:fldCharType="end"/>
      </w:r>
    </w:p>
    <w:p w14:paraId="6E48C567"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24: 2012 EOL emissions by major class dissected by emissions</w:t>
      </w:r>
      <w:r>
        <w:rPr>
          <w:noProof/>
        </w:rPr>
        <w:tab/>
      </w:r>
      <w:r>
        <w:rPr>
          <w:noProof/>
        </w:rPr>
        <w:fldChar w:fldCharType="begin"/>
      </w:r>
      <w:r>
        <w:rPr>
          <w:noProof/>
        </w:rPr>
        <w:instrText xml:space="preserve"> PAGEREF _Toc233084000 \h </w:instrText>
      </w:r>
      <w:r>
        <w:rPr>
          <w:noProof/>
        </w:rPr>
      </w:r>
      <w:r>
        <w:rPr>
          <w:noProof/>
        </w:rPr>
        <w:fldChar w:fldCharType="separate"/>
      </w:r>
      <w:r w:rsidR="00196462">
        <w:rPr>
          <w:noProof/>
        </w:rPr>
        <w:t>81</w:t>
      </w:r>
      <w:r>
        <w:rPr>
          <w:noProof/>
        </w:rPr>
        <w:fldChar w:fldCharType="end"/>
      </w:r>
    </w:p>
    <w:p w14:paraId="78C9E15F"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25: Hospitals: Electrical end-use shares, 1999 – 2012</w:t>
      </w:r>
      <w:r>
        <w:rPr>
          <w:noProof/>
        </w:rPr>
        <w:tab/>
      </w:r>
      <w:r>
        <w:rPr>
          <w:noProof/>
        </w:rPr>
        <w:fldChar w:fldCharType="begin"/>
      </w:r>
      <w:r>
        <w:rPr>
          <w:noProof/>
        </w:rPr>
        <w:instrText xml:space="preserve"> PAGEREF _Toc233084001 \h </w:instrText>
      </w:r>
      <w:r>
        <w:rPr>
          <w:noProof/>
        </w:rPr>
      </w:r>
      <w:r>
        <w:rPr>
          <w:noProof/>
        </w:rPr>
        <w:fldChar w:fldCharType="separate"/>
      </w:r>
      <w:r w:rsidR="00196462">
        <w:rPr>
          <w:noProof/>
        </w:rPr>
        <w:t>100</w:t>
      </w:r>
      <w:r>
        <w:rPr>
          <w:noProof/>
        </w:rPr>
        <w:fldChar w:fldCharType="end"/>
      </w:r>
    </w:p>
    <w:p w14:paraId="73D7FB82" w14:textId="77777777" w:rsidR="00A8207B" w:rsidRDefault="00A8207B">
      <w:pPr>
        <w:pStyle w:val="TableofFigures"/>
        <w:tabs>
          <w:tab w:val="right" w:leader="dot" w:pos="9487"/>
        </w:tabs>
        <w:rPr>
          <w:rFonts w:asciiTheme="minorHAnsi" w:eastAsiaTheme="minorEastAsia" w:hAnsiTheme="minorHAnsi" w:cstheme="minorBidi"/>
          <w:noProof/>
          <w:sz w:val="24"/>
          <w:lang w:eastAsia="ja-JP"/>
        </w:rPr>
      </w:pPr>
      <w:r w:rsidRPr="00486CAC">
        <w:rPr>
          <w:i/>
          <w:noProof/>
        </w:rPr>
        <w:t>Figure 26: Hospitals: Gas end-use shares, 1999 – 2012</w:t>
      </w:r>
      <w:r>
        <w:rPr>
          <w:noProof/>
        </w:rPr>
        <w:tab/>
      </w:r>
      <w:r>
        <w:rPr>
          <w:noProof/>
        </w:rPr>
        <w:fldChar w:fldCharType="begin"/>
      </w:r>
      <w:r>
        <w:rPr>
          <w:noProof/>
        </w:rPr>
        <w:instrText xml:space="preserve"> PAGEREF _Toc233084002 \h </w:instrText>
      </w:r>
      <w:r>
        <w:rPr>
          <w:noProof/>
        </w:rPr>
      </w:r>
      <w:r>
        <w:rPr>
          <w:noProof/>
        </w:rPr>
        <w:fldChar w:fldCharType="separate"/>
      </w:r>
      <w:r w:rsidR="00196462">
        <w:rPr>
          <w:noProof/>
        </w:rPr>
        <w:t>101</w:t>
      </w:r>
      <w:r>
        <w:rPr>
          <w:noProof/>
        </w:rPr>
        <w:fldChar w:fldCharType="end"/>
      </w:r>
    </w:p>
    <w:p w14:paraId="178A3067" w14:textId="4D968B28" w:rsidR="003937A5" w:rsidRPr="003937A5" w:rsidRDefault="00A8207B" w:rsidP="00870F76">
      <w:pPr>
        <w:tabs>
          <w:tab w:val="left" w:pos="7513"/>
        </w:tabs>
        <w:rPr>
          <w:rFonts w:asciiTheme="majorHAnsi" w:hAnsiTheme="majorHAnsi"/>
          <w:sz w:val="20"/>
          <w:szCs w:val="20"/>
        </w:rPr>
      </w:pPr>
      <w:r>
        <w:rPr>
          <w:rFonts w:asciiTheme="majorHAnsi" w:eastAsia="Times New Roman" w:hAnsiTheme="majorHAnsi" w:cs="Times New Roman"/>
          <w:noProof/>
          <w:sz w:val="20"/>
          <w:szCs w:val="20"/>
          <w:lang w:val="en-US"/>
        </w:rPr>
        <w:fldChar w:fldCharType="end"/>
      </w:r>
      <w:r w:rsidR="003937A5" w:rsidRPr="000006BF">
        <w:rPr>
          <w:rFonts w:ascii="Verdana" w:hAnsi="Verdana"/>
          <w:color w:val="548DD4"/>
          <w:szCs w:val="20"/>
        </w:rPr>
        <w:br w:type="page"/>
      </w:r>
      <w:r w:rsidR="003937A5" w:rsidRPr="003937A5">
        <w:rPr>
          <w:rFonts w:asciiTheme="majorHAnsi" w:hAnsiTheme="majorHAnsi"/>
          <w:sz w:val="20"/>
          <w:szCs w:val="20"/>
        </w:rPr>
        <w:lastRenderedPageBreak/>
        <w:t>This paper has been prepared for the Australian Government, Department of Sustainability, Environment, Water, Population and Communities, (SEWPaC) Environment Quality Division, Ozone and Synthetic Gas Team.</w:t>
      </w:r>
    </w:p>
    <w:p w14:paraId="2B6F960B" w14:textId="3A9CA530" w:rsidR="003937A5" w:rsidRPr="003937A5" w:rsidRDefault="003937A5" w:rsidP="007B0C64">
      <w:pPr>
        <w:rPr>
          <w:rFonts w:asciiTheme="majorHAnsi" w:hAnsiTheme="majorHAnsi"/>
          <w:sz w:val="20"/>
          <w:szCs w:val="20"/>
        </w:rPr>
      </w:pPr>
      <w:r w:rsidRPr="003937A5">
        <w:rPr>
          <w:rFonts w:asciiTheme="majorHAnsi" w:hAnsiTheme="majorHAnsi"/>
          <w:sz w:val="20"/>
          <w:szCs w:val="20"/>
        </w:rPr>
        <w:t xml:space="preserve">Prepared by Peter Brodribb of the Expert Group (A.C.N. </w:t>
      </w:r>
      <w:r w:rsidR="00206CD4">
        <w:rPr>
          <w:rFonts w:asciiTheme="majorHAnsi" w:hAnsiTheme="majorHAnsi"/>
          <w:sz w:val="20"/>
          <w:szCs w:val="20"/>
        </w:rPr>
        <w:t>122 581 159) and</w:t>
      </w:r>
      <w:r w:rsidRPr="003937A5">
        <w:rPr>
          <w:rFonts w:asciiTheme="majorHAnsi" w:hAnsiTheme="majorHAnsi"/>
          <w:sz w:val="20"/>
          <w:szCs w:val="20"/>
        </w:rPr>
        <w:t xml:space="preserve"> Michael McCann of Thinkwell Australia Pty Ltd (A.C.N. 113 454 112)</w:t>
      </w:r>
      <w:r w:rsidR="00DE56EC">
        <w:rPr>
          <w:rFonts w:asciiTheme="majorHAnsi" w:hAnsiTheme="majorHAnsi"/>
          <w:sz w:val="20"/>
          <w:szCs w:val="20"/>
        </w:rPr>
        <w:t xml:space="preserve"> with input from EcoPerspectives.</w:t>
      </w:r>
    </w:p>
    <w:p w14:paraId="7EC56369" w14:textId="7583B092" w:rsidR="007B0C64" w:rsidRDefault="007B0C64" w:rsidP="007B0C64">
      <w:pPr>
        <w:rPr>
          <w:rFonts w:asciiTheme="majorHAnsi" w:hAnsiTheme="majorHAnsi"/>
          <w:sz w:val="20"/>
          <w:szCs w:val="20"/>
        </w:rPr>
      </w:pPr>
      <w:r>
        <w:rPr>
          <w:rFonts w:asciiTheme="majorHAnsi" w:hAnsiTheme="majorHAnsi"/>
          <w:sz w:val="20"/>
          <w:szCs w:val="20"/>
        </w:rPr>
        <w:t>Level 1, 181 Bay Street, Brighton, Victoria 3186</w:t>
      </w:r>
    </w:p>
    <w:p w14:paraId="66C0607C" w14:textId="77777777" w:rsidR="007B0C64" w:rsidRPr="003937A5" w:rsidRDefault="007B0C64" w:rsidP="007B0C64">
      <w:pPr>
        <w:rPr>
          <w:rFonts w:asciiTheme="majorHAnsi" w:hAnsiTheme="majorHAnsi"/>
          <w:sz w:val="20"/>
          <w:szCs w:val="20"/>
        </w:rPr>
      </w:pPr>
      <w:r w:rsidRPr="003937A5">
        <w:rPr>
          <w:rFonts w:asciiTheme="majorHAnsi" w:hAnsiTheme="majorHAnsi"/>
          <w:sz w:val="20"/>
          <w:szCs w:val="20"/>
        </w:rPr>
        <w:t xml:space="preserve">Ph: +61 3 9592 9111 </w:t>
      </w:r>
    </w:p>
    <w:p w14:paraId="33622AAA" w14:textId="77777777" w:rsidR="003937A5" w:rsidRPr="003937A5" w:rsidRDefault="003937A5" w:rsidP="007B0C64">
      <w:pPr>
        <w:rPr>
          <w:rFonts w:asciiTheme="majorHAnsi" w:hAnsiTheme="majorHAnsi"/>
          <w:sz w:val="20"/>
          <w:szCs w:val="20"/>
        </w:rPr>
      </w:pPr>
      <w:r w:rsidRPr="003937A5">
        <w:rPr>
          <w:rFonts w:asciiTheme="majorHAnsi" w:hAnsiTheme="majorHAnsi"/>
          <w:sz w:val="20"/>
          <w:szCs w:val="20"/>
        </w:rPr>
        <w:t xml:space="preserve">Email: inquiries@expertgroup.com.au </w:t>
      </w:r>
    </w:p>
    <w:p w14:paraId="580B9419" w14:textId="77777777" w:rsidR="003937A5" w:rsidRPr="003937A5" w:rsidRDefault="003937A5" w:rsidP="007B0C64">
      <w:pPr>
        <w:rPr>
          <w:rFonts w:asciiTheme="majorHAnsi" w:hAnsiTheme="majorHAnsi"/>
          <w:sz w:val="20"/>
          <w:szCs w:val="20"/>
        </w:rPr>
      </w:pPr>
      <w:r w:rsidRPr="003937A5">
        <w:rPr>
          <w:rFonts w:asciiTheme="majorHAnsi" w:hAnsiTheme="majorHAnsi"/>
          <w:sz w:val="20"/>
          <w:szCs w:val="20"/>
        </w:rPr>
        <w:t>Web address: www.expertgroup.com.au</w:t>
      </w:r>
    </w:p>
    <w:p w14:paraId="0105B132" w14:textId="77777777" w:rsidR="003937A5" w:rsidRPr="003937A5" w:rsidRDefault="003937A5" w:rsidP="003937A5">
      <w:pPr>
        <w:rPr>
          <w:rFonts w:asciiTheme="majorHAnsi" w:hAnsiTheme="majorHAnsi"/>
          <w:sz w:val="20"/>
          <w:szCs w:val="20"/>
        </w:rPr>
      </w:pPr>
    </w:p>
    <w:p w14:paraId="526B6B88" w14:textId="77777777" w:rsidR="003937A5" w:rsidRPr="003937A5" w:rsidRDefault="003937A5" w:rsidP="003937A5">
      <w:pPr>
        <w:rPr>
          <w:rFonts w:asciiTheme="majorHAnsi" w:hAnsiTheme="majorHAnsi"/>
          <w:b/>
          <w:sz w:val="20"/>
          <w:szCs w:val="20"/>
        </w:rPr>
      </w:pPr>
      <w:r w:rsidRPr="003937A5">
        <w:rPr>
          <w:rFonts w:asciiTheme="majorHAnsi" w:hAnsiTheme="majorHAnsi"/>
          <w:b/>
          <w:sz w:val="20"/>
          <w:szCs w:val="20"/>
        </w:rPr>
        <w:t>Disclaimer</w:t>
      </w:r>
    </w:p>
    <w:p w14:paraId="649AF952" w14:textId="0845C484" w:rsidR="00DE56EC" w:rsidRDefault="00DE56EC" w:rsidP="003937A5">
      <w:pPr>
        <w:rPr>
          <w:rFonts w:asciiTheme="majorHAnsi" w:hAnsiTheme="majorHAnsi"/>
          <w:sz w:val="20"/>
          <w:szCs w:val="20"/>
        </w:rPr>
      </w:pPr>
      <w:r w:rsidRPr="00DE56EC">
        <w:rPr>
          <w:rFonts w:asciiTheme="majorHAnsi" w:hAnsiTheme="majorHAnsi"/>
          <w:sz w:val="20"/>
          <w:szCs w:val="20"/>
        </w:rPr>
        <w:t>This document is produced for general information only and does not represent a statement of the policy of the Commonwealth of Australia. The Commonwealth of Australia and all persons acting for the Commonwealth preparing this report accept no liability for the accuracy of or inferences from the material contained in this publication, or for any action as a result of any person’s or group’s interpretations, deductions, conclusions or actions in relying on this material.</w:t>
      </w:r>
    </w:p>
    <w:p w14:paraId="7E092C3A" w14:textId="13DB0056" w:rsidR="003937A5" w:rsidRPr="003937A5" w:rsidRDefault="003937A5" w:rsidP="003937A5">
      <w:pPr>
        <w:rPr>
          <w:rFonts w:asciiTheme="majorHAnsi" w:hAnsiTheme="majorHAnsi"/>
          <w:sz w:val="20"/>
          <w:szCs w:val="20"/>
        </w:rPr>
      </w:pPr>
      <w:r w:rsidRPr="003937A5">
        <w:rPr>
          <w:rFonts w:asciiTheme="majorHAnsi" w:hAnsiTheme="majorHAnsi"/>
          <w:sz w:val="20"/>
          <w:szCs w:val="20"/>
        </w:rPr>
        <w:t xml:space="preserve">The Expert Group and </w:t>
      </w:r>
      <w:r w:rsidR="00DE56EC">
        <w:rPr>
          <w:rFonts w:asciiTheme="majorHAnsi" w:hAnsiTheme="majorHAnsi"/>
          <w:sz w:val="20"/>
          <w:szCs w:val="20"/>
        </w:rPr>
        <w:t xml:space="preserve">associated parties </w:t>
      </w:r>
      <w:r w:rsidRPr="003937A5">
        <w:rPr>
          <w:rFonts w:asciiTheme="majorHAnsi" w:hAnsiTheme="majorHAnsi"/>
          <w:sz w:val="20"/>
          <w:szCs w:val="20"/>
        </w:rPr>
        <w:t>have made their best endeavours to ensure the accuracy and reliability of the data used herein, however makes no warranties as to the accuracy of data herein nor accepts any liability for any action taken or decision made based on the contents of this report.</w:t>
      </w:r>
    </w:p>
    <w:p w14:paraId="77289EF1" w14:textId="4E7990D4" w:rsidR="00D93F9C" w:rsidRDefault="00D93F9C" w:rsidP="003937A5">
      <w:pPr>
        <w:rPr>
          <w:rFonts w:asciiTheme="majorHAnsi" w:hAnsiTheme="majorHAnsi"/>
          <w:sz w:val="20"/>
          <w:szCs w:val="20"/>
        </w:rPr>
      </w:pPr>
      <w:r w:rsidRPr="00D93F9C">
        <w:rPr>
          <w:rFonts w:asciiTheme="majorHAnsi" w:hAnsiTheme="majorHAnsi"/>
          <w:sz w:val="20"/>
          <w:szCs w:val="20"/>
        </w:rPr>
        <w:t>ISBN: 978-1-921733-84-0</w:t>
      </w:r>
    </w:p>
    <w:p w14:paraId="7E6C50A2" w14:textId="2E409EF4" w:rsidR="003937A5" w:rsidRDefault="003937A5" w:rsidP="003937A5">
      <w:pPr>
        <w:rPr>
          <w:rFonts w:asciiTheme="majorHAnsi" w:hAnsiTheme="majorHAnsi"/>
          <w:sz w:val="20"/>
          <w:szCs w:val="20"/>
        </w:rPr>
      </w:pPr>
      <w:r w:rsidRPr="003937A5">
        <w:rPr>
          <w:rFonts w:asciiTheme="majorHAnsi" w:hAnsiTheme="majorHAnsi"/>
          <w:sz w:val="20"/>
          <w:szCs w:val="20"/>
        </w:rPr>
        <w:t xml:space="preserve">For bibliographic purposes this report may be cited as: </w:t>
      </w:r>
      <w:r w:rsidR="007B0C64">
        <w:rPr>
          <w:rFonts w:asciiTheme="majorHAnsi" w:hAnsiTheme="majorHAnsi"/>
          <w:sz w:val="20"/>
          <w:szCs w:val="20"/>
        </w:rPr>
        <w:t xml:space="preserve">Cold Hard Facts 2: </w:t>
      </w:r>
      <w:r w:rsidR="007B0C64" w:rsidRPr="007B0C64">
        <w:rPr>
          <w:rFonts w:asciiTheme="majorHAnsi" w:hAnsiTheme="majorHAnsi"/>
          <w:sz w:val="20"/>
          <w:szCs w:val="20"/>
        </w:rPr>
        <w:t>A study of the refrigeration and air conditioning industry in Australia</w:t>
      </w:r>
      <w:r w:rsidR="007B0C64">
        <w:rPr>
          <w:rFonts w:asciiTheme="majorHAnsi" w:hAnsiTheme="majorHAnsi"/>
          <w:sz w:val="20"/>
          <w:szCs w:val="20"/>
        </w:rPr>
        <w:t xml:space="preserve"> </w:t>
      </w:r>
      <w:r w:rsidRPr="003937A5">
        <w:rPr>
          <w:rFonts w:asciiTheme="majorHAnsi" w:hAnsiTheme="majorHAnsi"/>
          <w:sz w:val="20"/>
          <w:szCs w:val="20"/>
        </w:rPr>
        <w:t>Peter Brodribb and Michael McCann 201</w:t>
      </w:r>
      <w:r w:rsidR="00206CD4">
        <w:rPr>
          <w:rFonts w:asciiTheme="majorHAnsi" w:hAnsiTheme="majorHAnsi"/>
          <w:sz w:val="20"/>
          <w:szCs w:val="20"/>
        </w:rPr>
        <w:t>3</w:t>
      </w:r>
      <w:r w:rsidRPr="003937A5">
        <w:rPr>
          <w:rFonts w:asciiTheme="majorHAnsi" w:hAnsiTheme="majorHAnsi"/>
          <w:sz w:val="20"/>
          <w:szCs w:val="20"/>
        </w:rPr>
        <w:t>, Canberra.</w:t>
      </w:r>
    </w:p>
    <w:p w14:paraId="613C84FD" w14:textId="77777777" w:rsidR="00D93F9C" w:rsidRPr="003937A5" w:rsidRDefault="00D93F9C" w:rsidP="003937A5">
      <w:pPr>
        <w:rPr>
          <w:rFonts w:asciiTheme="majorHAnsi" w:hAnsiTheme="majorHAnsi"/>
          <w:sz w:val="20"/>
          <w:szCs w:val="20"/>
        </w:rPr>
      </w:pPr>
    </w:p>
    <w:p w14:paraId="00B4A3B4" w14:textId="77777777" w:rsidR="00D93F9C" w:rsidRPr="00D93F9C" w:rsidRDefault="00D93F9C" w:rsidP="00D93F9C">
      <w:pPr>
        <w:rPr>
          <w:rFonts w:asciiTheme="majorHAnsi" w:hAnsiTheme="majorHAnsi"/>
          <w:color w:val="000000" w:themeColor="text1"/>
          <w:sz w:val="20"/>
          <w:szCs w:val="20"/>
        </w:rPr>
      </w:pPr>
      <w:r w:rsidRPr="00D93F9C">
        <w:rPr>
          <w:rFonts w:asciiTheme="majorHAnsi" w:hAnsiTheme="majorHAnsi"/>
          <w:color w:val="000000" w:themeColor="text1"/>
          <w:sz w:val="20"/>
          <w:szCs w:val="20"/>
        </w:rPr>
        <w:t>© Commonwealth of Australia 2013</w:t>
      </w:r>
    </w:p>
    <w:p w14:paraId="2CF8D628" w14:textId="77777777" w:rsidR="00D93F9C" w:rsidRPr="008635DC" w:rsidRDefault="00D93F9C" w:rsidP="00D93F9C">
      <w:pPr>
        <w:rPr>
          <w:rFonts w:asciiTheme="majorHAnsi" w:hAnsiTheme="majorHAnsi"/>
          <w:color w:val="000000" w:themeColor="text1"/>
          <w:sz w:val="20"/>
          <w:szCs w:val="20"/>
        </w:rPr>
      </w:pPr>
      <w:r w:rsidRPr="00D93F9C">
        <w:rPr>
          <w:rFonts w:asciiTheme="majorHAnsi" w:hAnsiTheme="majorHAnsi"/>
          <w:color w:val="000000" w:themeColor="text1"/>
          <w:sz w:val="20"/>
          <w:szCs w:val="20"/>
        </w:rPr>
        <w:t xml:space="preserve">This work is copyright. You may download, display, print and reproduce this material in unaltered form only (retaining this notice) for your personal, non-commercial use or use within your organisation. Apart from any use as permitted under the Copyright Act 1968, all other rights are reserved. Requests and enquiries concerning reproduction and rights should be addressed to Department of Sustainability, Environment, Water, Population and Communities, Public Affairs, GPO Box 787 Canberra ACT 2601 or email </w:t>
      </w:r>
      <w:hyperlink r:id="rId14" w:history="1">
        <w:r w:rsidRPr="00D93F9C">
          <w:rPr>
            <w:rStyle w:val="Hyperlink"/>
            <w:rFonts w:ascii="Verdana" w:hAnsi="Verdana"/>
            <w:sz w:val="17"/>
            <w:szCs w:val="17"/>
          </w:rPr>
          <w:t>public.affairs@environment.gov.au</w:t>
        </w:r>
      </w:hyperlink>
      <w:r w:rsidRPr="00D93F9C">
        <w:rPr>
          <w:rFonts w:ascii="Verdana" w:hAnsi="Verdana"/>
          <w:color w:val="000000"/>
          <w:sz w:val="17"/>
          <w:szCs w:val="17"/>
        </w:rPr>
        <w:t>.</w:t>
      </w:r>
    </w:p>
    <w:p w14:paraId="37137678" w14:textId="77777777" w:rsidR="00D93F9C" w:rsidRPr="003937A5" w:rsidRDefault="00D93F9C" w:rsidP="003937A5">
      <w:pPr>
        <w:spacing w:before="0"/>
        <w:rPr>
          <w:rFonts w:asciiTheme="majorHAnsi" w:hAnsiTheme="majorHAnsi"/>
          <w:sz w:val="20"/>
          <w:szCs w:val="20"/>
        </w:rPr>
      </w:pPr>
    </w:p>
    <w:p w14:paraId="4459DB44" w14:textId="77777777" w:rsidR="00CC6F76" w:rsidRDefault="00CC6F76">
      <w:pPr>
        <w:spacing w:before="0"/>
        <w:jc w:val="left"/>
      </w:pPr>
    </w:p>
    <w:p w14:paraId="45DBE849" w14:textId="77777777" w:rsidR="00CC6F76" w:rsidRDefault="00CC6F76">
      <w:pPr>
        <w:spacing w:before="0"/>
        <w:jc w:val="left"/>
      </w:pPr>
      <w:r>
        <w:br w:type="page"/>
      </w:r>
    </w:p>
    <w:p w14:paraId="486C90EB" w14:textId="12F15708" w:rsidR="00CC6F76" w:rsidRPr="00974916" w:rsidRDefault="00CC6F76" w:rsidP="00CC6F76">
      <w:pPr>
        <w:pStyle w:val="Heading1"/>
        <w:numPr>
          <w:ilvl w:val="0"/>
          <w:numId w:val="0"/>
        </w:numPr>
        <w:ind w:left="432" w:hanging="432"/>
      </w:pPr>
      <w:bookmarkStart w:id="0" w:name="_Toc233084129"/>
      <w:r>
        <w:lastRenderedPageBreak/>
        <w:t>Acknowledgements</w:t>
      </w:r>
      <w:bookmarkEnd w:id="0"/>
    </w:p>
    <w:p w14:paraId="628C22A4" w14:textId="2B71E610" w:rsidR="00D560FE" w:rsidRDefault="00CC6F76" w:rsidP="00CC6F76">
      <w:pPr>
        <w:spacing w:before="0"/>
      </w:pPr>
      <w:r>
        <w:t xml:space="preserve">The authors would like to thank the following industry associations and </w:t>
      </w:r>
      <w:r w:rsidR="00045B67">
        <w:t xml:space="preserve">the individuals in the </w:t>
      </w:r>
      <w:r>
        <w:t xml:space="preserve">companies who have provided invaluable information, expert advice and participated in in-confidence surveys </w:t>
      </w:r>
      <w:r>
        <w:rPr>
          <w:rFonts w:hint="eastAsia"/>
        </w:rPr>
        <w:t>during the course of preparing in this study.</w:t>
      </w:r>
    </w:p>
    <w:p w14:paraId="76D04994" w14:textId="77777777" w:rsidR="00CC6F76" w:rsidRDefault="00CC6F76">
      <w:pPr>
        <w:spacing w:before="0"/>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3"/>
      </w:tblGrid>
      <w:tr w:rsidR="00AF3F53" w14:paraId="26364BAB" w14:textId="77777777" w:rsidTr="00AF3F53">
        <w:tc>
          <w:tcPr>
            <w:tcW w:w="9747" w:type="dxa"/>
          </w:tcPr>
          <w:p w14:paraId="458A76DC" w14:textId="074D638B" w:rsidR="00AF3F53" w:rsidRPr="00AF3F53" w:rsidRDefault="00AF3F53" w:rsidP="00AF3F53">
            <w:pPr>
              <w:spacing w:before="60" w:after="60"/>
              <w:jc w:val="left"/>
              <w:rPr>
                <w:b/>
              </w:rPr>
            </w:pPr>
            <w:r w:rsidRPr="00AF3F53">
              <w:rPr>
                <w:b/>
              </w:rPr>
              <w:t>Industry associations</w:t>
            </w:r>
          </w:p>
        </w:tc>
      </w:tr>
      <w:tr w:rsidR="00AF3F53" w14:paraId="788D5AD1" w14:textId="77777777" w:rsidTr="00AF3F53">
        <w:tc>
          <w:tcPr>
            <w:tcW w:w="9747" w:type="dxa"/>
          </w:tcPr>
          <w:p w14:paraId="0C0198E5" w14:textId="160C5ED6" w:rsidR="00AF3F53" w:rsidRDefault="00AF3F53" w:rsidP="00AF3F53">
            <w:pPr>
              <w:spacing w:before="60" w:after="60"/>
              <w:jc w:val="left"/>
            </w:pPr>
            <w:r w:rsidRPr="00C526CA">
              <w:t xml:space="preserve">Australian Institute of Refrigeration Air Conditioning and Heating </w:t>
            </w:r>
          </w:p>
        </w:tc>
      </w:tr>
      <w:tr w:rsidR="00AF3F53" w14:paraId="6104FCCA" w14:textId="77777777" w:rsidTr="00AF3F53">
        <w:tc>
          <w:tcPr>
            <w:tcW w:w="9747" w:type="dxa"/>
          </w:tcPr>
          <w:p w14:paraId="61E1F19E" w14:textId="739EF46E" w:rsidR="00AF3F53" w:rsidRDefault="00AF3F53" w:rsidP="00AF3F53">
            <w:pPr>
              <w:spacing w:before="60" w:after="60"/>
              <w:jc w:val="left"/>
            </w:pPr>
            <w:r w:rsidRPr="00C526CA">
              <w:t>Air Conditioning &amp; Refrigeration Equipment Manufacturers Association of Australia</w:t>
            </w:r>
          </w:p>
        </w:tc>
      </w:tr>
      <w:tr w:rsidR="00AF3F53" w14:paraId="4B6575AA" w14:textId="77777777" w:rsidTr="00AF3F53">
        <w:tc>
          <w:tcPr>
            <w:tcW w:w="9747" w:type="dxa"/>
          </w:tcPr>
          <w:p w14:paraId="1762B62A" w14:textId="3414251C" w:rsidR="00AF3F53" w:rsidRDefault="00AF3F53" w:rsidP="00AF3F53">
            <w:pPr>
              <w:spacing w:before="60" w:after="60"/>
              <w:jc w:val="left"/>
            </w:pPr>
            <w:r w:rsidRPr="00C526CA">
              <w:t>Air Conditioning and Mechanical Contractors' Association of Australia</w:t>
            </w:r>
          </w:p>
        </w:tc>
      </w:tr>
      <w:tr w:rsidR="00AF3F53" w14:paraId="1D827D1E" w14:textId="77777777" w:rsidTr="00AF3F53">
        <w:tc>
          <w:tcPr>
            <w:tcW w:w="9747" w:type="dxa"/>
          </w:tcPr>
          <w:p w14:paraId="0E5FD952" w14:textId="03E07479" w:rsidR="00AF3F53" w:rsidRDefault="00AF3F53" w:rsidP="00AF3F53">
            <w:pPr>
              <w:spacing w:before="60" w:after="60"/>
              <w:jc w:val="left"/>
            </w:pPr>
            <w:r w:rsidRPr="00C526CA">
              <w:t>Australian Refrigeration Association</w:t>
            </w:r>
          </w:p>
        </w:tc>
      </w:tr>
      <w:tr w:rsidR="00AF3F53" w14:paraId="365C99C1" w14:textId="77777777" w:rsidTr="00AF3F53">
        <w:tc>
          <w:tcPr>
            <w:tcW w:w="9747" w:type="dxa"/>
          </w:tcPr>
          <w:p w14:paraId="3206A75D" w14:textId="54E0FC81" w:rsidR="00AF3F53" w:rsidRDefault="00AF3F53" w:rsidP="00AF3F53">
            <w:pPr>
              <w:spacing w:before="60" w:after="60"/>
              <w:jc w:val="left"/>
            </w:pPr>
            <w:r w:rsidRPr="00C526CA">
              <w:t xml:space="preserve">ARCtick Australian Refrigeration Council </w:t>
            </w:r>
          </w:p>
        </w:tc>
      </w:tr>
      <w:tr w:rsidR="00AF3F53" w14:paraId="42BE1DE9" w14:textId="77777777" w:rsidTr="00AF3F53">
        <w:tc>
          <w:tcPr>
            <w:tcW w:w="9747" w:type="dxa"/>
          </w:tcPr>
          <w:p w14:paraId="198364EC" w14:textId="5643C3B1" w:rsidR="00AF3F53" w:rsidRDefault="00AF3F53" w:rsidP="00AF3F53">
            <w:pPr>
              <w:spacing w:before="60" w:after="60"/>
              <w:jc w:val="left"/>
            </w:pPr>
            <w:r w:rsidRPr="00C526CA">
              <w:t>CAMBA – Convenience &amp; Mixed Business Association</w:t>
            </w:r>
          </w:p>
        </w:tc>
      </w:tr>
      <w:tr w:rsidR="00AF3F53" w14:paraId="55BB1B73" w14:textId="77777777" w:rsidTr="00AF3F53">
        <w:tc>
          <w:tcPr>
            <w:tcW w:w="9747" w:type="dxa"/>
          </w:tcPr>
          <w:p w14:paraId="128E4D56" w14:textId="00B74D8C" w:rsidR="00AF3F53" w:rsidRDefault="00AF3F53" w:rsidP="00AF3F53">
            <w:pPr>
              <w:spacing w:before="60" w:after="60"/>
              <w:jc w:val="left"/>
            </w:pPr>
            <w:r w:rsidRPr="00C526CA">
              <w:t>Consumer Electronics Suppliers Association</w:t>
            </w:r>
          </w:p>
        </w:tc>
      </w:tr>
      <w:tr w:rsidR="00AF3F53" w14:paraId="0FC2A4E2" w14:textId="77777777" w:rsidTr="00AF3F53">
        <w:tc>
          <w:tcPr>
            <w:tcW w:w="9747" w:type="dxa"/>
          </w:tcPr>
          <w:p w14:paraId="0618FEB2" w14:textId="1326AB16" w:rsidR="00AF3F53" w:rsidRDefault="00AF3F53" w:rsidP="00AF3F53">
            <w:pPr>
              <w:spacing w:before="60" w:after="60"/>
              <w:jc w:val="left"/>
            </w:pPr>
            <w:r w:rsidRPr="00C526CA">
              <w:t>Refrigerated Warehouse and Transport Association</w:t>
            </w:r>
          </w:p>
        </w:tc>
      </w:tr>
      <w:tr w:rsidR="00AF3F53" w14:paraId="36B296B8" w14:textId="77777777" w:rsidTr="00AF3F53">
        <w:tc>
          <w:tcPr>
            <w:tcW w:w="9747" w:type="dxa"/>
          </w:tcPr>
          <w:p w14:paraId="393C2940" w14:textId="4D7E1973" w:rsidR="00AF3F53" w:rsidRDefault="00AF3F53" w:rsidP="00AF3F53">
            <w:pPr>
              <w:spacing w:before="60" w:after="60"/>
              <w:jc w:val="left"/>
            </w:pPr>
            <w:r w:rsidRPr="00C526CA">
              <w:t xml:space="preserve">Refrigeration and Air Conditioning Contractors Association </w:t>
            </w:r>
          </w:p>
        </w:tc>
      </w:tr>
      <w:tr w:rsidR="00AF3F53" w14:paraId="7FCE3D6F" w14:textId="77777777" w:rsidTr="00AF3F53">
        <w:tc>
          <w:tcPr>
            <w:tcW w:w="9747" w:type="dxa"/>
          </w:tcPr>
          <w:p w14:paraId="7C4CF16C" w14:textId="79A3276E" w:rsidR="00AF3F53" w:rsidRDefault="00AF3F53" w:rsidP="00AF3F53">
            <w:pPr>
              <w:spacing w:before="60" w:after="60"/>
              <w:jc w:val="left"/>
            </w:pPr>
            <w:r w:rsidRPr="00C526CA">
              <w:t xml:space="preserve">Refrigerants Australia </w:t>
            </w:r>
          </w:p>
        </w:tc>
      </w:tr>
      <w:tr w:rsidR="00AF3F53" w14:paraId="3DBDBBAB" w14:textId="77777777" w:rsidTr="00AF3F53">
        <w:tc>
          <w:tcPr>
            <w:tcW w:w="9747" w:type="dxa"/>
          </w:tcPr>
          <w:p w14:paraId="532B4332" w14:textId="77777777" w:rsidR="00AF3F53" w:rsidRDefault="00AF3F53" w:rsidP="00AF3F53">
            <w:pPr>
              <w:spacing w:before="60" w:after="60"/>
              <w:jc w:val="left"/>
            </w:pPr>
          </w:p>
        </w:tc>
      </w:tr>
      <w:tr w:rsidR="00AF3F53" w14:paraId="4E62CE66" w14:textId="77777777" w:rsidTr="00AF3F53">
        <w:tc>
          <w:tcPr>
            <w:tcW w:w="9747" w:type="dxa"/>
          </w:tcPr>
          <w:p w14:paraId="3FE85071" w14:textId="51ABE01E" w:rsidR="00AF3F53" w:rsidRDefault="00AF3F53" w:rsidP="00AF3F53">
            <w:pPr>
              <w:spacing w:before="60" w:after="60"/>
              <w:jc w:val="left"/>
            </w:pPr>
            <w:r w:rsidRPr="00AF3F53">
              <w:rPr>
                <w:b/>
              </w:rPr>
              <w:t>Companies</w:t>
            </w:r>
          </w:p>
        </w:tc>
      </w:tr>
      <w:tr w:rsidR="00AF3F53" w14:paraId="5D306576" w14:textId="77777777" w:rsidTr="00AF3F53">
        <w:tc>
          <w:tcPr>
            <w:tcW w:w="9747" w:type="dxa"/>
          </w:tcPr>
          <w:p w14:paraId="6ED785AE" w14:textId="49C1C972" w:rsidR="00AF3F53" w:rsidRDefault="00AF3F53" w:rsidP="00AF3F53">
            <w:pPr>
              <w:spacing w:before="60" w:after="60"/>
              <w:jc w:val="left"/>
            </w:pPr>
            <w:r w:rsidRPr="00DD51F5">
              <w:t>Actrol Parts</w:t>
            </w:r>
          </w:p>
        </w:tc>
      </w:tr>
      <w:tr w:rsidR="00AF3F53" w14:paraId="5784D0E4" w14:textId="77777777" w:rsidTr="00AF3F53">
        <w:tc>
          <w:tcPr>
            <w:tcW w:w="9747" w:type="dxa"/>
          </w:tcPr>
          <w:p w14:paraId="5A505975" w14:textId="2A59FF7E" w:rsidR="00AF3F53" w:rsidRDefault="00AF3F53" w:rsidP="00AF3F53">
            <w:pPr>
              <w:spacing w:before="60" w:after="60"/>
              <w:jc w:val="left"/>
            </w:pPr>
            <w:r w:rsidRPr="00DD51F5">
              <w:t>A-Gas Australia</w:t>
            </w:r>
          </w:p>
        </w:tc>
      </w:tr>
      <w:tr w:rsidR="00AF3F53" w14:paraId="1A212383" w14:textId="77777777" w:rsidTr="00AF3F53">
        <w:tc>
          <w:tcPr>
            <w:tcW w:w="9747" w:type="dxa"/>
          </w:tcPr>
          <w:p w14:paraId="34A78835" w14:textId="59AB5FE3" w:rsidR="00AF3F53" w:rsidRDefault="00AF3F53" w:rsidP="00AF3F53">
            <w:pPr>
              <w:spacing w:before="60" w:after="60"/>
              <w:jc w:val="left"/>
            </w:pPr>
            <w:r w:rsidRPr="00DD51F5">
              <w:t>Airfrig Australia</w:t>
            </w:r>
          </w:p>
        </w:tc>
      </w:tr>
      <w:tr w:rsidR="00AF3F53" w14:paraId="5E70DDB2" w14:textId="77777777" w:rsidTr="00AF3F53">
        <w:tc>
          <w:tcPr>
            <w:tcW w:w="9747" w:type="dxa"/>
          </w:tcPr>
          <w:p w14:paraId="1B56726F" w14:textId="1E8A5C83" w:rsidR="00AF3F53" w:rsidRDefault="00AF3F53" w:rsidP="00AF3F53">
            <w:pPr>
              <w:spacing w:before="60" w:after="60"/>
              <w:jc w:val="left"/>
            </w:pPr>
            <w:r w:rsidRPr="00DD51F5">
              <w:t>Bitzer Australia</w:t>
            </w:r>
          </w:p>
        </w:tc>
      </w:tr>
      <w:tr w:rsidR="00AF3F53" w14:paraId="70B6990D" w14:textId="77777777" w:rsidTr="00AF3F53">
        <w:tc>
          <w:tcPr>
            <w:tcW w:w="9747" w:type="dxa"/>
          </w:tcPr>
          <w:p w14:paraId="6E1D2F90" w14:textId="3D0BC749" w:rsidR="00AF3F53" w:rsidRDefault="00AF3F53" w:rsidP="00AF3F53">
            <w:pPr>
              <w:spacing w:before="60" w:after="60"/>
              <w:jc w:val="left"/>
            </w:pPr>
            <w:r w:rsidRPr="00DD51F5">
              <w:t>BOC Limited</w:t>
            </w:r>
          </w:p>
        </w:tc>
      </w:tr>
      <w:tr w:rsidR="00AF3F53" w14:paraId="6E83121B" w14:textId="77777777" w:rsidTr="00AF3F53">
        <w:tc>
          <w:tcPr>
            <w:tcW w:w="9747" w:type="dxa"/>
          </w:tcPr>
          <w:p w14:paraId="21FFD45F" w14:textId="07E9101E" w:rsidR="00AF3F53" w:rsidRDefault="00AF3F53" w:rsidP="00AF3F53">
            <w:pPr>
              <w:spacing w:before="60" w:after="60"/>
              <w:jc w:val="left"/>
            </w:pPr>
            <w:r w:rsidRPr="00DD51F5">
              <w:t>Daikin Australia</w:t>
            </w:r>
          </w:p>
        </w:tc>
      </w:tr>
      <w:tr w:rsidR="00AF3F53" w14:paraId="2BC3BCD0" w14:textId="77777777" w:rsidTr="00AF3F53">
        <w:tc>
          <w:tcPr>
            <w:tcW w:w="9747" w:type="dxa"/>
          </w:tcPr>
          <w:p w14:paraId="692E2EBB" w14:textId="131C0526" w:rsidR="00AF3F53" w:rsidRDefault="00AF3F53" w:rsidP="00AF3F53">
            <w:pPr>
              <w:spacing w:before="60" w:after="60"/>
              <w:jc w:val="left"/>
            </w:pPr>
            <w:r w:rsidRPr="00DD51F5">
              <w:t>Danfoss Australia</w:t>
            </w:r>
          </w:p>
        </w:tc>
      </w:tr>
      <w:tr w:rsidR="00AF3F53" w14:paraId="5AB2F0BA" w14:textId="77777777" w:rsidTr="00AF3F53">
        <w:tc>
          <w:tcPr>
            <w:tcW w:w="9747" w:type="dxa"/>
          </w:tcPr>
          <w:p w14:paraId="4DCA0873" w14:textId="34FE49C3" w:rsidR="00AF3F53" w:rsidRDefault="00AF3F53" w:rsidP="00AF3F53">
            <w:pPr>
              <w:spacing w:before="60" w:after="60"/>
              <w:jc w:val="left"/>
            </w:pPr>
            <w:r w:rsidRPr="00DD51F5">
              <w:t>De Longhi Group</w:t>
            </w:r>
          </w:p>
        </w:tc>
      </w:tr>
      <w:tr w:rsidR="00AF3F53" w14:paraId="037D6CB5" w14:textId="77777777" w:rsidTr="00AF3F53">
        <w:tc>
          <w:tcPr>
            <w:tcW w:w="9747" w:type="dxa"/>
          </w:tcPr>
          <w:p w14:paraId="71311848" w14:textId="1A609835" w:rsidR="00AF3F53" w:rsidRDefault="00AF3F53" w:rsidP="00AF3F53">
            <w:pPr>
              <w:spacing w:before="60" w:after="60"/>
              <w:jc w:val="left"/>
            </w:pPr>
            <w:r w:rsidRPr="00DD51F5">
              <w:t>Electrolux Home Products</w:t>
            </w:r>
          </w:p>
        </w:tc>
      </w:tr>
      <w:tr w:rsidR="00AF3F53" w14:paraId="7C7CC2DE" w14:textId="77777777" w:rsidTr="00AF3F53">
        <w:tc>
          <w:tcPr>
            <w:tcW w:w="9747" w:type="dxa"/>
          </w:tcPr>
          <w:p w14:paraId="23C29FE4" w14:textId="06BBDEFB" w:rsidR="00AF3F53" w:rsidRDefault="00AF3F53" w:rsidP="00AF3F53">
            <w:pPr>
              <w:spacing w:before="60" w:after="60"/>
              <w:jc w:val="left"/>
            </w:pPr>
            <w:r w:rsidRPr="00DD51F5">
              <w:t>Engas Australasia</w:t>
            </w:r>
          </w:p>
        </w:tc>
      </w:tr>
      <w:tr w:rsidR="00AF3F53" w14:paraId="5412DAFF" w14:textId="77777777" w:rsidTr="00AF3F53">
        <w:tc>
          <w:tcPr>
            <w:tcW w:w="9747" w:type="dxa"/>
          </w:tcPr>
          <w:p w14:paraId="13AFA327" w14:textId="7065FFB9" w:rsidR="00AF3F53" w:rsidRDefault="00AF3F53" w:rsidP="00AF3F53">
            <w:pPr>
              <w:spacing w:before="60" w:after="60"/>
              <w:jc w:val="left"/>
            </w:pPr>
            <w:r w:rsidRPr="00DD51F5">
              <w:t>GreenFreeze</w:t>
            </w:r>
          </w:p>
        </w:tc>
      </w:tr>
      <w:tr w:rsidR="00AF3F53" w14:paraId="1CDB4CC8" w14:textId="77777777" w:rsidTr="00AF3F53">
        <w:tc>
          <w:tcPr>
            <w:tcW w:w="9747" w:type="dxa"/>
          </w:tcPr>
          <w:p w14:paraId="0D7000CC" w14:textId="1410536C" w:rsidR="00AF3F53" w:rsidRDefault="00AF3F53" w:rsidP="00AF3F53">
            <w:pPr>
              <w:spacing w:before="60" w:after="60"/>
              <w:jc w:val="left"/>
            </w:pPr>
            <w:r w:rsidRPr="00DD51F5">
              <w:t>Heatcraft Australia</w:t>
            </w:r>
          </w:p>
        </w:tc>
      </w:tr>
      <w:tr w:rsidR="00AF3F53" w14:paraId="4884326A" w14:textId="77777777" w:rsidTr="00AF3F53">
        <w:tc>
          <w:tcPr>
            <w:tcW w:w="9747" w:type="dxa"/>
          </w:tcPr>
          <w:p w14:paraId="01AC429D" w14:textId="515D0969" w:rsidR="00AF3F53" w:rsidRDefault="00AF3F53" w:rsidP="00AF3F53">
            <w:pPr>
              <w:spacing w:before="60" w:after="60"/>
              <w:jc w:val="left"/>
            </w:pPr>
            <w:r w:rsidRPr="00DD51F5">
              <w:t>Hychill Australia</w:t>
            </w:r>
          </w:p>
        </w:tc>
      </w:tr>
      <w:tr w:rsidR="00AF3F53" w14:paraId="46F96384" w14:textId="77777777" w:rsidTr="00AF3F53">
        <w:tc>
          <w:tcPr>
            <w:tcW w:w="9747" w:type="dxa"/>
          </w:tcPr>
          <w:p w14:paraId="4A6CB21A" w14:textId="793EDD4E" w:rsidR="00AF3F53" w:rsidRDefault="00AF3F53" w:rsidP="00AF3F53">
            <w:pPr>
              <w:spacing w:before="60" w:after="60"/>
              <w:jc w:val="left"/>
            </w:pPr>
            <w:r w:rsidRPr="00DD51F5">
              <w:t>Nutrifaster (Desmon Coolrooms)</w:t>
            </w:r>
          </w:p>
        </w:tc>
      </w:tr>
      <w:tr w:rsidR="00AF3F53" w14:paraId="2A742A71" w14:textId="77777777" w:rsidTr="00AF3F53">
        <w:tc>
          <w:tcPr>
            <w:tcW w:w="9747" w:type="dxa"/>
          </w:tcPr>
          <w:p w14:paraId="5E4C26AA" w14:textId="7BBCE335" w:rsidR="00AF3F53" w:rsidRDefault="00AF3F53" w:rsidP="00AF3F53">
            <w:pPr>
              <w:spacing w:before="60" w:after="60"/>
              <w:jc w:val="left"/>
            </w:pPr>
            <w:r w:rsidRPr="00DD51F5">
              <w:t xml:space="preserve">Orica Chemicals; Orica Australia </w:t>
            </w:r>
          </w:p>
        </w:tc>
      </w:tr>
      <w:tr w:rsidR="00AF3F53" w14:paraId="68FBC390" w14:textId="77777777" w:rsidTr="00AF3F53">
        <w:tc>
          <w:tcPr>
            <w:tcW w:w="9747" w:type="dxa"/>
          </w:tcPr>
          <w:p w14:paraId="226DCA6F" w14:textId="18655B6C" w:rsidR="00AF3F53" w:rsidRDefault="00AF3F53" w:rsidP="00AF3F53">
            <w:pPr>
              <w:spacing w:before="60" w:after="60"/>
              <w:jc w:val="left"/>
            </w:pPr>
            <w:r w:rsidRPr="00DD51F5">
              <w:t>Patton Australia</w:t>
            </w:r>
          </w:p>
        </w:tc>
      </w:tr>
      <w:tr w:rsidR="00AF3F53" w14:paraId="52D50256" w14:textId="77777777" w:rsidTr="00AF3F53">
        <w:tc>
          <w:tcPr>
            <w:tcW w:w="9747" w:type="dxa"/>
          </w:tcPr>
          <w:p w14:paraId="2617BB45" w14:textId="0370F8C2" w:rsidR="00AF3F53" w:rsidRDefault="00AF3F53" w:rsidP="00AF3F53">
            <w:pPr>
              <w:spacing w:before="60" w:after="60"/>
              <w:jc w:val="left"/>
            </w:pPr>
            <w:r w:rsidRPr="00DD51F5">
              <w:t>Real Cold</w:t>
            </w:r>
          </w:p>
        </w:tc>
      </w:tr>
      <w:tr w:rsidR="00AF3F53" w14:paraId="42BC50CF" w14:textId="77777777" w:rsidTr="00AF3F53">
        <w:tc>
          <w:tcPr>
            <w:tcW w:w="9747" w:type="dxa"/>
          </w:tcPr>
          <w:p w14:paraId="50C7852B" w14:textId="2003D8A2" w:rsidR="00AF3F53" w:rsidRDefault="00AF3F53" w:rsidP="00AF3F53">
            <w:pPr>
              <w:spacing w:before="60" w:after="60"/>
              <w:jc w:val="left"/>
            </w:pPr>
            <w:r>
              <w:t>Woolworths (Group Engineering)</w:t>
            </w:r>
          </w:p>
        </w:tc>
      </w:tr>
    </w:tbl>
    <w:p w14:paraId="3006DC29" w14:textId="77777777" w:rsidR="00045B67" w:rsidRDefault="00045B67">
      <w:pPr>
        <w:spacing w:before="0"/>
        <w:jc w:val="left"/>
      </w:pPr>
    </w:p>
    <w:p w14:paraId="2FA3AB54" w14:textId="77777777" w:rsidR="00CC6F76" w:rsidRDefault="00CC6F76">
      <w:pPr>
        <w:spacing w:before="0"/>
        <w:jc w:val="left"/>
      </w:pPr>
    </w:p>
    <w:p w14:paraId="76052016" w14:textId="3C572A81" w:rsidR="008A52C8" w:rsidRPr="00974916" w:rsidRDefault="008A52C8" w:rsidP="008A52C8">
      <w:pPr>
        <w:pStyle w:val="Heading1"/>
        <w:numPr>
          <w:ilvl w:val="0"/>
          <w:numId w:val="0"/>
        </w:numPr>
        <w:ind w:left="432" w:hanging="432"/>
      </w:pPr>
      <w:bookmarkStart w:id="1" w:name="_Toc233084130"/>
      <w:r>
        <w:lastRenderedPageBreak/>
        <w:t>Glossary</w:t>
      </w:r>
      <w:bookmarkEnd w:id="1"/>
    </w:p>
    <w:tbl>
      <w:tblPr>
        <w:tblW w:w="0" w:type="auto"/>
        <w:tblLook w:val="00A0" w:firstRow="1" w:lastRow="0" w:firstColumn="1" w:lastColumn="0" w:noHBand="0" w:noVBand="0"/>
      </w:tblPr>
      <w:tblGrid>
        <w:gridCol w:w="2230"/>
        <w:gridCol w:w="7483"/>
      </w:tblGrid>
      <w:tr w:rsidR="008A52C8" w:rsidRPr="008C4425" w14:paraId="151780FB" w14:textId="77777777" w:rsidTr="00172EEA">
        <w:trPr>
          <w:trHeight w:val="342"/>
        </w:trPr>
        <w:tc>
          <w:tcPr>
            <w:tcW w:w="2230" w:type="dxa"/>
          </w:tcPr>
          <w:p w14:paraId="69FBD0C5" w14:textId="07F0A708" w:rsidR="008A52C8" w:rsidRPr="008C4425" w:rsidRDefault="008A52C8"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Ammonia Refrigerant</w:t>
            </w:r>
          </w:p>
        </w:tc>
        <w:tc>
          <w:tcPr>
            <w:tcW w:w="7483" w:type="dxa"/>
          </w:tcPr>
          <w:p w14:paraId="7C84FE2A" w14:textId="364494AE" w:rsidR="008A52C8" w:rsidRPr="008C4425" w:rsidRDefault="008A52C8" w:rsidP="008C4425">
            <w:pPr>
              <w:pStyle w:val="BodyText"/>
              <w:spacing w:before="60" w:after="60"/>
              <w:rPr>
                <w:rFonts w:asciiTheme="majorHAnsi" w:hAnsiTheme="majorHAnsi"/>
                <w:sz w:val="18"/>
                <w:szCs w:val="22"/>
              </w:rPr>
            </w:pPr>
            <w:r w:rsidRPr="008C4425">
              <w:rPr>
                <w:rFonts w:asciiTheme="majorHAnsi" w:hAnsiTheme="majorHAnsi"/>
                <w:sz w:val="18"/>
                <w:szCs w:val="22"/>
              </w:rPr>
              <w:t>Anhydrous Ammonia (R717) has excellent thermodynamic properties, making it effective as a refrigerant, and is widely used in industrial and process refrigeration applications because of its high energy efficiency and relatively low cost. Ammonia is used less frequently in commercial refrigeration applications, such as in supermarket and food retail, freezer cases and refrigerated displays due to its toxicity, and the proximity of the general public.</w:t>
            </w:r>
          </w:p>
        </w:tc>
      </w:tr>
      <w:tr w:rsidR="00E837D8" w:rsidRPr="008C4425" w14:paraId="3038055B" w14:textId="77777777" w:rsidTr="00172EEA">
        <w:trPr>
          <w:trHeight w:val="342"/>
        </w:trPr>
        <w:tc>
          <w:tcPr>
            <w:tcW w:w="2230" w:type="dxa"/>
          </w:tcPr>
          <w:p w14:paraId="563E9BEA" w14:textId="2645EF6A" w:rsidR="00E837D8" w:rsidRPr="008C4425" w:rsidRDefault="00E837D8" w:rsidP="008C4425">
            <w:pPr>
              <w:pStyle w:val="BodyText"/>
              <w:spacing w:before="60" w:after="60"/>
              <w:jc w:val="left"/>
              <w:rPr>
                <w:rFonts w:asciiTheme="majorHAnsi" w:hAnsiTheme="majorHAnsi"/>
                <w:sz w:val="18"/>
                <w:szCs w:val="22"/>
              </w:rPr>
            </w:pPr>
            <w:r w:rsidRPr="00E837D8">
              <w:rPr>
                <w:rFonts w:asciiTheme="majorHAnsi" w:hAnsiTheme="majorHAnsi"/>
                <w:sz w:val="18"/>
                <w:szCs w:val="22"/>
              </w:rPr>
              <w:t>Bottom-up model</w:t>
            </w:r>
          </w:p>
        </w:tc>
        <w:tc>
          <w:tcPr>
            <w:tcW w:w="7483" w:type="dxa"/>
          </w:tcPr>
          <w:p w14:paraId="3AF04FF4" w14:textId="5964C140" w:rsidR="00E837D8" w:rsidRPr="008C4425" w:rsidRDefault="00E837D8" w:rsidP="003B1944">
            <w:pPr>
              <w:pStyle w:val="BodyText"/>
              <w:spacing w:before="60" w:after="60"/>
              <w:rPr>
                <w:rFonts w:asciiTheme="majorHAnsi" w:hAnsiTheme="majorHAnsi"/>
                <w:sz w:val="18"/>
                <w:szCs w:val="22"/>
              </w:rPr>
            </w:pPr>
            <w:r w:rsidRPr="00E837D8">
              <w:rPr>
                <w:rFonts w:asciiTheme="majorHAnsi" w:hAnsiTheme="majorHAnsi"/>
                <w:sz w:val="18"/>
                <w:szCs w:val="22"/>
              </w:rPr>
              <w:t xml:space="preserve">A method of estimation whereby the individual </w:t>
            </w:r>
            <w:r>
              <w:rPr>
                <w:rFonts w:asciiTheme="majorHAnsi" w:hAnsiTheme="majorHAnsi"/>
                <w:sz w:val="18"/>
                <w:szCs w:val="22"/>
              </w:rPr>
              <w:t xml:space="preserve">appliances, equipment and product categories </w:t>
            </w:r>
            <w:r w:rsidRPr="00E837D8">
              <w:rPr>
                <w:rFonts w:asciiTheme="majorHAnsi" w:hAnsiTheme="majorHAnsi"/>
                <w:sz w:val="18"/>
                <w:szCs w:val="22"/>
              </w:rPr>
              <w:t xml:space="preserve">that make up </w:t>
            </w:r>
            <w:r>
              <w:rPr>
                <w:rFonts w:asciiTheme="majorHAnsi" w:hAnsiTheme="majorHAnsi"/>
                <w:sz w:val="18"/>
                <w:szCs w:val="22"/>
              </w:rPr>
              <w:t xml:space="preserve">the equipment bank </w:t>
            </w:r>
            <w:r w:rsidRPr="00E837D8">
              <w:rPr>
                <w:rFonts w:asciiTheme="majorHAnsi" w:hAnsiTheme="majorHAnsi"/>
                <w:sz w:val="18"/>
                <w:szCs w:val="22"/>
              </w:rPr>
              <w:t xml:space="preserve">are estimated separately.  The individual results are then aggregated to produce an estimate </w:t>
            </w:r>
            <w:r>
              <w:rPr>
                <w:rFonts w:asciiTheme="majorHAnsi" w:hAnsiTheme="majorHAnsi"/>
                <w:sz w:val="18"/>
                <w:szCs w:val="22"/>
              </w:rPr>
              <w:t xml:space="preserve">of the refrigerant bank </w:t>
            </w:r>
            <w:r w:rsidR="003B1944">
              <w:rPr>
                <w:rFonts w:asciiTheme="majorHAnsi" w:hAnsiTheme="majorHAnsi"/>
                <w:sz w:val="18"/>
                <w:szCs w:val="22"/>
              </w:rPr>
              <w:t xml:space="preserve">by </w:t>
            </w:r>
            <w:r>
              <w:rPr>
                <w:rFonts w:asciiTheme="majorHAnsi" w:hAnsiTheme="majorHAnsi"/>
                <w:sz w:val="18"/>
                <w:szCs w:val="22"/>
              </w:rPr>
              <w:t>refrigerant species</w:t>
            </w:r>
            <w:r w:rsidRPr="00E837D8">
              <w:rPr>
                <w:rFonts w:asciiTheme="majorHAnsi" w:hAnsiTheme="majorHAnsi"/>
                <w:sz w:val="18"/>
                <w:szCs w:val="22"/>
              </w:rPr>
              <w:t xml:space="preserve">.  In the context of this study, </w:t>
            </w:r>
            <w:r w:rsidR="003B1944">
              <w:rPr>
                <w:rFonts w:asciiTheme="majorHAnsi" w:hAnsiTheme="majorHAnsi"/>
                <w:sz w:val="18"/>
                <w:szCs w:val="22"/>
              </w:rPr>
              <w:t xml:space="preserve">consumption </w:t>
            </w:r>
            <w:r w:rsidRPr="00E837D8">
              <w:rPr>
                <w:rFonts w:asciiTheme="majorHAnsi" w:hAnsiTheme="majorHAnsi"/>
                <w:sz w:val="18"/>
                <w:szCs w:val="22"/>
              </w:rPr>
              <w:t xml:space="preserve">estimates </w:t>
            </w:r>
            <w:r w:rsidR="003B1944">
              <w:rPr>
                <w:rFonts w:asciiTheme="majorHAnsi" w:hAnsiTheme="majorHAnsi"/>
                <w:sz w:val="18"/>
                <w:szCs w:val="22"/>
              </w:rPr>
              <w:t xml:space="preserve">(i.e. leakage plus local manufacture plus exports) </w:t>
            </w:r>
            <w:r>
              <w:rPr>
                <w:rFonts w:asciiTheme="majorHAnsi" w:hAnsiTheme="majorHAnsi"/>
                <w:sz w:val="18"/>
                <w:szCs w:val="22"/>
              </w:rPr>
              <w:t>is reconciled with the top down data (i.e. bulk imports)</w:t>
            </w:r>
            <w:r w:rsidR="003B1944">
              <w:rPr>
                <w:rFonts w:asciiTheme="majorHAnsi" w:hAnsiTheme="majorHAnsi"/>
                <w:sz w:val="18"/>
                <w:szCs w:val="22"/>
              </w:rPr>
              <w:t>, except in 2012 where stock piling occurred and adjustments were made to account for changes in industry behavior.</w:t>
            </w:r>
          </w:p>
        </w:tc>
      </w:tr>
      <w:tr w:rsidR="008A52C8" w:rsidRPr="008C4425" w14:paraId="2E3AC030" w14:textId="77777777" w:rsidTr="00172EEA">
        <w:trPr>
          <w:trHeight w:val="342"/>
        </w:trPr>
        <w:tc>
          <w:tcPr>
            <w:tcW w:w="2230" w:type="dxa"/>
          </w:tcPr>
          <w:p w14:paraId="41BBCA11" w14:textId="0008A896" w:rsidR="008A52C8" w:rsidRPr="008C4425" w:rsidRDefault="008A52C8"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Cascade refrigeration system</w:t>
            </w:r>
          </w:p>
        </w:tc>
        <w:tc>
          <w:tcPr>
            <w:tcW w:w="7483" w:type="dxa"/>
          </w:tcPr>
          <w:p w14:paraId="5C43C072" w14:textId="67384002" w:rsidR="008A52C8" w:rsidRPr="008C4425" w:rsidRDefault="008A52C8" w:rsidP="008C4425">
            <w:pPr>
              <w:pStyle w:val="BodyText"/>
              <w:spacing w:before="60" w:after="60"/>
              <w:rPr>
                <w:rFonts w:asciiTheme="majorHAnsi" w:hAnsiTheme="majorHAnsi"/>
                <w:sz w:val="18"/>
                <w:szCs w:val="22"/>
              </w:rPr>
            </w:pPr>
            <w:r w:rsidRPr="008C4425">
              <w:rPr>
                <w:rFonts w:asciiTheme="majorHAnsi" w:hAnsiTheme="majorHAnsi"/>
                <w:sz w:val="18"/>
                <w:szCs w:val="22"/>
              </w:rPr>
              <w:t>A cascade system is made up of two separate but connected refrigeration systems, each of which has a primary refrigerant. The separate refrigerant circuits work in concert to reach the desired temperature. Cascade systems in operation today in Australia are R404A/R744 (CO</w:t>
            </w:r>
            <w:r w:rsidRPr="008C4425">
              <w:rPr>
                <w:rFonts w:asciiTheme="majorHAnsi" w:hAnsiTheme="majorHAnsi"/>
                <w:sz w:val="18"/>
                <w:szCs w:val="22"/>
                <w:vertAlign w:val="subscript"/>
              </w:rPr>
              <w:t>2</w:t>
            </w:r>
            <w:r w:rsidRPr="008C4425">
              <w:rPr>
                <w:rFonts w:asciiTheme="majorHAnsi" w:hAnsiTheme="majorHAnsi"/>
                <w:sz w:val="18"/>
                <w:szCs w:val="22"/>
              </w:rPr>
              <w:t>); R134a/R744 and R717 (ammonia)/R744. A cascade refrigeration system is also sometimes referred to simply as an ‘advanced refrigeration system’.</w:t>
            </w:r>
          </w:p>
        </w:tc>
      </w:tr>
      <w:tr w:rsidR="008A52C8" w:rsidRPr="008C4425" w14:paraId="28A563FF" w14:textId="77777777" w:rsidTr="00172EEA">
        <w:trPr>
          <w:trHeight w:val="342"/>
        </w:trPr>
        <w:tc>
          <w:tcPr>
            <w:tcW w:w="2230" w:type="dxa"/>
          </w:tcPr>
          <w:p w14:paraId="7F6762ED" w14:textId="73FC6B6F" w:rsidR="008A52C8" w:rsidRPr="008C4425" w:rsidRDefault="008A52C8"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CHF1</w:t>
            </w:r>
          </w:p>
        </w:tc>
        <w:tc>
          <w:tcPr>
            <w:tcW w:w="7483" w:type="dxa"/>
          </w:tcPr>
          <w:p w14:paraId="3C4B1D07" w14:textId="35B27F94" w:rsidR="008A52C8" w:rsidRPr="008C4425" w:rsidRDefault="008A52C8" w:rsidP="008C4425">
            <w:pPr>
              <w:pStyle w:val="BodyText"/>
              <w:spacing w:before="60" w:after="60"/>
              <w:rPr>
                <w:rFonts w:asciiTheme="majorHAnsi" w:hAnsiTheme="majorHAnsi"/>
                <w:sz w:val="18"/>
                <w:szCs w:val="22"/>
              </w:rPr>
            </w:pPr>
            <w:r w:rsidRPr="008C4425">
              <w:rPr>
                <w:rFonts w:asciiTheme="majorHAnsi" w:hAnsiTheme="majorHAnsi"/>
                <w:sz w:val="18"/>
                <w:szCs w:val="22"/>
              </w:rPr>
              <w:t>Cold Hard Facts 1, the original refrigeration and air conditioning (RAC) study undertaken by the authors in 2007 based on 2006 data.</w:t>
            </w:r>
          </w:p>
        </w:tc>
      </w:tr>
      <w:tr w:rsidR="008A52C8" w:rsidRPr="008C4425" w14:paraId="5411C57E" w14:textId="77777777" w:rsidTr="00172EEA">
        <w:trPr>
          <w:trHeight w:val="342"/>
        </w:trPr>
        <w:tc>
          <w:tcPr>
            <w:tcW w:w="2230" w:type="dxa"/>
          </w:tcPr>
          <w:p w14:paraId="5401E74F" w14:textId="1BD52D28" w:rsidR="008A52C8" w:rsidRPr="008C4425" w:rsidRDefault="008A52C8"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CHF2</w:t>
            </w:r>
          </w:p>
        </w:tc>
        <w:tc>
          <w:tcPr>
            <w:tcW w:w="7483" w:type="dxa"/>
          </w:tcPr>
          <w:p w14:paraId="6813A0EE" w14:textId="5C320995" w:rsidR="008A52C8" w:rsidRPr="008C4425" w:rsidRDefault="008A52C8" w:rsidP="008C4425">
            <w:pPr>
              <w:pStyle w:val="BodyText"/>
              <w:spacing w:before="60" w:after="60"/>
              <w:rPr>
                <w:rFonts w:asciiTheme="majorHAnsi" w:hAnsiTheme="majorHAnsi"/>
                <w:sz w:val="18"/>
                <w:szCs w:val="22"/>
              </w:rPr>
            </w:pPr>
            <w:r w:rsidRPr="008C4425">
              <w:rPr>
                <w:rFonts w:asciiTheme="majorHAnsi" w:hAnsiTheme="majorHAnsi"/>
                <w:sz w:val="18"/>
                <w:szCs w:val="22"/>
              </w:rPr>
              <w:t>Cold Hard Facts 2, an updated study of the RAC industry in Australia with an expanded brief to encompass new application/equipment classes, new and emerging refrigerants, and report on the refrigerant bank.</w:t>
            </w:r>
          </w:p>
        </w:tc>
      </w:tr>
      <w:tr w:rsidR="008A52C8" w:rsidRPr="008C4425" w14:paraId="6604E1CF" w14:textId="77777777" w:rsidTr="00172EEA">
        <w:trPr>
          <w:trHeight w:val="342"/>
        </w:trPr>
        <w:tc>
          <w:tcPr>
            <w:tcW w:w="2230" w:type="dxa"/>
          </w:tcPr>
          <w:p w14:paraId="5DCD1DC1" w14:textId="06A67FDC" w:rsidR="008A52C8" w:rsidRPr="008C4425" w:rsidRDefault="008A52C8"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Chlorofluorocarbons (CFCs)</w:t>
            </w:r>
          </w:p>
        </w:tc>
        <w:tc>
          <w:tcPr>
            <w:tcW w:w="7483" w:type="dxa"/>
          </w:tcPr>
          <w:p w14:paraId="20FB5BFE" w14:textId="3C83CF86" w:rsidR="008A52C8" w:rsidRPr="008C4425" w:rsidRDefault="008A52C8" w:rsidP="008C4425">
            <w:pPr>
              <w:pStyle w:val="BodyText"/>
              <w:spacing w:before="60" w:after="60"/>
              <w:rPr>
                <w:rFonts w:asciiTheme="majorHAnsi" w:hAnsiTheme="majorHAnsi"/>
                <w:sz w:val="18"/>
                <w:szCs w:val="22"/>
              </w:rPr>
            </w:pPr>
            <w:r w:rsidRPr="008C4425">
              <w:rPr>
                <w:rFonts w:asciiTheme="majorHAnsi" w:hAnsiTheme="majorHAnsi"/>
                <w:sz w:val="18"/>
                <w:szCs w:val="22"/>
              </w:rPr>
              <w:t>Molecules containing carbon, fluorine, and chlorine. CFCs are the major ozone depleting substance phased out by the Montreal Protocol on Substances that Deplete the Ozone Layer. Many CFCs are potent greenhouse gases.</w:t>
            </w:r>
          </w:p>
        </w:tc>
      </w:tr>
      <w:tr w:rsidR="008A52C8" w:rsidRPr="008C4425" w14:paraId="06CF7561" w14:textId="77777777" w:rsidTr="00172EEA">
        <w:trPr>
          <w:trHeight w:val="342"/>
        </w:trPr>
        <w:tc>
          <w:tcPr>
            <w:tcW w:w="2230" w:type="dxa"/>
          </w:tcPr>
          <w:p w14:paraId="1826BBE4" w14:textId="27BD0ECA" w:rsidR="008A52C8" w:rsidRPr="008C4425" w:rsidRDefault="008A52C8"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Coefficient of performance (COP)</w:t>
            </w:r>
          </w:p>
        </w:tc>
        <w:tc>
          <w:tcPr>
            <w:tcW w:w="7483" w:type="dxa"/>
          </w:tcPr>
          <w:p w14:paraId="2102E31C" w14:textId="1AED1D53" w:rsidR="008A52C8" w:rsidRPr="008C4425" w:rsidRDefault="008A52C8" w:rsidP="008C4425">
            <w:pPr>
              <w:pStyle w:val="BodyText"/>
              <w:spacing w:before="60" w:after="60"/>
              <w:rPr>
                <w:rFonts w:asciiTheme="majorHAnsi" w:hAnsiTheme="majorHAnsi"/>
                <w:sz w:val="18"/>
                <w:szCs w:val="22"/>
              </w:rPr>
            </w:pPr>
            <w:r w:rsidRPr="008C4425">
              <w:rPr>
                <w:rFonts w:asciiTheme="majorHAnsi" w:hAnsiTheme="majorHAnsi"/>
                <w:sz w:val="18"/>
                <w:szCs w:val="22"/>
              </w:rPr>
              <w:t xml:space="preserve">The ratio of the heat </w:t>
            </w:r>
            <w:r w:rsidRPr="00870F76">
              <w:rPr>
                <w:rFonts w:asciiTheme="majorHAnsi" w:hAnsiTheme="majorHAnsi"/>
                <w:sz w:val="18"/>
                <w:szCs w:val="22"/>
                <w:lang w:val="en-GB"/>
              </w:rPr>
              <w:t>extraction</w:t>
            </w:r>
            <w:r w:rsidRPr="008C4425">
              <w:rPr>
                <w:rFonts w:asciiTheme="majorHAnsi" w:hAnsiTheme="majorHAnsi"/>
                <w:sz w:val="18"/>
                <w:szCs w:val="22"/>
              </w:rPr>
              <w:t xml:space="preserve"> rate divided by the power consumed by the refrigeration compressor(s) and necessary ancillaries. The COP is dimensionless and is used to express the system efficiency.</w:t>
            </w:r>
          </w:p>
        </w:tc>
      </w:tr>
      <w:tr w:rsidR="008A52C8" w:rsidRPr="008C4425" w14:paraId="4A1C2613" w14:textId="77777777" w:rsidTr="00172EEA">
        <w:trPr>
          <w:trHeight w:val="342"/>
        </w:trPr>
        <w:tc>
          <w:tcPr>
            <w:tcW w:w="2230" w:type="dxa"/>
          </w:tcPr>
          <w:p w14:paraId="2AC09D02" w14:textId="158AA6A3" w:rsidR="008A52C8" w:rsidRPr="008C4425" w:rsidRDefault="008A52C8"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Compressor</w:t>
            </w:r>
          </w:p>
        </w:tc>
        <w:tc>
          <w:tcPr>
            <w:tcW w:w="7483" w:type="dxa"/>
          </w:tcPr>
          <w:p w14:paraId="3A542BAC" w14:textId="03277883" w:rsidR="008A52C8" w:rsidRPr="008C4425" w:rsidRDefault="008A52C8" w:rsidP="008C4425">
            <w:pPr>
              <w:pStyle w:val="BodyText"/>
              <w:spacing w:before="60" w:after="60"/>
              <w:rPr>
                <w:rFonts w:asciiTheme="majorHAnsi" w:hAnsiTheme="majorHAnsi"/>
                <w:sz w:val="18"/>
                <w:szCs w:val="22"/>
              </w:rPr>
            </w:pPr>
            <w:r w:rsidRPr="008C4425">
              <w:rPr>
                <w:rFonts w:asciiTheme="majorHAnsi" w:hAnsiTheme="majorHAnsi"/>
                <w:sz w:val="18"/>
                <w:szCs w:val="22"/>
              </w:rPr>
              <w:t>A device in the air conditioning or refrigeration circuit which compresses refrigerant vapour, and circulates that refrigerant through to its phases of condensation and evaporation, in order to produce the refrigeration effect. The compressor is available in many forms such as piston, scroll, or screw.</w:t>
            </w:r>
          </w:p>
        </w:tc>
      </w:tr>
      <w:tr w:rsidR="008A52C8" w:rsidRPr="008C4425" w14:paraId="1282188F" w14:textId="77777777" w:rsidTr="00172EEA">
        <w:trPr>
          <w:trHeight w:val="342"/>
        </w:trPr>
        <w:tc>
          <w:tcPr>
            <w:tcW w:w="2230" w:type="dxa"/>
          </w:tcPr>
          <w:p w14:paraId="75691AB4" w14:textId="1C46DD09" w:rsidR="008A52C8" w:rsidRPr="008C4425" w:rsidRDefault="008A52C8"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Compressor rack</w:t>
            </w:r>
          </w:p>
        </w:tc>
        <w:tc>
          <w:tcPr>
            <w:tcW w:w="7483" w:type="dxa"/>
          </w:tcPr>
          <w:p w14:paraId="5C3258B6" w14:textId="659A5286" w:rsidR="008A52C8" w:rsidRPr="008C4425" w:rsidRDefault="008A52C8" w:rsidP="008C4425">
            <w:pPr>
              <w:pStyle w:val="BodyText"/>
              <w:spacing w:before="60" w:after="60"/>
              <w:rPr>
                <w:rFonts w:asciiTheme="majorHAnsi" w:hAnsiTheme="majorHAnsi"/>
                <w:sz w:val="18"/>
                <w:szCs w:val="22"/>
              </w:rPr>
            </w:pPr>
            <w:r w:rsidRPr="008C4425">
              <w:rPr>
                <w:rFonts w:asciiTheme="majorHAnsi" w:hAnsiTheme="majorHAnsi"/>
                <w:sz w:val="18"/>
                <w:szCs w:val="22"/>
              </w:rPr>
              <w:t>The machine assembly which accommodates the main high pressure components of a refrigeration circuit in a single structure, allowing off site connection to associated pipe work and vessels.</w:t>
            </w:r>
          </w:p>
        </w:tc>
      </w:tr>
      <w:tr w:rsidR="008A52C8" w:rsidRPr="008C4425" w14:paraId="38151C05" w14:textId="77777777" w:rsidTr="00172EEA">
        <w:trPr>
          <w:trHeight w:val="342"/>
        </w:trPr>
        <w:tc>
          <w:tcPr>
            <w:tcW w:w="2230" w:type="dxa"/>
          </w:tcPr>
          <w:p w14:paraId="6DC94868" w14:textId="6C5CCE9F" w:rsidR="008A52C8" w:rsidRPr="008C4425" w:rsidRDefault="008A52C8"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Condensing unit</w:t>
            </w:r>
          </w:p>
        </w:tc>
        <w:tc>
          <w:tcPr>
            <w:tcW w:w="7483" w:type="dxa"/>
          </w:tcPr>
          <w:p w14:paraId="5DEBBF41" w14:textId="3F6F91D6" w:rsidR="008A52C8" w:rsidRPr="008C4425" w:rsidRDefault="008A52C8" w:rsidP="008C4425">
            <w:pPr>
              <w:pStyle w:val="BodyText"/>
              <w:spacing w:before="60" w:after="60"/>
              <w:rPr>
                <w:rFonts w:asciiTheme="majorHAnsi" w:hAnsiTheme="majorHAnsi"/>
                <w:sz w:val="18"/>
                <w:szCs w:val="22"/>
              </w:rPr>
            </w:pPr>
            <w:r w:rsidRPr="008C4425">
              <w:rPr>
                <w:rFonts w:asciiTheme="majorHAnsi" w:hAnsiTheme="majorHAnsi"/>
                <w:sz w:val="18"/>
                <w:szCs w:val="22"/>
              </w:rPr>
              <w:t>Condensing units exhibit refrigerating capacities ranging typically from 1 kWr to 20 kWr, they are composed of one (or two) compressor(s), one condenser, and one receiver assembled into a ‘condensing unit’.</w:t>
            </w:r>
          </w:p>
        </w:tc>
      </w:tr>
      <w:tr w:rsidR="008A52C8" w:rsidRPr="008C4425" w14:paraId="5E04130E" w14:textId="77777777" w:rsidTr="00172EEA">
        <w:trPr>
          <w:trHeight w:val="342"/>
        </w:trPr>
        <w:tc>
          <w:tcPr>
            <w:tcW w:w="2230" w:type="dxa"/>
          </w:tcPr>
          <w:p w14:paraId="21C4D366" w14:textId="363AA41F" w:rsidR="008A52C8" w:rsidRPr="008C4425" w:rsidRDefault="008A52C8" w:rsidP="008C4425">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CO</w:t>
            </w:r>
            <w:r w:rsidRPr="008C4425">
              <w:rPr>
                <w:rFonts w:asciiTheme="majorHAnsi" w:hAnsiTheme="majorHAnsi"/>
                <w:sz w:val="18"/>
                <w:szCs w:val="22"/>
                <w:vertAlign w:val="subscript"/>
                <w:lang w:val="en-AU"/>
              </w:rPr>
              <w:t>2</w:t>
            </w:r>
            <w:r w:rsidRPr="008C4425">
              <w:rPr>
                <w:rFonts w:asciiTheme="majorHAnsi" w:hAnsiTheme="majorHAnsi"/>
                <w:sz w:val="18"/>
                <w:szCs w:val="22"/>
                <w:lang w:val="en-AU"/>
              </w:rPr>
              <w:t xml:space="preserve"> refrigerant</w:t>
            </w:r>
          </w:p>
        </w:tc>
        <w:tc>
          <w:tcPr>
            <w:tcW w:w="7483" w:type="dxa"/>
          </w:tcPr>
          <w:p w14:paraId="16EEB0DF" w14:textId="02B709E3" w:rsidR="008A52C8" w:rsidRPr="008C4425" w:rsidRDefault="008A52C8"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A widely used industrial refrigerant with high thermodynamic properties is suitable for process refrigeration applications, and automotive air conditioning use. In the past its high operating pressures have limited its use in small to medium commercial refrigeration applications. Technical innovation such as micro cascade systems and commercial availability of components such as compressors and other in line accessories is assisting its transition into smaller scale applications.</w:t>
            </w:r>
          </w:p>
        </w:tc>
      </w:tr>
      <w:tr w:rsidR="008A52C8" w:rsidRPr="008C4425" w14:paraId="7E700C4D" w14:textId="77777777" w:rsidTr="00172EEA">
        <w:trPr>
          <w:trHeight w:val="342"/>
        </w:trPr>
        <w:tc>
          <w:tcPr>
            <w:tcW w:w="2230" w:type="dxa"/>
          </w:tcPr>
          <w:p w14:paraId="686AC0B6" w14:textId="43030E06" w:rsidR="008A52C8" w:rsidRPr="008C4425" w:rsidRDefault="008A52C8" w:rsidP="008C4425">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CO</w:t>
            </w:r>
            <w:r w:rsidRPr="008C4425">
              <w:rPr>
                <w:rFonts w:asciiTheme="majorHAnsi" w:hAnsiTheme="majorHAnsi"/>
                <w:sz w:val="18"/>
                <w:szCs w:val="22"/>
                <w:vertAlign w:val="subscript"/>
                <w:lang w:val="en-AU"/>
              </w:rPr>
              <w:t>2</w:t>
            </w:r>
            <w:r w:rsidRPr="008C4425">
              <w:rPr>
                <w:rFonts w:asciiTheme="majorHAnsi" w:hAnsiTheme="majorHAnsi"/>
                <w:sz w:val="18"/>
                <w:szCs w:val="22"/>
                <w:lang w:val="en-AU"/>
              </w:rPr>
              <w:t>-e</w:t>
            </w:r>
          </w:p>
        </w:tc>
        <w:tc>
          <w:tcPr>
            <w:tcW w:w="7483" w:type="dxa"/>
          </w:tcPr>
          <w:p w14:paraId="627004AB" w14:textId="673DDDBD" w:rsidR="008A52C8" w:rsidRPr="008C4425" w:rsidRDefault="008A52C8"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Carbon dioxide equivalent to the number of tonnes of CO</w:t>
            </w:r>
            <w:r w:rsidRPr="008C4425">
              <w:rPr>
                <w:rFonts w:asciiTheme="majorHAnsi" w:hAnsiTheme="majorHAnsi"/>
                <w:sz w:val="18"/>
                <w:szCs w:val="22"/>
                <w:vertAlign w:val="subscript"/>
                <w:lang w:val="en-AU"/>
              </w:rPr>
              <w:t>2</w:t>
            </w:r>
            <w:r w:rsidRPr="008C4425">
              <w:rPr>
                <w:rFonts w:asciiTheme="majorHAnsi" w:hAnsiTheme="majorHAnsi"/>
                <w:sz w:val="18"/>
                <w:szCs w:val="22"/>
                <w:lang w:val="en-AU"/>
              </w:rPr>
              <w:t xml:space="preserve"> emitted.</w:t>
            </w:r>
          </w:p>
        </w:tc>
      </w:tr>
      <w:tr w:rsidR="00C52907" w:rsidRPr="008C4425" w14:paraId="39E6CA1E" w14:textId="77777777" w:rsidTr="00172EEA">
        <w:trPr>
          <w:trHeight w:val="342"/>
        </w:trPr>
        <w:tc>
          <w:tcPr>
            <w:tcW w:w="2230" w:type="dxa"/>
          </w:tcPr>
          <w:p w14:paraId="70FD0D8C" w14:textId="2B090CF8" w:rsidR="00C52907" w:rsidRPr="008C4425" w:rsidRDefault="00C52907" w:rsidP="008C4425">
            <w:pPr>
              <w:pStyle w:val="BodyText"/>
              <w:spacing w:before="60" w:after="60"/>
              <w:jc w:val="left"/>
              <w:rPr>
                <w:rFonts w:asciiTheme="majorHAnsi" w:hAnsiTheme="majorHAnsi"/>
                <w:sz w:val="18"/>
                <w:szCs w:val="22"/>
                <w:lang w:val="en-AU"/>
              </w:rPr>
            </w:pPr>
            <w:r w:rsidRPr="00C52907">
              <w:rPr>
                <w:rFonts w:asciiTheme="majorHAnsi" w:hAnsiTheme="majorHAnsi"/>
                <w:sz w:val="18"/>
                <w:szCs w:val="22"/>
                <w:lang w:val="en-AU"/>
              </w:rPr>
              <w:t>Cumulative distribution function</w:t>
            </w:r>
          </w:p>
        </w:tc>
        <w:tc>
          <w:tcPr>
            <w:tcW w:w="7483" w:type="dxa"/>
          </w:tcPr>
          <w:p w14:paraId="36FD9917" w14:textId="2EDE1B24" w:rsidR="00C52907" w:rsidRPr="008C4425" w:rsidRDefault="00C52907" w:rsidP="008C4425">
            <w:pPr>
              <w:pStyle w:val="BodyText"/>
              <w:spacing w:before="60" w:after="60"/>
              <w:rPr>
                <w:rFonts w:asciiTheme="majorHAnsi" w:hAnsiTheme="majorHAnsi"/>
                <w:sz w:val="18"/>
                <w:szCs w:val="22"/>
                <w:lang w:val="en-AU"/>
              </w:rPr>
            </w:pPr>
            <w:r w:rsidRPr="00C52907">
              <w:rPr>
                <w:rFonts w:asciiTheme="majorHAnsi" w:hAnsiTheme="majorHAnsi"/>
                <w:sz w:val="18"/>
                <w:szCs w:val="22"/>
                <w:lang w:val="en-AU"/>
              </w:rPr>
              <w:t>Cumulative distribution function of the normal distribution with mean (μ) and standard deviation (σ) evaluated at a point in time (year x)</w:t>
            </w:r>
          </w:p>
        </w:tc>
      </w:tr>
      <w:tr w:rsidR="008A52C8" w:rsidRPr="008C4425" w14:paraId="72CA2E18" w14:textId="77777777" w:rsidTr="00172EEA">
        <w:trPr>
          <w:trHeight w:val="342"/>
        </w:trPr>
        <w:tc>
          <w:tcPr>
            <w:tcW w:w="2230" w:type="dxa"/>
          </w:tcPr>
          <w:p w14:paraId="2320D6B8" w14:textId="4B70792C" w:rsidR="008A52C8" w:rsidRPr="008C4425" w:rsidRDefault="008A52C8" w:rsidP="008C4425">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Direct emissions</w:t>
            </w:r>
          </w:p>
        </w:tc>
        <w:tc>
          <w:tcPr>
            <w:tcW w:w="7483" w:type="dxa"/>
          </w:tcPr>
          <w:p w14:paraId="3DDA17A7" w14:textId="34E55AD6" w:rsidR="008A52C8" w:rsidRPr="008C4425" w:rsidRDefault="008A52C8"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Global warming effect arising from emissions of refrigerant, or any other ‘greenhouse gas’, from the equipment over its lifetime.</w:t>
            </w:r>
          </w:p>
        </w:tc>
      </w:tr>
      <w:tr w:rsidR="008A52C8" w:rsidRPr="008C4425" w14:paraId="550FB4A7" w14:textId="77777777" w:rsidTr="00172EEA">
        <w:trPr>
          <w:trHeight w:val="342"/>
        </w:trPr>
        <w:tc>
          <w:tcPr>
            <w:tcW w:w="2230" w:type="dxa"/>
          </w:tcPr>
          <w:p w14:paraId="4B0F2217" w14:textId="5DDA9304" w:rsidR="008A52C8" w:rsidRPr="008C4425" w:rsidRDefault="008A52C8" w:rsidP="008C4425">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Energy Efficiency Ratio (EER)</w:t>
            </w:r>
          </w:p>
        </w:tc>
        <w:tc>
          <w:tcPr>
            <w:tcW w:w="7483" w:type="dxa"/>
          </w:tcPr>
          <w:p w14:paraId="1E9BAB84" w14:textId="2546E10A" w:rsidR="008A52C8" w:rsidRPr="008C4425" w:rsidRDefault="008A52C8" w:rsidP="008C4425">
            <w:pPr>
              <w:pStyle w:val="BodyText"/>
              <w:spacing w:before="60" w:after="60"/>
              <w:rPr>
                <w:rFonts w:asciiTheme="majorHAnsi" w:hAnsiTheme="majorHAnsi"/>
                <w:sz w:val="18"/>
                <w:szCs w:val="22"/>
              </w:rPr>
            </w:pPr>
            <w:r w:rsidRPr="008C4425">
              <w:rPr>
                <w:rFonts w:asciiTheme="majorHAnsi" w:hAnsiTheme="majorHAnsi"/>
                <w:sz w:val="18"/>
              </w:rPr>
              <w:t>The ratio of the cooling output (kWr) divided by the total electric energy input. The EER is dimensionless and is used to express the air conditioning system cooling efficiency.</w:t>
            </w:r>
          </w:p>
        </w:tc>
      </w:tr>
      <w:tr w:rsidR="008154E0" w:rsidRPr="008C4425" w14:paraId="67058B26" w14:textId="77777777" w:rsidTr="00172EEA">
        <w:trPr>
          <w:trHeight w:val="342"/>
        </w:trPr>
        <w:tc>
          <w:tcPr>
            <w:tcW w:w="2230" w:type="dxa"/>
          </w:tcPr>
          <w:p w14:paraId="1D2B8324" w14:textId="1A5DE602"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Energy consumption per year</w:t>
            </w:r>
          </w:p>
        </w:tc>
        <w:tc>
          <w:tcPr>
            <w:tcW w:w="7483" w:type="dxa"/>
          </w:tcPr>
          <w:p w14:paraId="2952C2BD" w14:textId="1F4DA7D5"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Energy consumption of the appliance, equipment or system per annum in kWh per year, or GWh per year for an application or equipment sector.</w:t>
            </w:r>
          </w:p>
        </w:tc>
      </w:tr>
      <w:tr w:rsidR="008154E0" w:rsidRPr="008C4425" w14:paraId="5940147C" w14:textId="77777777" w:rsidTr="00172EEA">
        <w:trPr>
          <w:trHeight w:val="342"/>
        </w:trPr>
        <w:tc>
          <w:tcPr>
            <w:tcW w:w="2230" w:type="dxa"/>
          </w:tcPr>
          <w:p w14:paraId="5CD8DF31" w14:textId="012C4656"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End-of-Life (EOL)</w:t>
            </w:r>
          </w:p>
        </w:tc>
        <w:tc>
          <w:tcPr>
            <w:tcW w:w="7483" w:type="dxa"/>
          </w:tcPr>
          <w:p w14:paraId="06F75337" w14:textId="1A930E50"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 xml:space="preserve">Domestic, commercial or industrial device reaching the end of its useful lifespan.  End- of-life (EOL) emissions are direct emissions from ozone depleting substance (ODS) and synthetic greenhouse </w:t>
            </w:r>
            <w:r w:rsidRPr="008C4425">
              <w:rPr>
                <w:rFonts w:asciiTheme="majorHAnsi" w:hAnsiTheme="majorHAnsi"/>
                <w:sz w:val="18"/>
                <w:szCs w:val="22"/>
                <w:lang w:val="en-AU"/>
              </w:rPr>
              <w:lastRenderedPageBreak/>
              <w:t>gases (SGG) refrigerants not recovered for destruction or reclamation.</w:t>
            </w:r>
          </w:p>
        </w:tc>
      </w:tr>
      <w:tr w:rsidR="008154E0" w:rsidRPr="008C4425" w14:paraId="3C6D2B02" w14:textId="77777777" w:rsidTr="00172EEA">
        <w:trPr>
          <w:trHeight w:val="342"/>
        </w:trPr>
        <w:tc>
          <w:tcPr>
            <w:tcW w:w="2230" w:type="dxa"/>
          </w:tcPr>
          <w:p w14:paraId="26259E7D" w14:textId="1698C7F7"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lastRenderedPageBreak/>
              <w:t>Equivalent Carbon Price (ECP)</w:t>
            </w:r>
          </w:p>
        </w:tc>
        <w:tc>
          <w:tcPr>
            <w:tcW w:w="7483" w:type="dxa"/>
          </w:tcPr>
          <w:p w14:paraId="0C3DDDA8" w14:textId="7E3C16D8"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Under the Australian Government's Clean Energy Future Plan, synthetic greenhouse gases listed under the Kyoto Protocol have an equivalent carbon price applied through the Ozone Protection and Synthetic Greenhouse Gas Management legislation. Gases covered will include hydrofluorocarbons, perfluorocarbons (excluding gases produced from aluminium smelting) and sulfur hexafluoride, and any equipment or products which contain these gases.</w:t>
            </w:r>
          </w:p>
        </w:tc>
      </w:tr>
      <w:tr w:rsidR="008154E0" w:rsidRPr="008C4425" w14:paraId="11B364B7" w14:textId="77777777" w:rsidTr="00172EEA">
        <w:trPr>
          <w:trHeight w:val="342"/>
        </w:trPr>
        <w:tc>
          <w:tcPr>
            <w:tcW w:w="2230" w:type="dxa"/>
          </w:tcPr>
          <w:p w14:paraId="6EF5F084" w14:textId="6245694B"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E3</w:t>
            </w:r>
          </w:p>
        </w:tc>
        <w:tc>
          <w:tcPr>
            <w:tcW w:w="7483" w:type="dxa"/>
          </w:tcPr>
          <w:p w14:paraId="6C18E26D" w14:textId="1BE55E68"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 xml:space="preserve">Equipment Energy Efficiency Committee of the Council of Australian Governments (COAG) operating under the Ministerial Committee on Energy and administered by the Equipment and Appliance Energy Efficiency Team in the Department of Industry, Innovation, Climate Change, Science, Research and Tertiary Education. </w:t>
            </w:r>
          </w:p>
        </w:tc>
      </w:tr>
      <w:tr w:rsidR="008154E0" w:rsidRPr="008C4425" w14:paraId="73B2D01B" w14:textId="77777777" w:rsidTr="00172EEA">
        <w:trPr>
          <w:trHeight w:val="342"/>
        </w:trPr>
        <w:tc>
          <w:tcPr>
            <w:tcW w:w="2230" w:type="dxa"/>
          </w:tcPr>
          <w:p w14:paraId="4675FAA3" w14:textId="49636E6F"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Gas</w:t>
            </w:r>
          </w:p>
        </w:tc>
        <w:tc>
          <w:tcPr>
            <w:tcW w:w="7483" w:type="dxa"/>
          </w:tcPr>
          <w:p w14:paraId="371D221F" w14:textId="06906A13"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rPr>
              <w:t>A general term used throughout this report, referring to ozone depleting substances, synthetic greenhouse gases and natural refrigerants. The term can refer to refrigerants when the substance is used as a working fluid in equipment or used in other applications.</w:t>
            </w:r>
          </w:p>
        </w:tc>
      </w:tr>
      <w:tr w:rsidR="008154E0" w:rsidRPr="008C4425" w14:paraId="5A3A8F7A" w14:textId="77777777" w:rsidTr="00172EEA">
        <w:trPr>
          <w:trHeight w:val="342"/>
        </w:trPr>
        <w:tc>
          <w:tcPr>
            <w:tcW w:w="2230" w:type="dxa"/>
          </w:tcPr>
          <w:p w14:paraId="093FF801" w14:textId="6D4214E5"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Gas Species</w:t>
            </w:r>
          </w:p>
        </w:tc>
        <w:tc>
          <w:tcPr>
            <w:tcW w:w="7483" w:type="dxa"/>
          </w:tcPr>
          <w:p w14:paraId="7619E386" w14:textId="1B2885A9"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rPr>
              <w:t>A gas species is defined as a refrigerant category based on its chemical family. For example CFCs, HCFCs and HFCs are all synthetic gases and are defined as different gas species. Similarly Hydrocarbon refrigerant is another gas species, and HC-600a, HC-290 and HC-436 (a blend of HC-600a and HC-290) refrigerants are all part of this family. Other gas species include anhydrous ammonia and Carbon Dioxide.</w:t>
            </w:r>
          </w:p>
        </w:tc>
      </w:tr>
      <w:tr w:rsidR="008154E0" w:rsidRPr="008C4425" w14:paraId="425A9307" w14:textId="77777777" w:rsidTr="00172EEA">
        <w:trPr>
          <w:trHeight w:val="342"/>
        </w:trPr>
        <w:tc>
          <w:tcPr>
            <w:tcW w:w="2230" w:type="dxa"/>
          </w:tcPr>
          <w:p w14:paraId="7C9C7098" w14:textId="77777777"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Global Warming Potential (GWP)</w:t>
            </w:r>
          </w:p>
          <w:p w14:paraId="5BD05D1B" w14:textId="77777777" w:rsidR="008154E0" w:rsidRPr="008C4425" w:rsidRDefault="008154E0" w:rsidP="008C4425">
            <w:pPr>
              <w:pStyle w:val="BodyText"/>
              <w:spacing w:before="60" w:after="60"/>
              <w:jc w:val="left"/>
              <w:rPr>
                <w:rFonts w:asciiTheme="majorHAnsi" w:hAnsiTheme="majorHAnsi"/>
                <w:sz w:val="18"/>
                <w:szCs w:val="22"/>
              </w:rPr>
            </w:pPr>
          </w:p>
        </w:tc>
        <w:tc>
          <w:tcPr>
            <w:tcW w:w="7483" w:type="dxa"/>
          </w:tcPr>
          <w:p w14:paraId="6390BAC9" w14:textId="18986D02"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rPr>
              <w:t>A relative index that enables comparison of the climate effect of various greenhouse gases (and other climate changing agents). Carbon dioxide, the greenhouse gas that causes the greatest radiative forcing because of its abundance is used as the reference gas. GWP is also defined as an index based on the radiative forcing of a pulsed injection of a unit mass of a given well mixed greenhouse gas in the present-day atmosphere, integrated over a chosen time horizon, relative to the radiative forcing of carbon dioxide over the same time horizon. The GWPs represent the combined effect of the differing atmospheric lifetimes (i.e. how long these gases remain in the atmosphere) and their relative effectiveness in absorbing outgoing thermal infrared radiation. The Kyoto Protocol is based on GWPs from pulse emissions over a 100-year time frame.</w:t>
            </w:r>
          </w:p>
        </w:tc>
      </w:tr>
      <w:tr w:rsidR="008154E0" w:rsidRPr="008C4425" w14:paraId="729A8DD4" w14:textId="77777777" w:rsidTr="00172EEA">
        <w:trPr>
          <w:trHeight w:val="342"/>
        </w:trPr>
        <w:tc>
          <w:tcPr>
            <w:tcW w:w="2230" w:type="dxa"/>
          </w:tcPr>
          <w:p w14:paraId="3B766960" w14:textId="2A9AADE2"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Greenhouse Gases (GHG)</w:t>
            </w:r>
          </w:p>
        </w:tc>
        <w:tc>
          <w:tcPr>
            <w:tcW w:w="7483" w:type="dxa"/>
          </w:tcPr>
          <w:p w14:paraId="48B5696E" w14:textId="355F1963" w:rsidR="008154E0" w:rsidRPr="008C4425" w:rsidRDefault="008154E0" w:rsidP="00172EEA">
            <w:pPr>
              <w:pStyle w:val="BodyText"/>
              <w:spacing w:before="60" w:after="60"/>
              <w:rPr>
                <w:rFonts w:asciiTheme="majorHAnsi" w:hAnsiTheme="majorHAnsi"/>
                <w:sz w:val="18"/>
                <w:szCs w:val="22"/>
              </w:rPr>
            </w:pPr>
            <w:r w:rsidRPr="008C4425">
              <w:rPr>
                <w:rFonts w:asciiTheme="majorHAnsi" w:hAnsiTheme="majorHAnsi"/>
                <w:sz w:val="18"/>
              </w:rPr>
              <w:t>The Kyoto Protocol covers emissions of the six main greenhouse gases, namely Carbon dioxide (CO</w:t>
            </w:r>
            <w:r w:rsidRPr="008C4425">
              <w:rPr>
                <w:rFonts w:asciiTheme="majorHAnsi" w:hAnsiTheme="majorHAnsi"/>
                <w:sz w:val="18"/>
                <w:vertAlign w:val="subscript"/>
              </w:rPr>
              <w:t>2</w:t>
            </w:r>
            <w:r w:rsidRPr="008C4425">
              <w:rPr>
                <w:rFonts w:asciiTheme="majorHAnsi" w:hAnsiTheme="majorHAnsi"/>
                <w:sz w:val="18"/>
              </w:rPr>
              <w:t>); Methane (CH</w:t>
            </w:r>
            <w:r w:rsidRPr="008C4425">
              <w:rPr>
                <w:rFonts w:asciiTheme="majorHAnsi" w:hAnsiTheme="majorHAnsi"/>
                <w:sz w:val="18"/>
                <w:vertAlign w:val="subscript"/>
              </w:rPr>
              <w:t>4</w:t>
            </w:r>
            <w:r w:rsidRPr="008C4425">
              <w:rPr>
                <w:rFonts w:asciiTheme="majorHAnsi" w:hAnsiTheme="majorHAnsi"/>
                <w:sz w:val="18"/>
              </w:rPr>
              <w:t>); Nitrous oxide (N</w:t>
            </w:r>
            <w:r w:rsidRPr="008C4425">
              <w:rPr>
                <w:rFonts w:asciiTheme="majorHAnsi" w:hAnsiTheme="majorHAnsi"/>
                <w:sz w:val="18"/>
                <w:vertAlign w:val="subscript"/>
              </w:rPr>
              <w:t>2</w:t>
            </w:r>
            <w:r w:rsidRPr="008C4425">
              <w:rPr>
                <w:rFonts w:asciiTheme="majorHAnsi" w:hAnsiTheme="majorHAnsi"/>
                <w:sz w:val="18"/>
              </w:rPr>
              <w:t>O); Hydrofluorocarbons (HFCs); Perfluorocarbons (PFCs); and Sul</w:t>
            </w:r>
            <w:r w:rsidR="00172EEA">
              <w:rPr>
                <w:rFonts w:asciiTheme="majorHAnsi" w:hAnsiTheme="majorHAnsi"/>
                <w:sz w:val="18"/>
              </w:rPr>
              <w:t>f</w:t>
            </w:r>
            <w:r w:rsidRPr="008C4425">
              <w:rPr>
                <w:rFonts w:asciiTheme="majorHAnsi" w:hAnsiTheme="majorHAnsi"/>
                <w:sz w:val="18"/>
              </w:rPr>
              <w:t>ur hexafluoride (SF</w:t>
            </w:r>
            <w:r w:rsidRPr="008C4425">
              <w:rPr>
                <w:rFonts w:asciiTheme="majorHAnsi" w:hAnsiTheme="majorHAnsi"/>
                <w:sz w:val="18"/>
                <w:vertAlign w:val="subscript"/>
              </w:rPr>
              <w:t>6</w:t>
            </w:r>
            <w:r w:rsidRPr="008C4425">
              <w:rPr>
                <w:rFonts w:asciiTheme="majorHAnsi" w:hAnsiTheme="majorHAnsi"/>
                <w:sz w:val="18"/>
              </w:rPr>
              <w:t>). The scope of this study covers the equivalent in carbon dioxide due to indirect emissions from electricity generation, and direct emissions from HFCs.</w:t>
            </w:r>
          </w:p>
        </w:tc>
      </w:tr>
      <w:tr w:rsidR="008154E0" w:rsidRPr="008C4425" w14:paraId="5ED385FB" w14:textId="77777777" w:rsidTr="00172EEA">
        <w:trPr>
          <w:trHeight w:val="342"/>
        </w:trPr>
        <w:tc>
          <w:tcPr>
            <w:tcW w:w="2230" w:type="dxa"/>
          </w:tcPr>
          <w:p w14:paraId="410F942E" w14:textId="22086487"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GWh</w:t>
            </w:r>
          </w:p>
        </w:tc>
        <w:tc>
          <w:tcPr>
            <w:tcW w:w="7483" w:type="dxa"/>
          </w:tcPr>
          <w:p w14:paraId="0DB47404" w14:textId="37055195"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rPr>
              <w:t>Gigawatt hours is a unit of measurement for electricity use (1 watt hour x 10</w:t>
            </w:r>
            <w:r w:rsidRPr="008C4425">
              <w:rPr>
                <w:rFonts w:asciiTheme="majorHAnsi" w:hAnsiTheme="majorHAnsi"/>
                <w:sz w:val="18"/>
                <w:vertAlign w:val="superscript"/>
              </w:rPr>
              <w:t>9</w:t>
            </w:r>
            <w:r w:rsidRPr="008C4425">
              <w:rPr>
                <w:rFonts w:asciiTheme="majorHAnsi" w:hAnsiTheme="majorHAnsi"/>
                <w:sz w:val="18"/>
              </w:rPr>
              <w:t>).</w:t>
            </w:r>
          </w:p>
        </w:tc>
      </w:tr>
      <w:tr w:rsidR="008154E0" w:rsidRPr="008C4425" w14:paraId="188009B5" w14:textId="77777777" w:rsidTr="00172EEA">
        <w:trPr>
          <w:trHeight w:val="342"/>
        </w:trPr>
        <w:tc>
          <w:tcPr>
            <w:tcW w:w="2230" w:type="dxa"/>
          </w:tcPr>
          <w:p w14:paraId="047D9AB8" w14:textId="62177FFE"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Hydrocarbons (HCs)</w:t>
            </w:r>
          </w:p>
        </w:tc>
        <w:tc>
          <w:tcPr>
            <w:tcW w:w="7483" w:type="dxa"/>
          </w:tcPr>
          <w:p w14:paraId="61A52B6E" w14:textId="3A961C53"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rPr>
              <w:t>The term hydrocarbon refers to the main types and blends in use in Australia including HC-600a, HC-290 and HC-436 (a blend of HC-600a and HC-290). HC-600a is the preferred hydrocarbon refrigerant in domestic refrigeration applications as it is suited to both refrigerator and freezer applications. HC-290 is the preferred hydrocarbon option for non-domestic stationary applications as its performance characteristics are more suited to medium temperature applications (i.e. greater than zero degrees Celsius). HC-436 is a hydrocarbon blend that is commonly used in mobile air conditioning retrofit applications.</w:t>
            </w:r>
          </w:p>
        </w:tc>
      </w:tr>
      <w:tr w:rsidR="008154E0" w:rsidRPr="008C4425" w14:paraId="7E6888F1" w14:textId="77777777" w:rsidTr="00172EEA">
        <w:trPr>
          <w:trHeight w:val="342"/>
        </w:trPr>
        <w:tc>
          <w:tcPr>
            <w:tcW w:w="2230" w:type="dxa"/>
          </w:tcPr>
          <w:p w14:paraId="1489F7DA" w14:textId="2BC968F5"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Hydrochlorofluorocarbons (HCFCs)</w:t>
            </w:r>
          </w:p>
        </w:tc>
        <w:tc>
          <w:tcPr>
            <w:tcW w:w="7483" w:type="dxa"/>
          </w:tcPr>
          <w:p w14:paraId="0BF62EA8" w14:textId="68CC3972"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rPr>
              <w:t>Chemicals that contains hydrogen, fluorine, chlorine, and carbon. They do deplete the ozone layer, and have less potency compared to CFCs. Many HCFCs are potent greenhouse gases. HCFC-22 is the most common refrigerant in the Australian refrigerant bank.</w:t>
            </w:r>
          </w:p>
        </w:tc>
      </w:tr>
      <w:tr w:rsidR="008154E0" w:rsidRPr="008C4425" w14:paraId="78AFE5A2" w14:textId="77777777" w:rsidTr="00172EEA">
        <w:trPr>
          <w:trHeight w:val="342"/>
        </w:trPr>
        <w:tc>
          <w:tcPr>
            <w:tcW w:w="2230" w:type="dxa"/>
          </w:tcPr>
          <w:p w14:paraId="5340F6A7" w14:textId="417556B7"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Hydrofluorocarbons (HFCs)</w:t>
            </w:r>
          </w:p>
        </w:tc>
        <w:tc>
          <w:tcPr>
            <w:tcW w:w="7483" w:type="dxa"/>
          </w:tcPr>
          <w:p w14:paraId="7E4358BA" w14:textId="4D8C7D20"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rPr>
              <w:t>Chemicals that contain hydrogen, fluorine, and carbon. They do not deplete the ozone layer and have been used as substitutes for CFCs and HCFCs. Many HFCs are potent greenhouse gases.</w:t>
            </w:r>
          </w:p>
        </w:tc>
      </w:tr>
      <w:tr w:rsidR="008154E0" w:rsidRPr="008C4425" w14:paraId="7E2F3DB1" w14:textId="77777777" w:rsidTr="00172EEA">
        <w:trPr>
          <w:trHeight w:val="342"/>
        </w:trPr>
        <w:tc>
          <w:tcPr>
            <w:tcW w:w="2230" w:type="dxa"/>
          </w:tcPr>
          <w:p w14:paraId="1EEBC50F" w14:textId="21A91BE1"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Hydrofluoroolefins (HFOs), and HFO blends</w:t>
            </w:r>
          </w:p>
        </w:tc>
        <w:tc>
          <w:tcPr>
            <w:tcW w:w="7483" w:type="dxa"/>
          </w:tcPr>
          <w:p w14:paraId="55F39F33" w14:textId="1C5DBD9D"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rPr>
              <w:t xml:space="preserve">There are three classes of </w:t>
            </w:r>
            <w:r w:rsidR="00172EEA">
              <w:rPr>
                <w:rFonts w:asciiTheme="majorHAnsi" w:hAnsiTheme="majorHAnsi"/>
                <w:sz w:val="18"/>
                <w:szCs w:val="22"/>
              </w:rPr>
              <w:t xml:space="preserve">low GWP HFCs known as </w:t>
            </w:r>
            <w:r w:rsidRPr="008C4425">
              <w:rPr>
                <w:rFonts w:asciiTheme="majorHAnsi" w:hAnsiTheme="majorHAnsi"/>
                <w:sz w:val="18"/>
                <w:szCs w:val="22"/>
              </w:rPr>
              <w:t>hydrofluoroolefins with low or reduced GWP values, the first is HFO-1234yf, with a GWP of around 4 that has been proposed as a replacement for R134a in mobile air conditioners (e.g. car air conditioners) and potentially many other RAC applications. The second class of refrigerant comprises azeotropes, which are blends of refrigerant gases for which the composition of the liquid and the vapor phase are the same, such as Opteon XP10 with a GWP value of about 600 which has aroused great interest in the supermarket industry. The third class of reduced GWP refrigerants includes, among others, DR-4 and DR-5. These developmental refrigerants are made up of mixtures (blends) of HFO-1234yf and other stable refrigerants, including HFCs. These refrigerants are in the early stages of development and there is no certain timeline for their testing, approval and release to the market.</w:t>
            </w:r>
          </w:p>
        </w:tc>
      </w:tr>
      <w:tr w:rsidR="008154E0" w:rsidRPr="008C4425" w14:paraId="386B7D97" w14:textId="77777777" w:rsidTr="00172EEA">
        <w:trPr>
          <w:trHeight w:val="342"/>
        </w:trPr>
        <w:tc>
          <w:tcPr>
            <w:tcW w:w="2230" w:type="dxa"/>
          </w:tcPr>
          <w:p w14:paraId="750195E6" w14:textId="0EBDDF47"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HVAC&amp;R</w:t>
            </w:r>
          </w:p>
        </w:tc>
        <w:tc>
          <w:tcPr>
            <w:tcW w:w="7483" w:type="dxa"/>
          </w:tcPr>
          <w:p w14:paraId="58E0856D" w14:textId="252B5CF8"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rPr>
              <w:t>Heating, Ventilating, Air Conditioning and Refrigeration</w:t>
            </w:r>
          </w:p>
        </w:tc>
      </w:tr>
      <w:tr w:rsidR="008154E0" w:rsidRPr="008C4425" w14:paraId="2B109B84" w14:textId="77777777" w:rsidTr="00172EEA">
        <w:trPr>
          <w:trHeight w:val="342"/>
        </w:trPr>
        <w:tc>
          <w:tcPr>
            <w:tcW w:w="2230" w:type="dxa"/>
          </w:tcPr>
          <w:p w14:paraId="08262E40" w14:textId="372AEE8C"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lastRenderedPageBreak/>
              <w:t>Indirect emissions</w:t>
            </w:r>
          </w:p>
        </w:tc>
        <w:tc>
          <w:tcPr>
            <w:tcW w:w="7483" w:type="dxa"/>
          </w:tcPr>
          <w:p w14:paraId="3BC90D50" w14:textId="050E314D"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Global warming effect of the CO</w:t>
            </w:r>
            <w:r w:rsidRPr="008C4425">
              <w:rPr>
                <w:rFonts w:asciiTheme="majorHAnsi" w:hAnsiTheme="majorHAnsi"/>
                <w:sz w:val="18"/>
                <w:szCs w:val="22"/>
                <w:vertAlign w:val="subscript"/>
                <w:lang w:val="en-AU"/>
              </w:rPr>
              <w:t>2</w:t>
            </w:r>
            <w:r w:rsidRPr="008C4425">
              <w:rPr>
                <w:rFonts w:asciiTheme="majorHAnsi" w:hAnsiTheme="majorHAnsi"/>
                <w:sz w:val="18"/>
                <w:szCs w:val="22"/>
                <w:lang w:val="en-AU"/>
              </w:rPr>
              <w:t xml:space="preserve"> emitted as the result of the generation of the electrical energy required to operate electrical equipment, sometimes also referred to as ‘energy related emissions.’</w:t>
            </w:r>
          </w:p>
        </w:tc>
      </w:tr>
      <w:tr w:rsidR="008154E0" w:rsidRPr="008C4425" w14:paraId="63B1F76F" w14:textId="77777777" w:rsidTr="00172EEA">
        <w:trPr>
          <w:trHeight w:val="342"/>
        </w:trPr>
        <w:tc>
          <w:tcPr>
            <w:tcW w:w="2230" w:type="dxa"/>
          </w:tcPr>
          <w:p w14:paraId="314B545C" w14:textId="3D6E4F5E" w:rsidR="008154E0" w:rsidRPr="008C4425" w:rsidRDefault="008154E0" w:rsidP="008C4425">
            <w:pPr>
              <w:pStyle w:val="BodyText"/>
              <w:spacing w:before="60" w:after="60"/>
              <w:jc w:val="left"/>
              <w:rPr>
                <w:rFonts w:asciiTheme="majorHAnsi" w:hAnsiTheme="majorHAnsi"/>
                <w:sz w:val="18"/>
                <w:szCs w:val="22"/>
                <w:lang w:val="en-AU"/>
              </w:rPr>
            </w:pPr>
            <w:r w:rsidRPr="008C4425">
              <w:rPr>
                <w:rFonts w:asciiTheme="majorHAnsi" w:hAnsiTheme="majorHAnsi"/>
                <w:sz w:val="18"/>
                <w:szCs w:val="22"/>
              </w:rPr>
              <w:t>Indirect emission factor</w:t>
            </w:r>
          </w:p>
        </w:tc>
        <w:tc>
          <w:tcPr>
            <w:tcW w:w="7483" w:type="dxa"/>
          </w:tcPr>
          <w:p w14:paraId="31F01DBF" w14:textId="4BE78E28" w:rsidR="008154E0" w:rsidRPr="008C4425" w:rsidRDefault="008154E0" w:rsidP="008C4425">
            <w:pPr>
              <w:pStyle w:val="BodyText"/>
              <w:spacing w:before="60" w:after="60"/>
              <w:rPr>
                <w:rFonts w:asciiTheme="majorHAnsi" w:hAnsiTheme="majorHAnsi"/>
                <w:sz w:val="18"/>
                <w:szCs w:val="22"/>
                <w:lang w:val="en-AU"/>
              </w:rPr>
            </w:pPr>
            <w:r w:rsidRPr="008C4425">
              <w:rPr>
                <w:rFonts w:asciiTheme="majorHAnsi" w:hAnsiTheme="majorHAnsi"/>
                <w:sz w:val="18"/>
                <w:szCs w:val="22"/>
              </w:rPr>
              <w:t>The indirect or CO</w:t>
            </w:r>
            <w:r w:rsidRPr="008C4425">
              <w:rPr>
                <w:rFonts w:asciiTheme="majorHAnsi" w:hAnsiTheme="majorHAnsi"/>
                <w:sz w:val="18"/>
                <w:szCs w:val="22"/>
                <w:vertAlign w:val="subscript"/>
              </w:rPr>
              <w:t>2</w:t>
            </w:r>
            <w:r w:rsidRPr="008C4425">
              <w:rPr>
                <w:rFonts w:asciiTheme="majorHAnsi" w:hAnsiTheme="majorHAnsi"/>
                <w:sz w:val="18"/>
                <w:szCs w:val="22"/>
              </w:rPr>
              <w:t xml:space="preserve"> emission factor is the mass of CO</w:t>
            </w:r>
            <w:r w:rsidRPr="008C4425">
              <w:rPr>
                <w:rFonts w:asciiTheme="majorHAnsi" w:hAnsiTheme="majorHAnsi"/>
                <w:sz w:val="18"/>
                <w:szCs w:val="22"/>
                <w:vertAlign w:val="subscript"/>
              </w:rPr>
              <w:t>2</w:t>
            </w:r>
            <w:r w:rsidRPr="008C4425">
              <w:rPr>
                <w:rFonts w:asciiTheme="majorHAnsi" w:hAnsiTheme="majorHAnsi"/>
                <w:sz w:val="18"/>
                <w:szCs w:val="22"/>
              </w:rPr>
              <w:t xml:space="preserve"> emitted by the power generator per kWh of electrical power supplied to the refrigeration installation taking in efficiency losses in generation and distribution.</w:t>
            </w:r>
          </w:p>
        </w:tc>
      </w:tr>
      <w:tr w:rsidR="008154E0" w:rsidRPr="008C4425" w14:paraId="2468FD3D" w14:textId="77777777" w:rsidTr="00172EEA">
        <w:trPr>
          <w:trHeight w:val="342"/>
        </w:trPr>
        <w:tc>
          <w:tcPr>
            <w:tcW w:w="2230" w:type="dxa"/>
          </w:tcPr>
          <w:p w14:paraId="66B0FA2C" w14:textId="6AC7D803"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Just-in-time (JIT)</w:t>
            </w:r>
          </w:p>
        </w:tc>
        <w:tc>
          <w:tcPr>
            <w:tcW w:w="7483" w:type="dxa"/>
          </w:tcPr>
          <w:p w14:paraId="2E7A49AB" w14:textId="0FB6D68A"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rPr>
              <w:t>Just-in-time is a production strategy that strives to improve a business return on investment by reducing in-process inventory and associated carrying costs. Items are created to meet demand, not created in surplus or in advance of need.</w:t>
            </w:r>
          </w:p>
        </w:tc>
      </w:tr>
      <w:tr w:rsidR="008154E0" w:rsidRPr="008C4425" w14:paraId="49A0FAE0" w14:textId="77777777" w:rsidTr="00172EEA">
        <w:trPr>
          <w:trHeight w:val="342"/>
        </w:trPr>
        <w:tc>
          <w:tcPr>
            <w:tcW w:w="2230" w:type="dxa"/>
          </w:tcPr>
          <w:p w14:paraId="4A5D77D4" w14:textId="3FC52E14"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kWr</w:t>
            </w:r>
          </w:p>
        </w:tc>
        <w:tc>
          <w:tcPr>
            <w:tcW w:w="7483" w:type="dxa"/>
          </w:tcPr>
          <w:p w14:paraId="7ECAEADC" w14:textId="0A8592C8"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rPr>
              <w:t>Refers to kilowatts of refrigeration capacity where as kW relates to kilowatts of electrical power.</w:t>
            </w:r>
          </w:p>
        </w:tc>
      </w:tr>
      <w:tr w:rsidR="008154E0" w:rsidRPr="008C4425" w14:paraId="2B06136B" w14:textId="77777777" w:rsidTr="00172EEA">
        <w:trPr>
          <w:trHeight w:val="342"/>
        </w:trPr>
        <w:tc>
          <w:tcPr>
            <w:tcW w:w="2230" w:type="dxa"/>
          </w:tcPr>
          <w:p w14:paraId="3B727910" w14:textId="2323B974"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KWh</w:t>
            </w:r>
          </w:p>
        </w:tc>
        <w:tc>
          <w:tcPr>
            <w:tcW w:w="7483" w:type="dxa"/>
          </w:tcPr>
          <w:p w14:paraId="319B39D3" w14:textId="2C8E58DB"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rPr>
              <w:t xml:space="preserve">Kilowatt hour </w:t>
            </w:r>
            <w:r w:rsidRPr="008C4425">
              <w:rPr>
                <w:rFonts w:asciiTheme="majorHAnsi" w:hAnsiTheme="majorHAnsi"/>
                <w:sz w:val="18"/>
              </w:rPr>
              <w:t>(1 watt hour x 10</w:t>
            </w:r>
            <w:r w:rsidRPr="008C4425">
              <w:rPr>
                <w:rFonts w:asciiTheme="majorHAnsi" w:hAnsiTheme="majorHAnsi"/>
                <w:sz w:val="18"/>
                <w:vertAlign w:val="superscript"/>
              </w:rPr>
              <w:t>3</w:t>
            </w:r>
            <w:r w:rsidRPr="008C4425">
              <w:rPr>
                <w:rFonts w:asciiTheme="majorHAnsi" w:hAnsiTheme="majorHAnsi"/>
                <w:sz w:val="18"/>
              </w:rPr>
              <w:t>).</w:t>
            </w:r>
          </w:p>
        </w:tc>
      </w:tr>
      <w:tr w:rsidR="008154E0" w:rsidRPr="008C4425" w14:paraId="1B760344" w14:textId="77777777" w:rsidTr="00172EEA">
        <w:trPr>
          <w:trHeight w:val="342"/>
        </w:trPr>
        <w:tc>
          <w:tcPr>
            <w:tcW w:w="2230" w:type="dxa"/>
          </w:tcPr>
          <w:p w14:paraId="3A1DA74A" w14:textId="1968091E"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Kyoto Protocol</w:t>
            </w:r>
          </w:p>
        </w:tc>
        <w:tc>
          <w:tcPr>
            <w:tcW w:w="7483" w:type="dxa"/>
          </w:tcPr>
          <w:p w14:paraId="1EA783BF" w14:textId="3787B559" w:rsidR="008154E0" w:rsidRPr="008C4425" w:rsidRDefault="00215A98" w:rsidP="00215A98">
            <w:pPr>
              <w:pStyle w:val="BodyText"/>
              <w:spacing w:before="60" w:after="60"/>
              <w:rPr>
                <w:rFonts w:asciiTheme="majorHAnsi" w:hAnsiTheme="majorHAnsi"/>
                <w:sz w:val="18"/>
                <w:szCs w:val="22"/>
              </w:rPr>
            </w:pPr>
            <w:r w:rsidRPr="00215A98">
              <w:rPr>
                <w:rFonts w:asciiTheme="majorHAnsi" w:hAnsiTheme="majorHAnsi"/>
                <w:sz w:val="18"/>
                <w:szCs w:val="22"/>
              </w:rPr>
              <w:t>The Kyoto Protocol sets binding emissions limits for the six greenhouse gases listed in the Protocol.</w:t>
            </w:r>
            <w:r>
              <w:rPr>
                <w:rFonts w:asciiTheme="majorHAnsi" w:hAnsiTheme="majorHAnsi"/>
                <w:sz w:val="18"/>
                <w:szCs w:val="22"/>
              </w:rPr>
              <w:t xml:space="preserve"> </w:t>
            </w:r>
            <w:r w:rsidR="008154E0" w:rsidRPr="008C4425">
              <w:rPr>
                <w:rFonts w:asciiTheme="majorHAnsi" w:hAnsiTheme="majorHAnsi"/>
                <w:sz w:val="18"/>
                <w:szCs w:val="22"/>
              </w:rPr>
              <w:t>The Australian Government is committed to reducing emissions of the six main greenhouse gases, which includes the synthetic greenhouse gases (SGGs) listed under the Kyoto Protocol, including hydrofluorocarbons (HFCs), perfluorocarbons (PFCs) and sulfur hexafluoride (SF</w:t>
            </w:r>
            <w:r w:rsidR="008154E0" w:rsidRPr="008C4425">
              <w:rPr>
                <w:rFonts w:asciiTheme="majorHAnsi" w:hAnsiTheme="majorHAnsi"/>
                <w:sz w:val="18"/>
                <w:szCs w:val="22"/>
                <w:vertAlign w:val="subscript"/>
              </w:rPr>
              <w:t>6</w:t>
            </w:r>
            <w:r w:rsidR="008154E0" w:rsidRPr="008C4425">
              <w:rPr>
                <w:rFonts w:asciiTheme="majorHAnsi" w:hAnsiTheme="majorHAnsi"/>
                <w:sz w:val="18"/>
                <w:szCs w:val="22"/>
              </w:rPr>
              <w:t>). PFCs and SF</w:t>
            </w:r>
            <w:r w:rsidR="008154E0" w:rsidRPr="008C4425">
              <w:rPr>
                <w:rFonts w:asciiTheme="majorHAnsi" w:hAnsiTheme="majorHAnsi"/>
                <w:sz w:val="18"/>
                <w:szCs w:val="22"/>
                <w:vertAlign w:val="subscript"/>
              </w:rPr>
              <w:t xml:space="preserve">6 </w:t>
            </w:r>
            <w:r w:rsidR="008154E0" w:rsidRPr="008C4425">
              <w:rPr>
                <w:rFonts w:asciiTheme="majorHAnsi" w:hAnsiTheme="majorHAnsi"/>
                <w:sz w:val="18"/>
                <w:szCs w:val="22"/>
              </w:rPr>
              <w:t>are excluded from the scope of this study, as they are not used in RAC applications.</w:t>
            </w:r>
          </w:p>
        </w:tc>
      </w:tr>
      <w:tr w:rsidR="008154E0" w:rsidRPr="008C4425" w14:paraId="13966040" w14:textId="77777777" w:rsidTr="00172EEA">
        <w:trPr>
          <w:trHeight w:val="342"/>
        </w:trPr>
        <w:tc>
          <w:tcPr>
            <w:tcW w:w="2230" w:type="dxa"/>
          </w:tcPr>
          <w:p w14:paraId="51E45C09" w14:textId="0AF73E49"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Lifespan</w:t>
            </w:r>
          </w:p>
        </w:tc>
        <w:tc>
          <w:tcPr>
            <w:tcW w:w="7483" w:type="dxa"/>
          </w:tcPr>
          <w:p w14:paraId="40ABA2EE" w14:textId="4A1D317D"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rPr>
              <w:t>Lifespan is the expected useful life of the equipment in years.</w:t>
            </w:r>
          </w:p>
        </w:tc>
      </w:tr>
      <w:tr w:rsidR="008154E0" w:rsidRPr="008C4425" w14:paraId="7B6E3CCC" w14:textId="77777777" w:rsidTr="00172EEA">
        <w:trPr>
          <w:trHeight w:val="342"/>
        </w:trPr>
        <w:tc>
          <w:tcPr>
            <w:tcW w:w="2230" w:type="dxa"/>
          </w:tcPr>
          <w:p w14:paraId="4EAC391F" w14:textId="2077BE90" w:rsidR="008154E0" w:rsidRPr="008C4425" w:rsidRDefault="008154E0"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Low GWP substances or refrigerants</w:t>
            </w:r>
          </w:p>
        </w:tc>
        <w:tc>
          <w:tcPr>
            <w:tcW w:w="7483" w:type="dxa"/>
          </w:tcPr>
          <w:p w14:paraId="40183321" w14:textId="2CD66192" w:rsidR="008154E0" w:rsidRPr="008C4425" w:rsidRDefault="008154E0" w:rsidP="008C4425">
            <w:pPr>
              <w:pStyle w:val="BodyText"/>
              <w:spacing w:before="60" w:after="60"/>
              <w:rPr>
                <w:rFonts w:asciiTheme="majorHAnsi" w:hAnsiTheme="majorHAnsi"/>
                <w:sz w:val="18"/>
                <w:szCs w:val="22"/>
              </w:rPr>
            </w:pPr>
            <w:r w:rsidRPr="008C4425">
              <w:rPr>
                <w:rFonts w:asciiTheme="majorHAnsi" w:hAnsiTheme="majorHAnsi"/>
                <w:sz w:val="18"/>
                <w:szCs w:val="22"/>
              </w:rPr>
              <w:t>This term can and is used to refer to both the commonly referred ‘natural’ refrigerants, HFC substances with a GWP lower than those commonly used today and the near to commercial HFOs being scaled up by the major synthetic greenhouse gas manufacturers that are sometimes referred to as low GWP HFCs.</w:t>
            </w:r>
          </w:p>
        </w:tc>
      </w:tr>
      <w:tr w:rsidR="008C4425" w:rsidRPr="008C4425" w14:paraId="6192B8F7" w14:textId="77777777" w:rsidTr="00172EEA">
        <w:trPr>
          <w:trHeight w:val="342"/>
        </w:trPr>
        <w:tc>
          <w:tcPr>
            <w:tcW w:w="2230" w:type="dxa"/>
          </w:tcPr>
          <w:p w14:paraId="615C927D" w14:textId="35D8688C"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Low temperature refrigeration</w:t>
            </w:r>
          </w:p>
        </w:tc>
        <w:tc>
          <w:tcPr>
            <w:tcW w:w="7483" w:type="dxa"/>
          </w:tcPr>
          <w:p w14:paraId="376CBCC6" w14:textId="4A2F9EF2"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rPr>
              <w:t>Temperatures below 0</w:t>
            </w:r>
            <w:r w:rsidRPr="008C4425">
              <w:rPr>
                <w:rFonts w:asciiTheme="majorHAnsi" w:hAnsiTheme="majorHAnsi"/>
                <w:sz w:val="18"/>
                <w:szCs w:val="22"/>
                <w:vertAlign w:val="superscript"/>
              </w:rPr>
              <w:t>o</w:t>
            </w:r>
            <w:r w:rsidRPr="008C4425">
              <w:rPr>
                <w:rFonts w:asciiTheme="majorHAnsi" w:hAnsiTheme="majorHAnsi"/>
                <w:sz w:val="18"/>
                <w:szCs w:val="22"/>
              </w:rPr>
              <w:t>C that the general public would often think of as the point of ‘freezing’.</w:t>
            </w:r>
          </w:p>
        </w:tc>
      </w:tr>
      <w:tr w:rsidR="004D4482" w:rsidRPr="008C4425" w14:paraId="5487BAFE" w14:textId="77777777" w:rsidTr="00172EEA">
        <w:trPr>
          <w:trHeight w:val="342"/>
        </w:trPr>
        <w:tc>
          <w:tcPr>
            <w:tcW w:w="2230" w:type="dxa"/>
          </w:tcPr>
          <w:p w14:paraId="40CD387E" w14:textId="1D08C118" w:rsidR="004D4482" w:rsidRPr="008C4425" w:rsidRDefault="004D4482" w:rsidP="008C4425">
            <w:pPr>
              <w:pStyle w:val="BodyText"/>
              <w:spacing w:before="60" w:after="60"/>
              <w:jc w:val="left"/>
              <w:rPr>
                <w:rFonts w:asciiTheme="majorHAnsi" w:hAnsiTheme="majorHAnsi"/>
                <w:sz w:val="18"/>
                <w:szCs w:val="22"/>
              </w:rPr>
            </w:pPr>
            <w:r w:rsidRPr="004D4482">
              <w:rPr>
                <w:rFonts w:asciiTheme="majorHAnsi" w:hAnsiTheme="majorHAnsi"/>
                <w:sz w:val="18"/>
                <w:szCs w:val="22"/>
              </w:rPr>
              <w:t>Minimum energy performance standards (MEPS)</w:t>
            </w:r>
          </w:p>
        </w:tc>
        <w:tc>
          <w:tcPr>
            <w:tcW w:w="7483" w:type="dxa"/>
          </w:tcPr>
          <w:p w14:paraId="1BFD03CE" w14:textId="6E8F720B" w:rsidR="004D4482" w:rsidRPr="008C4425" w:rsidRDefault="004D4482" w:rsidP="004D4482">
            <w:pPr>
              <w:pStyle w:val="BodyText"/>
              <w:spacing w:before="60" w:after="60"/>
              <w:rPr>
                <w:rFonts w:asciiTheme="majorHAnsi" w:hAnsiTheme="majorHAnsi"/>
                <w:sz w:val="18"/>
                <w:szCs w:val="22"/>
              </w:rPr>
            </w:pPr>
            <w:r w:rsidRPr="004D4482">
              <w:rPr>
                <w:rFonts w:asciiTheme="majorHAnsi" w:hAnsiTheme="majorHAnsi"/>
                <w:sz w:val="18"/>
                <w:szCs w:val="22"/>
              </w:rPr>
              <w:t xml:space="preserve">Regulatory requirements for appliances or equipment manufactured or imported to Australia to ensure a set level of energy efficiency performance is met or exceeded.  </w:t>
            </w:r>
            <w:r>
              <w:rPr>
                <w:rFonts w:asciiTheme="majorHAnsi" w:hAnsiTheme="majorHAnsi"/>
                <w:sz w:val="18"/>
                <w:szCs w:val="22"/>
              </w:rPr>
              <w:t xml:space="preserve">In the RAC industry </w:t>
            </w:r>
            <w:r w:rsidRPr="004D4482">
              <w:rPr>
                <w:rFonts w:asciiTheme="majorHAnsi" w:hAnsiTheme="majorHAnsi"/>
                <w:sz w:val="18"/>
                <w:szCs w:val="22"/>
              </w:rPr>
              <w:t xml:space="preserve">MEPS typically cover appliances such as </w:t>
            </w:r>
            <w:r>
              <w:rPr>
                <w:rFonts w:asciiTheme="majorHAnsi" w:hAnsiTheme="majorHAnsi"/>
                <w:sz w:val="18"/>
                <w:szCs w:val="22"/>
              </w:rPr>
              <w:t xml:space="preserve">domestic </w:t>
            </w:r>
            <w:r w:rsidRPr="004D4482">
              <w:rPr>
                <w:rFonts w:asciiTheme="majorHAnsi" w:hAnsiTheme="majorHAnsi"/>
                <w:sz w:val="18"/>
                <w:szCs w:val="22"/>
              </w:rPr>
              <w:t xml:space="preserve">refrigerators, </w:t>
            </w:r>
            <w:r>
              <w:rPr>
                <w:rFonts w:asciiTheme="majorHAnsi" w:hAnsiTheme="majorHAnsi"/>
                <w:sz w:val="18"/>
                <w:szCs w:val="22"/>
              </w:rPr>
              <w:t>some refrigerated display cases, and a wide range of a</w:t>
            </w:r>
            <w:r w:rsidRPr="004D4482">
              <w:rPr>
                <w:rFonts w:asciiTheme="majorHAnsi" w:hAnsiTheme="majorHAnsi"/>
                <w:sz w:val="18"/>
                <w:szCs w:val="22"/>
              </w:rPr>
              <w:t xml:space="preserve">ir conditioners </w:t>
            </w:r>
            <w:r>
              <w:rPr>
                <w:rFonts w:asciiTheme="majorHAnsi" w:hAnsiTheme="majorHAnsi"/>
                <w:sz w:val="18"/>
                <w:szCs w:val="22"/>
              </w:rPr>
              <w:t>(excluding portable, chillers below 350kWr, etc.)</w:t>
            </w:r>
            <w:r w:rsidRPr="004D4482">
              <w:rPr>
                <w:rFonts w:asciiTheme="majorHAnsi" w:hAnsiTheme="majorHAnsi"/>
                <w:sz w:val="18"/>
                <w:szCs w:val="22"/>
              </w:rPr>
              <w:t>.</w:t>
            </w:r>
          </w:p>
        </w:tc>
      </w:tr>
      <w:tr w:rsidR="008C4425" w:rsidRPr="008C4425" w14:paraId="4FA08955" w14:textId="77777777" w:rsidTr="00172EEA">
        <w:trPr>
          <w:trHeight w:val="342"/>
        </w:trPr>
        <w:tc>
          <w:tcPr>
            <w:tcW w:w="2230" w:type="dxa"/>
          </w:tcPr>
          <w:p w14:paraId="54CECF0B" w14:textId="1FF18CD2"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Montreal Protocol</w:t>
            </w:r>
          </w:p>
        </w:tc>
        <w:tc>
          <w:tcPr>
            <w:tcW w:w="7483" w:type="dxa"/>
          </w:tcPr>
          <w:p w14:paraId="1CE9C7BE" w14:textId="2EF7FD26"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rPr>
              <w:t xml:space="preserve">The Montreal Protocol </w:t>
            </w:r>
            <w:r w:rsidR="00215A98" w:rsidRPr="00215A98">
              <w:rPr>
                <w:rFonts w:asciiTheme="majorHAnsi" w:hAnsiTheme="majorHAnsi"/>
                <w:sz w:val="18"/>
                <w:szCs w:val="22"/>
              </w:rPr>
              <w:t xml:space="preserve">on Substances that Deplete the Ozone Layer </w:t>
            </w:r>
            <w:r w:rsidRPr="008C4425">
              <w:rPr>
                <w:rFonts w:asciiTheme="majorHAnsi" w:hAnsiTheme="majorHAnsi"/>
                <w:sz w:val="18"/>
                <w:szCs w:val="22"/>
              </w:rPr>
              <w:t>sets binding progressive phase out obligations for developed and developing countries for all the major ozone depleting substances, including CFCs, halons and less damaging transitional chemicals such as HCFCs.</w:t>
            </w:r>
          </w:p>
        </w:tc>
      </w:tr>
      <w:tr w:rsidR="008C4425" w:rsidRPr="008C4425" w14:paraId="511E215C" w14:textId="77777777" w:rsidTr="00172EEA">
        <w:trPr>
          <w:trHeight w:val="342"/>
        </w:trPr>
        <w:tc>
          <w:tcPr>
            <w:tcW w:w="2230" w:type="dxa"/>
          </w:tcPr>
          <w:p w14:paraId="5CC15C64" w14:textId="6A01892D"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Natural refrigerants</w:t>
            </w:r>
          </w:p>
        </w:tc>
        <w:tc>
          <w:tcPr>
            <w:tcW w:w="7483" w:type="dxa"/>
          </w:tcPr>
          <w:p w14:paraId="0102525B" w14:textId="57F87EE7"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rPr>
              <w:t>Hydrocarbons (R600a, R290 and R436), ammonia (R717) and carbon dioxide (R744) are commonly referred to as natural refrigerants. The term ‘natural’ implies the origin of the fluids as they occur in nature as a result of geological and/or biological processes, unlike fluorinated substances that are synthesised chemicals. However it has to be noted that all ‘natural’ refrigerants are refined and compressed by bulk gas manufacturers via some process and transported like other commercial gases so also have an ‘energy investment’ in their creation, storage and transport.</w:t>
            </w:r>
          </w:p>
        </w:tc>
      </w:tr>
      <w:tr w:rsidR="008C4425" w:rsidRPr="008C4425" w14:paraId="581924B8" w14:textId="77777777" w:rsidTr="00172EEA">
        <w:trPr>
          <w:trHeight w:val="342"/>
        </w:trPr>
        <w:tc>
          <w:tcPr>
            <w:tcW w:w="2230" w:type="dxa"/>
          </w:tcPr>
          <w:p w14:paraId="0BF29806" w14:textId="732951E9"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Operating hours per year</w:t>
            </w:r>
          </w:p>
        </w:tc>
        <w:tc>
          <w:tcPr>
            <w:tcW w:w="7483" w:type="dxa"/>
          </w:tcPr>
          <w:p w14:paraId="74BED5B3" w14:textId="13384A5D"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rPr>
              <w:t>The number of hours the appliance, equipment or system operates at full input load or maximum capacity.</w:t>
            </w:r>
          </w:p>
        </w:tc>
      </w:tr>
      <w:tr w:rsidR="008C4425" w:rsidRPr="008C4425" w14:paraId="65657EC7" w14:textId="77777777" w:rsidTr="00172EEA">
        <w:trPr>
          <w:trHeight w:val="342"/>
        </w:trPr>
        <w:tc>
          <w:tcPr>
            <w:tcW w:w="2230" w:type="dxa"/>
          </w:tcPr>
          <w:p w14:paraId="57A287E0" w14:textId="718988DB"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Ozone depleting substances (ODS)</w:t>
            </w:r>
          </w:p>
        </w:tc>
        <w:tc>
          <w:tcPr>
            <w:tcW w:w="7483" w:type="dxa"/>
          </w:tcPr>
          <w:p w14:paraId="11437ED5" w14:textId="445426CE"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rPr>
              <w:t>Chemicals that deplete the ozone layer (e.g. HCFCs).</w:t>
            </w:r>
          </w:p>
        </w:tc>
      </w:tr>
      <w:tr w:rsidR="008C4425" w:rsidRPr="008C4425" w14:paraId="6198B209" w14:textId="77777777" w:rsidTr="00172EEA">
        <w:trPr>
          <w:trHeight w:val="342"/>
        </w:trPr>
        <w:tc>
          <w:tcPr>
            <w:tcW w:w="2230" w:type="dxa"/>
          </w:tcPr>
          <w:p w14:paraId="01BD8A7D" w14:textId="6B618061"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PJ</w:t>
            </w:r>
          </w:p>
        </w:tc>
        <w:tc>
          <w:tcPr>
            <w:tcW w:w="7483" w:type="dxa"/>
          </w:tcPr>
          <w:p w14:paraId="5F7689FE" w14:textId="1686F763"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Petajoule  (1 Joule x 10</w:t>
            </w:r>
            <w:r w:rsidRPr="008C4425">
              <w:rPr>
                <w:rFonts w:asciiTheme="majorHAnsi" w:hAnsiTheme="majorHAnsi"/>
                <w:sz w:val="18"/>
                <w:szCs w:val="22"/>
                <w:vertAlign w:val="superscript"/>
                <w:lang w:val="en-AU"/>
              </w:rPr>
              <w:t>15</w:t>
            </w:r>
            <w:r w:rsidRPr="008C4425">
              <w:rPr>
                <w:rFonts w:asciiTheme="majorHAnsi" w:hAnsiTheme="majorHAnsi"/>
                <w:sz w:val="18"/>
                <w:szCs w:val="22"/>
                <w:lang w:val="en-AU"/>
              </w:rPr>
              <w:t>).</w:t>
            </w:r>
          </w:p>
        </w:tc>
      </w:tr>
      <w:tr w:rsidR="008C4425" w:rsidRPr="008C4425" w14:paraId="76EF8381" w14:textId="77777777" w:rsidTr="00172EEA">
        <w:trPr>
          <w:trHeight w:val="342"/>
        </w:trPr>
        <w:tc>
          <w:tcPr>
            <w:tcW w:w="2230" w:type="dxa"/>
          </w:tcPr>
          <w:p w14:paraId="39F2EF2B" w14:textId="52CD450A"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Pre-charged equipment (PCE)</w:t>
            </w:r>
          </w:p>
        </w:tc>
        <w:tc>
          <w:tcPr>
            <w:tcW w:w="7483" w:type="dxa"/>
          </w:tcPr>
          <w:p w14:paraId="37CE0DAD" w14:textId="1CE7851E"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Pre-charged equipment is defined as air conditioning equipment or refrigeration equipment (including equipment fitted to a motor vehicle) that contains a hydroflu</w:t>
            </w:r>
            <w:r w:rsidR="0035179A">
              <w:rPr>
                <w:rFonts w:asciiTheme="majorHAnsi" w:hAnsiTheme="majorHAnsi"/>
                <w:sz w:val="18"/>
                <w:szCs w:val="22"/>
                <w:lang w:val="en-AU"/>
              </w:rPr>
              <w:t>o</w:t>
            </w:r>
            <w:r w:rsidRPr="008C4425">
              <w:rPr>
                <w:rFonts w:asciiTheme="majorHAnsi" w:hAnsiTheme="majorHAnsi"/>
                <w:sz w:val="18"/>
                <w:szCs w:val="22"/>
                <w:lang w:val="en-AU"/>
              </w:rPr>
              <w:t>rocarbon (HFC) or hydrochloroflu</w:t>
            </w:r>
            <w:r w:rsidR="0035179A">
              <w:rPr>
                <w:rFonts w:asciiTheme="majorHAnsi" w:hAnsiTheme="majorHAnsi"/>
                <w:sz w:val="18"/>
                <w:szCs w:val="22"/>
                <w:lang w:val="en-AU"/>
              </w:rPr>
              <w:t>o</w:t>
            </w:r>
            <w:r w:rsidRPr="008C4425">
              <w:rPr>
                <w:rFonts w:asciiTheme="majorHAnsi" w:hAnsiTheme="majorHAnsi"/>
                <w:sz w:val="18"/>
                <w:szCs w:val="22"/>
                <w:lang w:val="en-AU"/>
              </w:rPr>
              <w:t xml:space="preserve">rocarbon </w:t>
            </w:r>
            <w:r w:rsidR="00870F76">
              <w:rPr>
                <w:rFonts w:asciiTheme="majorHAnsi" w:hAnsiTheme="majorHAnsi"/>
                <w:sz w:val="18"/>
                <w:szCs w:val="22"/>
                <w:lang w:val="en-AU"/>
              </w:rPr>
              <w:t>(</w:t>
            </w:r>
            <w:r w:rsidRPr="008C4425">
              <w:rPr>
                <w:rFonts w:asciiTheme="majorHAnsi" w:hAnsiTheme="majorHAnsi"/>
                <w:sz w:val="18"/>
                <w:szCs w:val="22"/>
                <w:lang w:val="en-AU"/>
              </w:rPr>
              <w:t>HCFC</w:t>
            </w:r>
            <w:r w:rsidR="00870F76">
              <w:rPr>
                <w:rFonts w:asciiTheme="majorHAnsi" w:hAnsiTheme="majorHAnsi"/>
                <w:sz w:val="18"/>
                <w:szCs w:val="22"/>
                <w:lang w:val="en-AU"/>
              </w:rPr>
              <w:t>)</w:t>
            </w:r>
            <w:r w:rsidRPr="008C4425">
              <w:rPr>
                <w:rFonts w:asciiTheme="majorHAnsi" w:hAnsiTheme="majorHAnsi"/>
                <w:sz w:val="18"/>
                <w:szCs w:val="22"/>
                <w:lang w:val="en-AU"/>
              </w:rPr>
              <w:t>.</w:t>
            </w:r>
          </w:p>
        </w:tc>
      </w:tr>
      <w:tr w:rsidR="008C4425" w:rsidRPr="008C4425" w14:paraId="6AE3143F" w14:textId="77777777" w:rsidTr="00172EEA">
        <w:trPr>
          <w:trHeight w:val="342"/>
        </w:trPr>
        <w:tc>
          <w:tcPr>
            <w:tcW w:w="2230" w:type="dxa"/>
          </w:tcPr>
          <w:p w14:paraId="5D94EE03" w14:textId="77C5029A"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RAC</w:t>
            </w:r>
          </w:p>
        </w:tc>
        <w:tc>
          <w:tcPr>
            <w:tcW w:w="7483" w:type="dxa"/>
          </w:tcPr>
          <w:p w14:paraId="357BD690" w14:textId="5C01CCA6"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Refrigeration and air conditioning.</w:t>
            </w:r>
          </w:p>
        </w:tc>
      </w:tr>
      <w:tr w:rsidR="008C4425" w:rsidRPr="008C4425" w14:paraId="7EDDD4CB" w14:textId="77777777" w:rsidTr="00172EEA">
        <w:trPr>
          <w:trHeight w:val="342"/>
        </w:trPr>
        <w:tc>
          <w:tcPr>
            <w:tcW w:w="2230" w:type="dxa"/>
          </w:tcPr>
          <w:p w14:paraId="13D232E4" w14:textId="4C14DC23"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Recovery efficiency</w:t>
            </w:r>
          </w:p>
        </w:tc>
        <w:tc>
          <w:tcPr>
            <w:tcW w:w="7483" w:type="dxa"/>
          </w:tcPr>
          <w:p w14:paraId="01F71499" w14:textId="574E10C4"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Proportion of refrigerant charge that is recovered from a system when it is decommissioned at the end of its useful working life. The Recovery/recycling factor has a value from 0 to 1.</w:t>
            </w:r>
          </w:p>
        </w:tc>
      </w:tr>
      <w:tr w:rsidR="008C4425" w:rsidRPr="008C4425" w14:paraId="6295E930" w14:textId="77777777" w:rsidTr="00172EEA">
        <w:trPr>
          <w:trHeight w:val="342"/>
        </w:trPr>
        <w:tc>
          <w:tcPr>
            <w:tcW w:w="2230" w:type="dxa"/>
          </w:tcPr>
          <w:p w14:paraId="1F397E30" w14:textId="68E6182D"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Refrigerant</w:t>
            </w:r>
          </w:p>
        </w:tc>
        <w:tc>
          <w:tcPr>
            <w:tcW w:w="7483" w:type="dxa"/>
          </w:tcPr>
          <w:p w14:paraId="7BAACD60" w14:textId="5E3A628B"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Working fluid in the vapour compression refrigeration cycle.</w:t>
            </w:r>
          </w:p>
        </w:tc>
      </w:tr>
      <w:tr w:rsidR="008C4425" w:rsidRPr="008C4425" w14:paraId="493DCF42" w14:textId="77777777" w:rsidTr="00172EEA">
        <w:trPr>
          <w:trHeight w:val="342"/>
        </w:trPr>
        <w:tc>
          <w:tcPr>
            <w:tcW w:w="2230" w:type="dxa"/>
          </w:tcPr>
          <w:p w14:paraId="2C1FC675" w14:textId="00E3536E"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Refrigerant bank</w:t>
            </w:r>
          </w:p>
        </w:tc>
        <w:tc>
          <w:tcPr>
            <w:tcW w:w="7483" w:type="dxa"/>
          </w:tcPr>
          <w:p w14:paraId="5A0D3F2F" w14:textId="2C0449C6"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rPr>
              <w:t>The ‘bank’ of refrigerant gases is the aggregate of all compounds and substances employed as working fluids in the estimated 44 million mechanical devices using the vapour compression cycle in Australia.</w:t>
            </w:r>
          </w:p>
        </w:tc>
      </w:tr>
      <w:tr w:rsidR="008C4425" w:rsidRPr="008C4425" w14:paraId="09A5A70C" w14:textId="77777777" w:rsidTr="00172EEA">
        <w:trPr>
          <w:trHeight w:val="342"/>
        </w:trPr>
        <w:tc>
          <w:tcPr>
            <w:tcW w:w="2230" w:type="dxa"/>
          </w:tcPr>
          <w:p w14:paraId="6344E101" w14:textId="3B8F0E38"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Refrigerant charge</w:t>
            </w:r>
          </w:p>
        </w:tc>
        <w:tc>
          <w:tcPr>
            <w:tcW w:w="7483" w:type="dxa"/>
          </w:tcPr>
          <w:p w14:paraId="6478CEE2" w14:textId="7A213ECA"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 xml:space="preserve">The original refrigerant charge of refrigerant used as the working fluid for heat transfer inside a </w:t>
            </w:r>
            <w:r w:rsidRPr="008C4425">
              <w:rPr>
                <w:rFonts w:asciiTheme="majorHAnsi" w:hAnsiTheme="majorHAnsi"/>
                <w:sz w:val="18"/>
                <w:szCs w:val="22"/>
                <w:lang w:val="en-AU"/>
              </w:rPr>
              <w:lastRenderedPageBreak/>
              <w:t>piece of equipment.</w:t>
            </w:r>
          </w:p>
        </w:tc>
      </w:tr>
      <w:tr w:rsidR="008C4425" w:rsidRPr="008C4425" w14:paraId="77CD3D3B" w14:textId="77777777" w:rsidTr="00172EEA">
        <w:trPr>
          <w:trHeight w:val="342"/>
        </w:trPr>
        <w:tc>
          <w:tcPr>
            <w:tcW w:w="2230" w:type="dxa"/>
          </w:tcPr>
          <w:p w14:paraId="33061CE6" w14:textId="6872B5A1"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lastRenderedPageBreak/>
              <w:t>Refrigerant leak rate</w:t>
            </w:r>
          </w:p>
        </w:tc>
        <w:tc>
          <w:tcPr>
            <w:tcW w:w="7483" w:type="dxa"/>
          </w:tcPr>
          <w:p w14:paraId="0C8F7D79" w14:textId="13AED136"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The annual leak rate is defined as the sum of gradual leakage during normal operation, catastrophic losses amortised over the life of the equipment and losses during service and maintenance expressed as a percentage of the initial charge per annum.</w:t>
            </w:r>
          </w:p>
        </w:tc>
      </w:tr>
      <w:tr w:rsidR="008C4425" w:rsidRPr="008C4425" w14:paraId="7AB3E843" w14:textId="77777777" w:rsidTr="00172EEA">
        <w:trPr>
          <w:trHeight w:val="342"/>
        </w:trPr>
        <w:tc>
          <w:tcPr>
            <w:tcW w:w="2230" w:type="dxa"/>
          </w:tcPr>
          <w:p w14:paraId="17B2FC11" w14:textId="349CB16D"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lang w:val="en-AU"/>
              </w:rPr>
              <w:t>Refrigerant recovery</w:t>
            </w:r>
          </w:p>
        </w:tc>
        <w:tc>
          <w:tcPr>
            <w:tcW w:w="7483" w:type="dxa"/>
          </w:tcPr>
          <w:p w14:paraId="487CE6ED" w14:textId="7A4F6DE6"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Removal of refrigerant from a system and its storage in an external container.</w:t>
            </w:r>
          </w:p>
        </w:tc>
      </w:tr>
      <w:tr w:rsidR="008C4425" w:rsidRPr="008C4425" w14:paraId="613BDD39" w14:textId="77777777" w:rsidTr="00172EEA">
        <w:trPr>
          <w:trHeight w:val="342"/>
        </w:trPr>
        <w:tc>
          <w:tcPr>
            <w:tcW w:w="2230" w:type="dxa"/>
          </w:tcPr>
          <w:p w14:paraId="62E24E32" w14:textId="6352E172" w:rsidR="008C4425" w:rsidRPr="008C4425" w:rsidRDefault="00B948FC" w:rsidP="008C4425">
            <w:pPr>
              <w:pStyle w:val="BodyText"/>
              <w:spacing w:before="60" w:after="60"/>
              <w:jc w:val="left"/>
              <w:rPr>
                <w:rFonts w:asciiTheme="majorHAnsi" w:hAnsiTheme="majorHAnsi"/>
                <w:sz w:val="18"/>
                <w:szCs w:val="22"/>
              </w:rPr>
            </w:pPr>
            <w:r>
              <w:rPr>
                <w:rFonts w:asciiTheme="majorHAnsi" w:hAnsiTheme="majorHAnsi"/>
                <w:sz w:val="18"/>
                <w:szCs w:val="22"/>
              </w:rPr>
              <w:t>Refrigerated cold food chain</w:t>
            </w:r>
            <w:r w:rsidR="008C4425" w:rsidRPr="008C4425">
              <w:rPr>
                <w:rFonts w:asciiTheme="majorHAnsi" w:hAnsiTheme="majorHAnsi"/>
                <w:sz w:val="18"/>
                <w:szCs w:val="22"/>
              </w:rPr>
              <w:t xml:space="preserve"> (RCFC)</w:t>
            </w:r>
          </w:p>
        </w:tc>
        <w:tc>
          <w:tcPr>
            <w:tcW w:w="7483" w:type="dxa"/>
          </w:tcPr>
          <w:p w14:paraId="1EDEB7BF" w14:textId="034FB207"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rPr>
              <w:t>The refrigerated cold food chain is part of the food value chain, which involves transport, storage, primary and secondary processors, distribution and retailing of chilled and frozen foods from farm gate to consumer. However, in this report domestic refrigeration and freezers are treated as a separate segment.</w:t>
            </w:r>
          </w:p>
        </w:tc>
      </w:tr>
      <w:tr w:rsidR="008C4425" w:rsidRPr="008C4425" w14:paraId="2270227C" w14:textId="77777777" w:rsidTr="00172EEA">
        <w:trPr>
          <w:trHeight w:val="342"/>
        </w:trPr>
        <w:tc>
          <w:tcPr>
            <w:tcW w:w="2230" w:type="dxa"/>
          </w:tcPr>
          <w:p w14:paraId="50A2AE72" w14:textId="236D6274"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Remote condensing unit</w:t>
            </w:r>
          </w:p>
        </w:tc>
        <w:tc>
          <w:tcPr>
            <w:tcW w:w="7483" w:type="dxa"/>
          </w:tcPr>
          <w:p w14:paraId="0C0B23FC" w14:textId="3666C08E"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lang w:val="en-AU"/>
              </w:rPr>
              <w:t>Condensing unit located remotely from the evaporator, typically outdoors (see condensing unit).</w:t>
            </w:r>
          </w:p>
        </w:tc>
      </w:tr>
      <w:tr w:rsidR="008C4425" w:rsidRPr="008C4425" w14:paraId="4D0C63AE" w14:textId="77777777" w:rsidTr="00172EEA">
        <w:trPr>
          <w:trHeight w:val="342"/>
        </w:trPr>
        <w:tc>
          <w:tcPr>
            <w:tcW w:w="2230" w:type="dxa"/>
          </w:tcPr>
          <w:p w14:paraId="0C71BBA6" w14:textId="1EF5CBD9"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Remote RDC</w:t>
            </w:r>
          </w:p>
        </w:tc>
        <w:tc>
          <w:tcPr>
            <w:tcW w:w="7483" w:type="dxa"/>
          </w:tcPr>
          <w:p w14:paraId="02388329" w14:textId="569A0984"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rPr>
              <w:t>Refrigerated display cabinet (RDC) with its refrigerating machinery sited remote from the cabinet structure.</w:t>
            </w:r>
          </w:p>
        </w:tc>
      </w:tr>
      <w:tr w:rsidR="008C4425" w:rsidRPr="008C4425" w14:paraId="4E34BF7E" w14:textId="77777777" w:rsidTr="00172EEA">
        <w:trPr>
          <w:trHeight w:val="342"/>
        </w:trPr>
        <w:tc>
          <w:tcPr>
            <w:tcW w:w="2230" w:type="dxa"/>
          </w:tcPr>
          <w:p w14:paraId="5AE5EA0C" w14:textId="6E6BE3F1"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Self</w:t>
            </w:r>
            <w:r w:rsidRPr="008C4425">
              <w:rPr>
                <w:rFonts w:asciiTheme="majorHAnsi" w:hAnsiTheme="majorHAnsi"/>
                <w:b/>
                <w:bCs/>
                <w:sz w:val="18"/>
                <w:szCs w:val="22"/>
              </w:rPr>
              <w:t>‐</w:t>
            </w:r>
            <w:r w:rsidRPr="008C4425">
              <w:rPr>
                <w:rFonts w:asciiTheme="majorHAnsi" w:hAnsiTheme="majorHAnsi"/>
                <w:sz w:val="18"/>
                <w:szCs w:val="22"/>
              </w:rPr>
              <w:t xml:space="preserve"> contained RDC</w:t>
            </w:r>
          </w:p>
        </w:tc>
        <w:tc>
          <w:tcPr>
            <w:tcW w:w="7483" w:type="dxa"/>
          </w:tcPr>
          <w:p w14:paraId="4150A773" w14:textId="3C149055"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rPr>
              <w:t>Refrigerated display cabinet with its refrigerating machinery sited remotely from the cabinet structure.</w:t>
            </w:r>
          </w:p>
        </w:tc>
      </w:tr>
      <w:tr w:rsidR="008C4425" w:rsidRPr="008C4425" w14:paraId="7FF7D6B4" w14:textId="77777777" w:rsidTr="00172EEA">
        <w:trPr>
          <w:trHeight w:val="342"/>
        </w:trPr>
        <w:tc>
          <w:tcPr>
            <w:tcW w:w="2230" w:type="dxa"/>
          </w:tcPr>
          <w:p w14:paraId="0CEDEEA9" w14:textId="7BF1E969"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Second Assessment Report (AR2)</w:t>
            </w:r>
          </w:p>
        </w:tc>
        <w:tc>
          <w:tcPr>
            <w:tcW w:w="7483" w:type="dxa"/>
          </w:tcPr>
          <w:p w14:paraId="1EE9874A" w14:textId="0A946DDD"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rPr>
              <w:t xml:space="preserve">Second Assessment Report of the United Nations Framework Convention on Climate Change, released in 1996. Australia’s legally binding emission obligations under the Kyoto Protocol are calculated based on AR2 and therefore Australian legislation, including the </w:t>
            </w:r>
            <w:r w:rsidRPr="008C4425">
              <w:rPr>
                <w:rFonts w:asciiTheme="majorHAnsi" w:hAnsiTheme="majorHAnsi"/>
                <w:i/>
                <w:sz w:val="18"/>
                <w:szCs w:val="22"/>
              </w:rPr>
              <w:t>Ozone Protection and Synthetic Greenhouse Gas Management Act</w:t>
            </w:r>
            <w:r w:rsidRPr="008C4425">
              <w:rPr>
                <w:rFonts w:asciiTheme="majorHAnsi" w:hAnsiTheme="majorHAnsi"/>
                <w:sz w:val="18"/>
                <w:szCs w:val="22"/>
              </w:rPr>
              <w:t>, also cite GWPs from AR2.</w:t>
            </w:r>
          </w:p>
        </w:tc>
      </w:tr>
      <w:tr w:rsidR="003A2649" w:rsidRPr="008C4425" w14:paraId="55F2EFD9" w14:textId="77777777" w:rsidTr="00172EEA">
        <w:trPr>
          <w:trHeight w:val="342"/>
        </w:trPr>
        <w:tc>
          <w:tcPr>
            <w:tcW w:w="2230" w:type="dxa"/>
          </w:tcPr>
          <w:p w14:paraId="2F8E5EAF" w14:textId="31C8BFF9" w:rsidR="003A2649" w:rsidRPr="008C4425" w:rsidRDefault="003A2649" w:rsidP="00974E2D">
            <w:pPr>
              <w:pStyle w:val="BodyText"/>
              <w:spacing w:before="60" w:after="60"/>
              <w:jc w:val="left"/>
              <w:rPr>
                <w:rFonts w:asciiTheme="majorHAnsi" w:hAnsiTheme="majorHAnsi"/>
                <w:sz w:val="18"/>
                <w:szCs w:val="22"/>
              </w:rPr>
            </w:pPr>
            <w:r>
              <w:rPr>
                <w:rFonts w:asciiTheme="majorHAnsi" w:hAnsiTheme="majorHAnsi"/>
                <w:sz w:val="18"/>
                <w:szCs w:val="22"/>
              </w:rPr>
              <w:t>Specific E</w:t>
            </w:r>
            <w:r w:rsidR="00974E2D">
              <w:rPr>
                <w:rFonts w:asciiTheme="majorHAnsi" w:hAnsiTheme="majorHAnsi"/>
                <w:sz w:val="18"/>
                <w:szCs w:val="22"/>
              </w:rPr>
              <w:t>nergy C</w:t>
            </w:r>
            <w:r>
              <w:rPr>
                <w:rFonts w:asciiTheme="majorHAnsi" w:hAnsiTheme="majorHAnsi"/>
                <w:sz w:val="18"/>
                <w:szCs w:val="22"/>
              </w:rPr>
              <w:t>onsumption (SEC)</w:t>
            </w:r>
          </w:p>
        </w:tc>
        <w:tc>
          <w:tcPr>
            <w:tcW w:w="7483" w:type="dxa"/>
          </w:tcPr>
          <w:p w14:paraId="03D32304" w14:textId="5874D0B9" w:rsidR="003A2649" w:rsidRPr="008C4425" w:rsidRDefault="003A2649" w:rsidP="00974E2D">
            <w:pPr>
              <w:pStyle w:val="BodyText"/>
              <w:spacing w:before="60" w:after="60"/>
              <w:rPr>
                <w:rFonts w:asciiTheme="majorHAnsi" w:hAnsiTheme="majorHAnsi"/>
                <w:sz w:val="18"/>
                <w:szCs w:val="22"/>
              </w:rPr>
            </w:pPr>
            <w:r w:rsidRPr="003A2649">
              <w:rPr>
                <w:rFonts w:asciiTheme="majorHAnsi" w:hAnsiTheme="majorHAnsi"/>
                <w:sz w:val="18"/>
                <w:szCs w:val="22"/>
              </w:rPr>
              <w:t>Specific E</w:t>
            </w:r>
            <w:r w:rsidR="00974E2D">
              <w:rPr>
                <w:rFonts w:asciiTheme="majorHAnsi" w:hAnsiTheme="majorHAnsi"/>
                <w:sz w:val="18"/>
                <w:szCs w:val="22"/>
              </w:rPr>
              <w:t xml:space="preserve">nergy </w:t>
            </w:r>
            <w:r w:rsidRPr="003A2649">
              <w:rPr>
                <w:rFonts w:asciiTheme="majorHAnsi" w:hAnsiTheme="majorHAnsi"/>
                <w:sz w:val="18"/>
                <w:szCs w:val="22"/>
              </w:rPr>
              <w:t>Consumption</w:t>
            </w:r>
            <w:r>
              <w:rPr>
                <w:rFonts w:asciiTheme="majorHAnsi" w:hAnsiTheme="majorHAnsi"/>
                <w:sz w:val="18"/>
                <w:szCs w:val="22"/>
              </w:rPr>
              <w:t xml:space="preserve"> is a </w:t>
            </w:r>
            <w:r w:rsidR="00974E2D" w:rsidRPr="00974E2D">
              <w:rPr>
                <w:rFonts w:asciiTheme="majorHAnsi" w:hAnsiTheme="majorHAnsi"/>
                <w:sz w:val="18"/>
                <w:szCs w:val="22"/>
              </w:rPr>
              <w:t>measure of energy consumption intensity of a cold</w:t>
            </w:r>
            <w:r w:rsidR="00974E2D">
              <w:rPr>
                <w:rFonts w:asciiTheme="majorHAnsi" w:hAnsiTheme="majorHAnsi"/>
                <w:sz w:val="18"/>
                <w:szCs w:val="22"/>
              </w:rPr>
              <w:t xml:space="preserve"> </w:t>
            </w:r>
            <w:r w:rsidR="00974E2D" w:rsidRPr="00974E2D">
              <w:rPr>
                <w:rFonts w:asciiTheme="majorHAnsi" w:hAnsiTheme="majorHAnsi"/>
                <w:sz w:val="18"/>
                <w:szCs w:val="22"/>
              </w:rPr>
              <w:t>storage facility in kWh/m</w:t>
            </w:r>
            <w:r w:rsidR="00974E2D" w:rsidRPr="00974E2D">
              <w:rPr>
                <w:rFonts w:asciiTheme="majorHAnsi" w:hAnsiTheme="majorHAnsi"/>
                <w:sz w:val="18"/>
                <w:szCs w:val="22"/>
                <w:vertAlign w:val="superscript"/>
              </w:rPr>
              <w:t>3</w:t>
            </w:r>
            <w:r w:rsidR="00974E2D" w:rsidRPr="00974E2D">
              <w:rPr>
                <w:rFonts w:asciiTheme="majorHAnsi" w:hAnsiTheme="majorHAnsi"/>
                <w:sz w:val="18"/>
                <w:szCs w:val="22"/>
              </w:rPr>
              <w:t xml:space="preserve"> per </w:t>
            </w:r>
            <w:r w:rsidR="00974E2D">
              <w:rPr>
                <w:rFonts w:asciiTheme="majorHAnsi" w:hAnsiTheme="majorHAnsi"/>
                <w:sz w:val="18"/>
                <w:szCs w:val="22"/>
              </w:rPr>
              <w:t>year</w:t>
            </w:r>
            <w:r w:rsidR="00974E2D" w:rsidRPr="00974E2D">
              <w:rPr>
                <w:rFonts w:asciiTheme="majorHAnsi" w:hAnsiTheme="majorHAnsi"/>
                <w:sz w:val="18"/>
                <w:szCs w:val="22"/>
              </w:rPr>
              <w:t>.</w:t>
            </w:r>
          </w:p>
        </w:tc>
      </w:tr>
      <w:tr w:rsidR="008C4425" w:rsidRPr="008C4425" w14:paraId="3B201B67" w14:textId="77777777" w:rsidTr="00172EEA">
        <w:trPr>
          <w:trHeight w:val="342"/>
        </w:trPr>
        <w:tc>
          <w:tcPr>
            <w:tcW w:w="2230" w:type="dxa"/>
          </w:tcPr>
          <w:p w14:paraId="4E50CAF7" w14:textId="7B476F8E"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Synthetic greenhouse gases (SGGs)</w:t>
            </w:r>
          </w:p>
        </w:tc>
        <w:tc>
          <w:tcPr>
            <w:tcW w:w="7483" w:type="dxa"/>
          </w:tcPr>
          <w:p w14:paraId="0C873C47" w14:textId="7E8F843B"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rPr>
              <w:t>SGGs listed under the Kyoto Protocol, include hydrofluorocarbons (HFCs), perfluorocarbons (PFCs) and sulfur hexafluoride (SF</w:t>
            </w:r>
            <w:r w:rsidRPr="008C4425">
              <w:rPr>
                <w:rFonts w:asciiTheme="majorHAnsi" w:hAnsiTheme="majorHAnsi"/>
                <w:sz w:val="18"/>
                <w:szCs w:val="22"/>
                <w:vertAlign w:val="subscript"/>
              </w:rPr>
              <w:t>6</w:t>
            </w:r>
            <w:r w:rsidRPr="008C4425">
              <w:rPr>
                <w:rFonts w:asciiTheme="majorHAnsi" w:hAnsiTheme="majorHAnsi"/>
                <w:sz w:val="18"/>
                <w:szCs w:val="22"/>
              </w:rPr>
              <w:t>). PFCs and SF</w:t>
            </w:r>
            <w:r w:rsidRPr="008C4425">
              <w:rPr>
                <w:rFonts w:asciiTheme="majorHAnsi" w:hAnsiTheme="majorHAnsi"/>
                <w:sz w:val="18"/>
                <w:szCs w:val="22"/>
                <w:vertAlign w:val="subscript"/>
              </w:rPr>
              <w:t>6</w:t>
            </w:r>
            <w:r w:rsidRPr="008C4425">
              <w:rPr>
                <w:rFonts w:asciiTheme="majorHAnsi" w:hAnsiTheme="majorHAnsi"/>
                <w:sz w:val="18"/>
                <w:szCs w:val="22"/>
              </w:rPr>
              <w:t xml:space="preserve"> are excluded from the scope of this study, as they are not used in RAC applications.</w:t>
            </w:r>
          </w:p>
        </w:tc>
      </w:tr>
      <w:tr w:rsidR="008C4425" w:rsidRPr="008C4425" w14:paraId="16CC80D3" w14:textId="77777777" w:rsidTr="00172EEA">
        <w:trPr>
          <w:trHeight w:val="342"/>
        </w:trPr>
        <w:tc>
          <w:tcPr>
            <w:tcW w:w="2230" w:type="dxa"/>
          </w:tcPr>
          <w:p w14:paraId="13367BD1" w14:textId="62D0D021"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Synthetic substances or synthetic refrigerants</w:t>
            </w:r>
          </w:p>
        </w:tc>
        <w:tc>
          <w:tcPr>
            <w:tcW w:w="7483" w:type="dxa"/>
          </w:tcPr>
          <w:p w14:paraId="2C38B6E0" w14:textId="7FCD7633"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rPr>
              <w:t>HCFCs, HFCs and HFOs are commonly referred to as synthetic substances or synthetic refrigerants.</w:t>
            </w:r>
          </w:p>
        </w:tc>
      </w:tr>
      <w:tr w:rsidR="008C4425" w:rsidRPr="008C4425" w14:paraId="61DA26B0" w14:textId="77777777" w:rsidTr="00172EEA">
        <w:trPr>
          <w:trHeight w:val="342"/>
        </w:trPr>
        <w:tc>
          <w:tcPr>
            <w:tcW w:w="2230" w:type="dxa"/>
          </w:tcPr>
          <w:p w14:paraId="42497690" w14:textId="083C782B"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Technology segment</w:t>
            </w:r>
          </w:p>
        </w:tc>
        <w:tc>
          <w:tcPr>
            <w:tcW w:w="7483" w:type="dxa"/>
          </w:tcPr>
          <w:p w14:paraId="1756391F" w14:textId="12DAC3FE"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rPr>
              <w:t>A term used by the authors to refer to a defined set of technologies within the heating, ventilation, air conditioning and refrigeration (HVAC&amp;R) industry sector. A segment of the broad family of technologies employed in the HVAC&amp;R sector is defined by the application (i.e. mobile or stationary, commercial or residential) and then bounded by a range of size of the charge of working gas, although for the purpose of modelling, an average charge size for each segment has been calculated.</w:t>
            </w:r>
          </w:p>
        </w:tc>
      </w:tr>
      <w:tr w:rsidR="008C4425" w:rsidRPr="008C4425" w14:paraId="18D114A0" w14:textId="77777777" w:rsidTr="00172EEA">
        <w:trPr>
          <w:trHeight w:val="342"/>
        </w:trPr>
        <w:tc>
          <w:tcPr>
            <w:tcW w:w="2230" w:type="dxa"/>
          </w:tcPr>
          <w:p w14:paraId="1D1E1E50" w14:textId="6D9DADDA"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Truck refrigeration unit (TRU)</w:t>
            </w:r>
          </w:p>
        </w:tc>
        <w:tc>
          <w:tcPr>
            <w:tcW w:w="7483" w:type="dxa"/>
          </w:tcPr>
          <w:p w14:paraId="277D9BDC" w14:textId="55238871"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rPr>
              <w:t xml:space="preserve">TRUs are refrigeration systems powered by dedicated diesel internal combustion engines designed to refrigerate fresh and frozen perishable products (mostly food but also </w:t>
            </w:r>
            <w:r w:rsidRPr="008C4425">
              <w:rPr>
                <w:rFonts w:asciiTheme="majorHAnsi" w:hAnsiTheme="majorHAnsi"/>
                <w:sz w:val="18"/>
                <w:szCs w:val="22"/>
                <w:lang w:val="en-AU"/>
              </w:rPr>
              <w:t>pharmaceuticals and other materials)</w:t>
            </w:r>
            <w:r w:rsidRPr="008C4425">
              <w:rPr>
                <w:rFonts w:asciiTheme="majorHAnsi" w:hAnsiTheme="majorHAnsi"/>
                <w:sz w:val="18"/>
                <w:szCs w:val="22"/>
              </w:rPr>
              <w:t xml:space="preserve"> that are transported on semi-trailers, rigid trucks and rail cars. Fresh is typically classed as 2</w:t>
            </w:r>
            <w:r w:rsidRPr="008C4425">
              <w:rPr>
                <w:rFonts w:asciiTheme="majorHAnsi" w:hAnsiTheme="majorHAnsi"/>
                <w:sz w:val="18"/>
                <w:szCs w:val="18"/>
                <w:vertAlign w:val="superscript"/>
              </w:rPr>
              <w:t>o</w:t>
            </w:r>
            <w:r w:rsidRPr="008C4425">
              <w:rPr>
                <w:rFonts w:asciiTheme="majorHAnsi" w:hAnsiTheme="majorHAnsi"/>
                <w:sz w:val="18"/>
                <w:szCs w:val="22"/>
              </w:rPr>
              <w:t>C and frozen -20</w:t>
            </w:r>
            <w:r w:rsidRPr="008C4425">
              <w:rPr>
                <w:rFonts w:asciiTheme="majorHAnsi" w:hAnsiTheme="majorHAnsi"/>
                <w:sz w:val="18"/>
                <w:szCs w:val="18"/>
                <w:vertAlign w:val="superscript"/>
              </w:rPr>
              <w:t>o</w:t>
            </w:r>
            <w:r w:rsidRPr="008C4425">
              <w:rPr>
                <w:rFonts w:asciiTheme="majorHAnsi" w:hAnsiTheme="majorHAnsi"/>
                <w:sz w:val="18"/>
                <w:szCs w:val="22"/>
              </w:rPr>
              <w:t>C.</w:t>
            </w:r>
          </w:p>
        </w:tc>
      </w:tr>
      <w:tr w:rsidR="008C4425" w:rsidRPr="008C4425" w14:paraId="27F4D689" w14:textId="77777777" w:rsidTr="00172EEA">
        <w:trPr>
          <w:trHeight w:val="342"/>
        </w:trPr>
        <w:tc>
          <w:tcPr>
            <w:tcW w:w="2230" w:type="dxa"/>
          </w:tcPr>
          <w:p w14:paraId="36AA9F93" w14:textId="4F3647D1" w:rsidR="008C4425" w:rsidRPr="008C4425" w:rsidRDefault="008C4425" w:rsidP="008C4425">
            <w:pPr>
              <w:pStyle w:val="BodyText"/>
              <w:spacing w:before="60" w:after="60"/>
              <w:jc w:val="left"/>
              <w:rPr>
                <w:rFonts w:asciiTheme="majorHAnsi" w:hAnsiTheme="majorHAnsi"/>
                <w:sz w:val="18"/>
                <w:szCs w:val="22"/>
              </w:rPr>
            </w:pPr>
            <w:r w:rsidRPr="008C4425">
              <w:rPr>
                <w:rFonts w:asciiTheme="majorHAnsi" w:hAnsiTheme="majorHAnsi"/>
                <w:sz w:val="18"/>
                <w:szCs w:val="22"/>
              </w:rPr>
              <w:t>Walk</w:t>
            </w:r>
            <w:r w:rsidRPr="008C4425">
              <w:rPr>
                <w:rFonts w:asciiTheme="majorHAnsi" w:hAnsiTheme="majorHAnsi"/>
                <w:b/>
                <w:bCs/>
                <w:sz w:val="18"/>
                <w:szCs w:val="22"/>
              </w:rPr>
              <w:t>‐</w:t>
            </w:r>
            <w:r w:rsidRPr="008C4425">
              <w:rPr>
                <w:rFonts w:asciiTheme="majorHAnsi" w:hAnsiTheme="majorHAnsi"/>
                <w:sz w:val="18"/>
                <w:szCs w:val="22"/>
              </w:rPr>
              <w:t xml:space="preserve">in coolroom </w:t>
            </w:r>
          </w:p>
        </w:tc>
        <w:tc>
          <w:tcPr>
            <w:tcW w:w="7483" w:type="dxa"/>
          </w:tcPr>
          <w:p w14:paraId="4AB8A092" w14:textId="706E04EC" w:rsidR="008C4425" w:rsidRPr="008C4425" w:rsidRDefault="008C4425" w:rsidP="008C4425">
            <w:pPr>
              <w:pStyle w:val="BodyText"/>
              <w:spacing w:before="60" w:after="60"/>
              <w:rPr>
                <w:rFonts w:asciiTheme="majorHAnsi" w:hAnsiTheme="majorHAnsi"/>
                <w:sz w:val="18"/>
                <w:szCs w:val="22"/>
              </w:rPr>
            </w:pPr>
            <w:r w:rsidRPr="008C4425">
              <w:rPr>
                <w:rFonts w:asciiTheme="majorHAnsi" w:hAnsiTheme="majorHAnsi"/>
                <w:sz w:val="18"/>
                <w:szCs w:val="22"/>
              </w:rPr>
              <w:t>A walk</w:t>
            </w:r>
            <w:r w:rsidRPr="008C4425">
              <w:rPr>
                <w:rFonts w:asciiTheme="majorHAnsi" w:hAnsiTheme="majorHAnsi"/>
                <w:b/>
                <w:bCs/>
                <w:sz w:val="18"/>
                <w:szCs w:val="22"/>
              </w:rPr>
              <w:t>‐</w:t>
            </w:r>
            <w:r w:rsidRPr="008C4425">
              <w:rPr>
                <w:rFonts w:asciiTheme="majorHAnsi" w:hAnsiTheme="majorHAnsi"/>
                <w:sz w:val="18"/>
                <w:szCs w:val="22"/>
              </w:rPr>
              <w:t>in coolroom is a structure formed by an insulated enclosure of walls and ceiling, having a door through which personnel can pass and close behind them. The floor space occupied by this structure may or may not be insulated, depending on the operating temperature level.</w:t>
            </w:r>
          </w:p>
        </w:tc>
      </w:tr>
    </w:tbl>
    <w:p w14:paraId="5F0C7872" w14:textId="77777777" w:rsidR="008A52C8" w:rsidRDefault="008A52C8" w:rsidP="008A52C8"/>
    <w:p w14:paraId="7C758F1E" w14:textId="77777777" w:rsidR="008A52C8" w:rsidRDefault="008A52C8" w:rsidP="008A52C8"/>
    <w:p w14:paraId="39B8B0E3" w14:textId="23180E66" w:rsidR="005B7BFF" w:rsidRDefault="005B7BFF">
      <w:pPr>
        <w:spacing w:before="0"/>
        <w:jc w:val="left"/>
        <w:rPr>
          <w:rFonts w:ascii="Calibri" w:eastAsia="Times New Roman" w:hAnsi="Calibri" w:cs="Times New Roman"/>
          <w:b/>
          <w:bCs/>
          <w:kern w:val="32"/>
          <w:sz w:val="32"/>
          <w:szCs w:val="32"/>
          <w:lang w:val="en-US"/>
        </w:rPr>
      </w:pPr>
    </w:p>
    <w:p w14:paraId="279925D5" w14:textId="713C849F" w:rsidR="004D4482" w:rsidRPr="00974916" w:rsidRDefault="004D4482" w:rsidP="004D4482">
      <w:pPr>
        <w:pStyle w:val="Heading1"/>
        <w:numPr>
          <w:ilvl w:val="0"/>
          <w:numId w:val="0"/>
        </w:numPr>
        <w:ind w:left="432" w:hanging="432"/>
      </w:pPr>
      <w:bookmarkStart w:id="2" w:name="_Toc233084131"/>
      <w:r>
        <w:t>Abbreviations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4"/>
        <w:gridCol w:w="7489"/>
      </w:tblGrid>
      <w:tr w:rsidR="001857B2" w:rsidRPr="001857B2" w14:paraId="5E4F75CE" w14:textId="77777777" w:rsidTr="00BA3C42">
        <w:trPr>
          <w:trHeight w:val="342"/>
        </w:trPr>
        <w:tc>
          <w:tcPr>
            <w:tcW w:w="2224" w:type="dxa"/>
          </w:tcPr>
          <w:p w14:paraId="02B7C82D" w14:textId="2967546D" w:rsidR="001857B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AC</w:t>
            </w:r>
          </w:p>
        </w:tc>
        <w:tc>
          <w:tcPr>
            <w:tcW w:w="7489" w:type="dxa"/>
          </w:tcPr>
          <w:p w14:paraId="5F8722D0" w14:textId="7C1EA559" w:rsidR="001857B2" w:rsidRPr="001857B2" w:rsidRDefault="001857B2" w:rsidP="004D4482">
            <w:pPr>
              <w:pStyle w:val="BodyText"/>
              <w:spacing w:before="60" w:after="60"/>
              <w:rPr>
                <w:rFonts w:asciiTheme="majorHAnsi" w:hAnsiTheme="majorHAnsi"/>
                <w:sz w:val="18"/>
                <w:szCs w:val="18"/>
              </w:rPr>
            </w:pPr>
            <w:r w:rsidRPr="001857B2">
              <w:rPr>
                <w:rFonts w:asciiTheme="majorHAnsi" w:hAnsiTheme="majorHAnsi"/>
                <w:sz w:val="18"/>
                <w:szCs w:val="18"/>
              </w:rPr>
              <w:t>Air conditioning</w:t>
            </w:r>
          </w:p>
        </w:tc>
      </w:tr>
      <w:tr w:rsidR="008C2553" w:rsidRPr="001857B2" w14:paraId="3FBCEA79" w14:textId="77777777" w:rsidTr="00BA3C42">
        <w:trPr>
          <w:trHeight w:val="342"/>
        </w:trPr>
        <w:tc>
          <w:tcPr>
            <w:tcW w:w="2224" w:type="dxa"/>
          </w:tcPr>
          <w:p w14:paraId="4318984A" w14:textId="3DD0A8F7" w:rsidR="008C2553" w:rsidRPr="001857B2" w:rsidRDefault="008C2553" w:rsidP="004D4482">
            <w:pPr>
              <w:pStyle w:val="BodyText"/>
              <w:spacing w:before="60" w:after="60"/>
              <w:jc w:val="left"/>
              <w:rPr>
                <w:rFonts w:asciiTheme="majorHAnsi" w:hAnsiTheme="majorHAnsi"/>
                <w:sz w:val="18"/>
                <w:szCs w:val="18"/>
              </w:rPr>
            </w:pPr>
            <w:r>
              <w:rPr>
                <w:rFonts w:asciiTheme="majorHAnsi" w:hAnsiTheme="majorHAnsi"/>
                <w:sz w:val="18"/>
                <w:szCs w:val="18"/>
              </w:rPr>
              <w:t>ACCC</w:t>
            </w:r>
          </w:p>
        </w:tc>
        <w:tc>
          <w:tcPr>
            <w:tcW w:w="7489" w:type="dxa"/>
          </w:tcPr>
          <w:p w14:paraId="21972D98" w14:textId="15B30507" w:rsidR="008C2553" w:rsidRPr="001857B2" w:rsidRDefault="008C2553" w:rsidP="001857B2">
            <w:pPr>
              <w:pStyle w:val="BodyText"/>
              <w:spacing w:before="60" w:after="60"/>
              <w:rPr>
                <w:rFonts w:asciiTheme="majorHAnsi" w:hAnsiTheme="majorHAnsi"/>
                <w:sz w:val="18"/>
                <w:szCs w:val="18"/>
              </w:rPr>
            </w:pPr>
            <w:r w:rsidRPr="008C2553">
              <w:rPr>
                <w:rFonts w:asciiTheme="majorHAnsi" w:hAnsiTheme="majorHAnsi"/>
                <w:sz w:val="18"/>
                <w:szCs w:val="18"/>
              </w:rPr>
              <w:t>Australian Competiti</w:t>
            </w:r>
            <w:r>
              <w:rPr>
                <w:rFonts w:asciiTheme="majorHAnsi" w:hAnsiTheme="majorHAnsi"/>
                <w:sz w:val="18"/>
                <w:szCs w:val="18"/>
              </w:rPr>
              <w:t>on and Consumer Commission</w:t>
            </w:r>
          </w:p>
        </w:tc>
      </w:tr>
      <w:tr w:rsidR="001857B2" w:rsidRPr="001857B2" w14:paraId="688F1F59" w14:textId="77777777" w:rsidTr="00BA3C42">
        <w:trPr>
          <w:trHeight w:val="342"/>
        </w:trPr>
        <w:tc>
          <w:tcPr>
            <w:tcW w:w="2224" w:type="dxa"/>
          </w:tcPr>
          <w:p w14:paraId="4471CAE4" w14:textId="3B1E6377" w:rsidR="001857B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AR2</w:t>
            </w:r>
          </w:p>
        </w:tc>
        <w:tc>
          <w:tcPr>
            <w:tcW w:w="7489" w:type="dxa"/>
          </w:tcPr>
          <w:p w14:paraId="5C815462" w14:textId="4F0A5D34" w:rsidR="001857B2" w:rsidRPr="001857B2" w:rsidRDefault="001857B2" w:rsidP="001857B2">
            <w:pPr>
              <w:pStyle w:val="BodyText"/>
              <w:spacing w:before="60" w:after="60"/>
              <w:rPr>
                <w:rFonts w:asciiTheme="majorHAnsi" w:hAnsiTheme="majorHAnsi"/>
                <w:sz w:val="18"/>
                <w:szCs w:val="18"/>
              </w:rPr>
            </w:pPr>
            <w:r w:rsidRPr="001857B2">
              <w:rPr>
                <w:rFonts w:asciiTheme="majorHAnsi" w:hAnsiTheme="majorHAnsi"/>
                <w:sz w:val="18"/>
                <w:szCs w:val="18"/>
              </w:rPr>
              <w:t>Second Assessment Report</w:t>
            </w:r>
            <w:r w:rsidR="005B7BFF">
              <w:rPr>
                <w:rFonts w:asciiTheme="majorHAnsi" w:hAnsiTheme="majorHAnsi"/>
                <w:sz w:val="18"/>
                <w:szCs w:val="18"/>
              </w:rPr>
              <w:t>, similarly A4 is Forth Assessment Report</w:t>
            </w:r>
          </w:p>
        </w:tc>
      </w:tr>
      <w:tr w:rsidR="004D4482" w:rsidRPr="001857B2" w14:paraId="551212A4" w14:textId="77777777" w:rsidTr="00BA3C42">
        <w:trPr>
          <w:trHeight w:val="342"/>
        </w:trPr>
        <w:tc>
          <w:tcPr>
            <w:tcW w:w="2224" w:type="dxa"/>
          </w:tcPr>
          <w:p w14:paraId="4893828B" w14:textId="7CB79CF0" w:rsidR="004D4482" w:rsidRPr="001857B2" w:rsidRDefault="004D448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 xml:space="preserve">ABS </w:t>
            </w:r>
          </w:p>
        </w:tc>
        <w:tc>
          <w:tcPr>
            <w:tcW w:w="7489" w:type="dxa"/>
          </w:tcPr>
          <w:p w14:paraId="5E03DBBF" w14:textId="44B0206A" w:rsidR="004D4482" w:rsidRPr="001857B2" w:rsidRDefault="004D4482" w:rsidP="004D4482">
            <w:pPr>
              <w:pStyle w:val="BodyText"/>
              <w:spacing w:before="60" w:after="60"/>
              <w:rPr>
                <w:rFonts w:asciiTheme="majorHAnsi" w:hAnsiTheme="majorHAnsi"/>
                <w:sz w:val="18"/>
                <w:szCs w:val="18"/>
              </w:rPr>
            </w:pPr>
            <w:r w:rsidRPr="001857B2">
              <w:rPr>
                <w:rFonts w:asciiTheme="majorHAnsi" w:hAnsiTheme="majorHAnsi"/>
                <w:sz w:val="18"/>
                <w:szCs w:val="18"/>
              </w:rPr>
              <w:t>Australian Bureau of Statistics</w:t>
            </w:r>
          </w:p>
        </w:tc>
      </w:tr>
      <w:tr w:rsidR="004D4482" w:rsidRPr="001857B2" w14:paraId="603240EA" w14:textId="77777777" w:rsidTr="00BA3C42">
        <w:trPr>
          <w:trHeight w:val="342"/>
        </w:trPr>
        <w:tc>
          <w:tcPr>
            <w:tcW w:w="2224" w:type="dxa"/>
          </w:tcPr>
          <w:p w14:paraId="3161F8C4" w14:textId="34D4A3FE" w:rsidR="004D4482" w:rsidRPr="001857B2" w:rsidRDefault="005B7BFF" w:rsidP="004D4482">
            <w:pPr>
              <w:pStyle w:val="BodyText"/>
              <w:spacing w:before="60" w:after="60"/>
              <w:jc w:val="left"/>
              <w:rPr>
                <w:rFonts w:asciiTheme="majorHAnsi" w:hAnsiTheme="majorHAnsi"/>
                <w:sz w:val="18"/>
                <w:szCs w:val="18"/>
              </w:rPr>
            </w:pPr>
            <w:r>
              <w:rPr>
                <w:rFonts w:asciiTheme="majorHAnsi" w:hAnsiTheme="majorHAnsi"/>
                <w:sz w:val="18"/>
                <w:szCs w:val="18"/>
              </w:rPr>
              <w:t>ANZSCO</w:t>
            </w:r>
          </w:p>
        </w:tc>
        <w:tc>
          <w:tcPr>
            <w:tcW w:w="7489" w:type="dxa"/>
          </w:tcPr>
          <w:p w14:paraId="16915338" w14:textId="10D40952" w:rsidR="004D4482" w:rsidRPr="001857B2" w:rsidRDefault="005B7BFF" w:rsidP="005B7BFF">
            <w:pPr>
              <w:pStyle w:val="BodyText"/>
              <w:spacing w:before="60" w:after="60"/>
              <w:rPr>
                <w:rFonts w:asciiTheme="majorHAnsi" w:hAnsiTheme="majorHAnsi"/>
                <w:sz w:val="18"/>
                <w:szCs w:val="18"/>
              </w:rPr>
            </w:pPr>
            <w:r w:rsidRPr="005B7BFF">
              <w:rPr>
                <w:rFonts w:asciiTheme="majorHAnsi" w:hAnsiTheme="majorHAnsi"/>
                <w:sz w:val="18"/>
                <w:szCs w:val="18"/>
              </w:rPr>
              <w:t>Australian and New Zealand Standard Classification of Occupations</w:t>
            </w:r>
          </w:p>
        </w:tc>
      </w:tr>
      <w:tr w:rsidR="004D4482" w:rsidRPr="001857B2" w14:paraId="73AB4B61" w14:textId="77777777" w:rsidTr="00BA3C42">
        <w:trPr>
          <w:trHeight w:val="342"/>
        </w:trPr>
        <w:tc>
          <w:tcPr>
            <w:tcW w:w="2224" w:type="dxa"/>
          </w:tcPr>
          <w:p w14:paraId="02F14C58" w14:textId="73AA2459" w:rsidR="004D4482" w:rsidRPr="001857B2" w:rsidRDefault="004D448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lastRenderedPageBreak/>
              <w:t>BREE</w:t>
            </w:r>
          </w:p>
        </w:tc>
        <w:tc>
          <w:tcPr>
            <w:tcW w:w="7489" w:type="dxa"/>
          </w:tcPr>
          <w:p w14:paraId="7E0A7EB1" w14:textId="392903C4" w:rsidR="004D4482" w:rsidRPr="001857B2" w:rsidRDefault="004D4482" w:rsidP="004D4482">
            <w:pPr>
              <w:pStyle w:val="BodyText"/>
              <w:spacing w:before="60" w:after="60"/>
              <w:rPr>
                <w:rFonts w:asciiTheme="majorHAnsi" w:hAnsiTheme="majorHAnsi"/>
                <w:sz w:val="18"/>
                <w:szCs w:val="18"/>
              </w:rPr>
            </w:pPr>
            <w:r w:rsidRPr="001857B2">
              <w:rPr>
                <w:rFonts w:asciiTheme="majorHAnsi" w:hAnsiTheme="majorHAnsi"/>
                <w:sz w:val="18"/>
                <w:szCs w:val="18"/>
              </w:rPr>
              <w:t>Bureau of Resource and Energy Economics</w:t>
            </w:r>
          </w:p>
        </w:tc>
      </w:tr>
      <w:tr w:rsidR="004D4482" w:rsidRPr="001857B2" w14:paraId="5A58C42E" w14:textId="77777777" w:rsidTr="00BA3C42">
        <w:trPr>
          <w:trHeight w:val="342"/>
        </w:trPr>
        <w:tc>
          <w:tcPr>
            <w:tcW w:w="2224" w:type="dxa"/>
          </w:tcPr>
          <w:p w14:paraId="471016DB" w14:textId="61415361" w:rsidR="004D4482" w:rsidRPr="001857B2" w:rsidRDefault="004D448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BCA</w:t>
            </w:r>
          </w:p>
        </w:tc>
        <w:tc>
          <w:tcPr>
            <w:tcW w:w="7489" w:type="dxa"/>
          </w:tcPr>
          <w:p w14:paraId="4F49B95B" w14:textId="7582562F" w:rsidR="004D4482" w:rsidRPr="001857B2" w:rsidRDefault="004D4482" w:rsidP="004D4482">
            <w:pPr>
              <w:pStyle w:val="BodyText"/>
              <w:spacing w:before="60" w:after="60"/>
              <w:rPr>
                <w:rFonts w:asciiTheme="majorHAnsi" w:hAnsiTheme="majorHAnsi"/>
                <w:sz w:val="18"/>
                <w:szCs w:val="18"/>
              </w:rPr>
            </w:pPr>
            <w:r w:rsidRPr="001857B2">
              <w:rPr>
                <w:rFonts w:asciiTheme="majorHAnsi" w:hAnsiTheme="majorHAnsi"/>
                <w:sz w:val="18"/>
                <w:szCs w:val="18"/>
              </w:rPr>
              <w:t>Building Code of Australia</w:t>
            </w:r>
          </w:p>
        </w:tc>
      </w:tr>
      <w:tr w:rsidR="00285EDA" w:rsidRPr="001857B2" w14:paraId="404EF5BA" w14:textId="77777777" w:rsidTr="00BA3C42">
        <w:trPr>
          <w:trHeight w:val="342"/>
        </w:trPr>
        <w:tc>
          <w:tcPr>
            <w:tcW w:w="2224" w:type="dxa"/>
          </w:tcPr>
          <w:p w14:paraId="5CD27D7F" w14:textId="736442B6" w:rsidR="00285EDA" w:rsidRPr="001857B2" w:rsidRDefault="00285EDA" w:rsidP="004D4482">
            <w:pPr>
              <w:pStyle w:val="BodyText"/>
              <w:spacing w:before="60" w:after="60"/>
              <w:jc w:val="left"/>
              <w:rPr>
                <w:rFonts w:asciiTheme="majorHAnsi" w:hAnsiTheme="majorHAnsi"/>
                <w:sz w:val="18"/>
                <w:szCs w:val="18"/>
              </w:rPr>
            </w:pPr>
            <w:r w:rsidRPr="00285EDA">
              <w:rPr>
                <w:rFonts w:asciiTheme="majorHAnsi" w:hAnsiTheme="majorHAnsi"/>
                <w:sz w:val="18"/>
                <w:szCs w:val="18"/>
              </w:rPr>
              <w:t>CBBS</w:t>
            </w:r>
          </w:p>
        </w:tc>
        <w:tc>
          <w:tcPr>
            <w:tcW w:w="7489" w:type="dxa"/>
          </w:tcPr>
          <w:p w14:paraId="1225698D" w14:textId="4F6DDD16" w:rsidR="00285EDA" w:rsidRPr="001857B2" w:rsidRDefault="00285EDA" w:rsidP="004D4482">
            <w:pPr>
              <w:pStyle w:val="BodyText"/>
              <w:spacing w:before="60" w:after="60"/>
              <w:rPr>
                <w:rFonts w:asciiTheme="majorHAnsi" w:hAnsiTheme="majorHAnsi"/>
                <w:sz w:val="18"/>
                <w:szCs w:val="18"/>
              </w:rPr>
            </w:pPr>
            <w:r>
              <w:rPr>
                <w:rFonts w:asciiTheme="majorHAnsi" w:hAnsiTheme="majorHAnsi"/>
                <w:sz w:val="18"/>
                <w:szCs w:val="18"/>
              </w:rPr>
              <w:t>Commercial Building Baseline Study (DCCEE 2012b)</w:t>
            </w:r>
          </w:p>
        </w:tc>
      </w:tr>
      <w:tr w:rsidR="004D4482" w:rsidRPr="001857B2" w14:paraId="5F09D9AF" w14:textId="77777777" w:rsidTr="00BA3C42">
        <w:trPr>
          <w:trHeight w:val="342"/>
        </w:trPr>
        <w:tc>
          <w:tcPr>
            <w:tcW w:w="2224" w:type="dxa"/>
          </w:tcPr>
          <w:p w14:paraId="3BBE09B7" w14:textId="7405878B" w:rsidR="004D448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CHF</w:t>
            </w:r>
          </w:p>
        </w:tc>
        <w:tc>
          <w:tcPr>
            <w:tcW w:w="7489" w:type="dxa"/>
          </w:tcPr>
          <w:p w14:paraId="04878BC6" w14:textId="132DD1C4" w:rsidR="004D4482" w:rsidRPr="001857B2" w:rsidRDefault="001857B2" w:rsidP="004D4482">
            <w:pPr>
              <w:pStyle w:val="BodyText"/>
              <w:spacing w:before="60" w:after="60"/>
              <w:rPr>
                <w:rFonts w:asciiTheme="majorHAnsi" w:hAnsiTheme="majorHAnsi"/>
                <w:sz w:val="18"/>
                <w:szCs w:val="18"/>
              </w:rPr>
            </w:pPr>
            <w:r w:rsidRPr="001857B2">
              <w:rPr>
                <w:rFonts w:asciiTheme="majorHAnsi" w:hAnsiTheme="majorHAnsi"/>
                <w:sz w:val="18"/>
                <w:szCs w:val="18"/>
              </w:rPr>
              <w:t>Cold Hard Facts</w:t>
            </w:r>
          </w:p>
        </w:tc>
      </w:tr>
      <w:tr w:rsidR="004D4482" w:rsidRPr="001857B2" w14:paraId="62952CCA" w14:textId="77777777" w:rsidTr="00BA3C42">
        <w:trPr>
          <w:trHeight w:val="342"/>
        </w:trPr>
        <w:tc>
          <w:tcPr>
            <w:tcW w:w="2224" w:type="dxa"/>
          </w:tcPr>
          <w:p w14:paraId="16ABEAA7" w14:textId="2228A38E" w:rsidR="004D4482" w:rsidRPr="001857B2" w:rsidRDefault="004D448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CO</w:t>
            </w:r>
            <w:r w:rsidRPr="00327C26">
              <w:rPr>
                <w:rFonts w:asciiTheme="majorHAnsi" w:hAnsiTheme="majorHAnsi"/>
                <w:sz w:val="18"/>
                <w:szCs w:val="18"/>
                <w:vertAlign w:val="subscript"/>
              </w:rPr>
              <w:t>2</w:t>
            </w:r>
            <w:r w:rsidRPr="001857B2">
              <w:rPr>
                <w:rFonts w:asciiTheme="majorHAnsi" w:hAnsiTheme="majorHAnsi"/>
                <w:sz w:val="18"/>
                <w:szCs w:val="18"/>
              </w:rPr>
              <w:t>-e</w:t>
            </w:r>
          </w:p>
        </w:tc>
        <w:tc>
          <w:tcPr>
            <w:tcW w:w="7489" w:type="dxa"/>
          </w:tcPr>
          <w:p w14:paraId="5C55CC8D" w14:textId="5EFC5CAB" w:rsidR="004D4482" w:rsidRPr="001857B2" w:rsidRDefault="004D4482" w:rsidP="004D4482">
            <w:pPr>
              <w:pStyle w:val="BodyText"/>
              <w:spacing w:before="60" w:after="60"/>
              <w:rPr>
                <w:rFonts w:asciiTheme="majorHAnsi" w:hAnsiTheme="majorHAnsi"/>
                <w:sz w:val="18"/>
                <w:szCs w:val="18"/>
              </w:rPr>
            </w:pPr>
            <w:r w:rsidRPr="001857B2">
              <w:rPr>
                <w:rFonts w:asciiTheme="majorHAnsi" w:hAnsiTheme="majorHAnsi"/>
                <w:sz w:val="18"/>
                <w:szCs w:val="18"/>
              </w:rPr>
              <w:t>Carbon dioxide equivalent</w:t>
            </w:r>
          </w:p>
        </w:tc>
      </w:tr>
      <w:tr w:rsidR="004D4482" w:rsidRPr="001857B2" w14:paraId="6B3C4675" w14:textId="77777777" w:rsidTr="00BA3C42">
        <w:trPr>
          <w:trHeight w:val="342"/>
        </w:trPr>
        <w:tc>
          <w:tcPr>
            <w:tcW w:w="2224" w:type="dxa"/>
          </w:tcPr>
          <w:p w14:paraId="418415C7" w14:textId="0C1746F8" w:rsidR="004D4482" w:rsidRPr="001857B2" w:rsidRDefault="004D448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DCCEE</w:t>
            </w:r>
          </w:p>
        </w:tc>
        <w:tc>
          <w:tcPr>
            <w:tcW w:w="7489" w:type="dxa"/>
          </w:tcPr>
          <w:p w14:paraId="0344389B" w14:textId="656027A4" w:rsidR="004D4482" w:rsidRPr="001857B2" w:rsidRDefault="004D4482" w:rsidP="004D4482">
            <w:pPr>
              <w:pStyle w:val="BodyText"/>
              <w:spacing w:before="60" w:after="60"/>
              <w:rPr>
                <w:rFonts w:asciiTheme="majorHAnsi" w:hAnsiTheme="majorHAnsi"/>
                <w:sz w:val="18"/>
                <w:szCs w:val="18"/>
              </w:rPr>
            </w:pPr>
            <w:r w:rsidRPr="001857B2">
              <w:rPr>
                <w:rFonts w:asciiTheme="majorHAnsi" w:hAnsiTheme="majorHAnsi"/>
                <w:sz w:val="18"/>
                <w:szCs w:val="18"/>
              </w:rPr>
              <w:t>Department of Climate Change and Energy Efficiency</w:t>
            </w:r>
            <w:r w:rsidR="00BA3C42">
              <w:rPr>
                <w:rFonts w:asciiTheme="majorHAnsi" w:hAnsiTheme="majorHAnsi"/>
                <w:sz w:val="18"/>
                <w:szCs w:val="18"/>
              </w:rPr>
              <w:t xml:space="preserve">, now </w:t>
            </w:r>
            <w:r w:rsidR="00BA3C42" w:rsidRPr="00BA3C42">
              <w:rPr>
                <w:rFonts w:asciiTheme="majorHAnsi" w:hAnsiTheme="majorHAnsi"/>
                <w:sz w:val="18"/>
                <w:szCs w:val="18"/>
              </w:rPr>
              <w:t>Department of Resources, Energy and Tourism</w:t>
            </w:r>
            <w:r w:rsidR="00BA3C42">
              <w:rPr>
                <w:rFonts w:asciiTheme="majorHAnsi" w:hAnsiTheme="majorHAnsi"/>
                <w:sz w:val="18"/>
                <w:szCs w:val="18"/>
              </w:rPr>
              <w:t xml:space="preserve"> (DRET)</w:t>
            </w:r>
          </w:p>
        </w:tc>
      </w:tr>
      <w:tr w:rsidR="004D4482" w:rsidRPr="001857B2" w14:paraId="3916FD18" w14:textId="77777777" w:rsidTr="00BA3C42">
        <w:trPr>
          <w:trHeight w:val="342"/>
        </w:trPr>
        <w:tc>
          <w:tcPr>
            <w:tcW w:w="2224" w:type="dxa"/>
          </w:tcPr>
          <w:p w14:paraId="127C0DFA" w14:textId="5BA66C9B" w:rsidR="004D4482" w:rsidRPr="001857B2" w:rsidRDefault="005B7BFF" w:rsidP="004D4482">
            <w:pPr>
              <w:pStyle w:val="BodyText"/>
              <w:spacing w:before="60" w:after="60"/>
              <w:jc w:val="left"/>
              <w:rPr>
                <w:rFonts w:asciiTheme="majorHAnsi" w:hAnsiTheme="majorHAnsi"/>
                <w:sz w:val="18"/>
                <w:szCs w:val="18"/>
              </w:rPr>
            </w:pPr>
            <w:r>
              <w:rPr>
                <w:rFonts w:asciiTheme="majorHAnsi" w:hAnsiTheme="majorHAnsi"/>
                <w:sz w:val="18"/>
                <w:szCs w:val="18"/>
              </w:rPr>
              <w:t>DEWHA</w:t>
            </w:r>
          </w:p>
        </w:tc>
        <w:tc>
          <w:tcPr>
            <w:tcW w:w="7489" w:type="dxa"/>
          </w:tcPr>
          <w:p w14:paraId="3C30D98E" w14:textId="7BC41470" w:rsidR="004D4482" w:rsidRPr="001857B2" w:rsidRDefault="004D4482" w:rsidP="004D4482">
            <w:pPr>
              <w:pStyle w:val="BodyText"/>
              <w:spacing w:before="60" w:after="60"/>
              <w:rPr>
                <w:rFonts w:asciiTheme="majorHAnsi" w:hAnsiTheme="majorHAnsi"/>
                <w:sz w:val="18"/>
                <w:szCs w:val="18"/>
              </w:rPr>
            </w:pPr>
            <w:r w:rsidRPr="001857B2">
              <w:rPr>
                <w:rFonts w:asciiTheme="majorHAnsi" w:hAnsiTheme="majorHAnsi"/>
                <w:sz w:val="18"/>
                <w:szCs w:val="18"/>
              </w:rPr>
              <w:t xml:space="preserve">Department of Environment, Water, Heritage and the Arts </w:t>
            </w:r>
          </w:p>
        </w:tc>
      </w:tr>
      <w:tr w:rsidR="00BA3C42" w:rsidRPr="001857B2" w14:paraId="51BACE22" w14:textId="77777777" w:rsidTr="00BA3C42">
        <w:trPr>
          <w:trHeight w:val="342"/>
        </w:trPr>
        <w:tc>
          <w:tcPr>
            <w:tcW w:w="2224" w:type="dxa"/>
          </w:tcPr>
          <w:p w14:paraId="56867142" w14:textId="0682CB31" w:rsidR="00BA3C42" w:rsidRPr="001857B2" w:rsidRDefault="00BA3C42" w:rsidP="004D4482">
            <w:pPr>
              <w:pStyle w:val="BodyText"/>
              <w:spacing w:before="60" w:after="60"/>
              <w:jc w:val="left"/>
              <w:rPr>
                <w:rFonts w:asciiTheme="majorHAnsi" w:hAnsiTheme="majorHAnsi"/>
                <w:sz w:val="18"/>
                <w:szCs w:val="18"/>
              </w:rPr>
            </w:pPr>
            <w:r>
              <w:rPr>
                <w:rFonts w:asciiTheme="majorHAnsi" w:hAnsiTheme="majorHAnsi"/>
                <w:sz w:val="18"/>
                <w:szCs w:val="18"/>
              </w:rPr>
              <w:t>DSEWPaC</w:t>
            </w:r>
          </w:p>
        </w:tc>
        <w:tc>
          <w:tcPr>
            <w:tcW w:w="7489" w:type="dxa"/>
          </w:tcPr>
          <w:p w14:paraId="7EB3C5DE" w14:textId="78D21515" w:rsidR="00BA3C42" w:rsidRPr="001857B2" w:rsidRDefault="00BA3C42" w:rsidP="001857B2">
            <w:pPr>
              <w:pStyle w:val="BodyText"/>
              <w:spacing w:before="60" w:after="60"/>
              <w:rPr>
                <w:rFonts w:asciiTheme="majorHAnsi" w:hAnsiTheme="majorHAnsi"/>
                <w:sz w:val="18"/>
                <w:szCs w:val="18"/>
              </w:rPr>
            </w:pPr>
            <w:r w:rsidRPr="00BA3C42">
              <w:rPr>
                <w:rFonts w:asciiTheme="majorHAnsi" w:hAnsiTheme="majorHAnsi"/>
                <w:sz w:val="18"/>
                <w:szCs w:val="18"/>
              </w:rPr>
              <w:t>Department of Sustainability, Environment, Water, Population and Communities</w:t>
            </w:r>
          </w:p>
        </w:tc>
      </w:tr>
      <w:tr w:rsidR="004D4482" w:rsidRPr="001857B2" w14:paraId="153A2BAC" w14:textId="77777777" w:rsidTr="00BA3C42">
        <w:trPr>
          <w:trHeight w:val="342"/>
        </w:trPr>
        <w:tc>
          <w:tcPr>
            <w:tcW w:w="2224" w:type="dxa"/>
          </w:tcPr>
          <w:p w14:paraId="3A084947" w14:textId="7349D5D2" w:rsidR="004D448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EOL</w:t>
            </w:r>
          </w:p>
        </w:tc>
        <w:tc>
          <w:tcPr>
            <w:tcW w:w="7489" w:type="dxa"/>
          </w:tcPr>
          <w:p w14:paraId="6AF0069A" w14:textId="4F6A93A4" w:rsidR="004D4482" w:rsidRPr="001857B2" w:rsidRDefault="001857B2" w:rsidP="001857B2">
            <w:pPr>
              <w:pStyle w:val="BodyText"/>
              <w:spacing w:before="60" w:after="60"/>
              <w:rPr>
                <w:rFonts w:asciiTheme="majorHAnsi" w:hAnsiTheme="majorHAnsi"/>
                <w:sz w:val="18"/>
                <w:szCs w:val="18"/>
              </w:rPr>
            </w:pPr>
            <w:r w:rsidRPr="001857B2">
              <w:rPr>
                <w:rFonts w:asciiTheme="majorHAnsi" w:hAnsiTheme="majorHAnsi"/>
                <w:sz w:val="18"/>
                <w:szCs w:val="18"/>
              </w:rPr>
              <w:t>End-of-life</w:t>
            </w:r>
          </w:p>
        </w:tc>
      </w:tr>
      <w:tr w:rsidR="004D4482" w:rsidRPr="001857B2" w14:paraId="73EDC37F" w14:textId="77777777" w:rsidTr="00BA3C42">
        <w:trPr>
          <w:trHeight w:val="342"/>
        </w:trPr>
        <w:tc>
          <w:tcPr>
            <w:tcW w:w="2224" w:type="dxa"/>
          </w:tcPr>
          <w:p w14:paraId="3B4CE3AF" w14:textId="740A5D66" w:rsidR="004D4482" w:rsidRPr="001857B2" w:rsidRDefault="004D448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GHG</w:t>
            </w:r>
          </w:p>
        </w:tc>
        <w:tc>
          <w:tcPr>
            <w:tcW w:w="7489" w:type="dxa"/>
          </w:tcPr>
          <w:p w14:paraId="0FC782B3" w14:textId="2C5110F0" w:rsidR="004D4482" w:rsidRPr="001857B2" w:rsidRDefault="004D4482" w:rsidP="004D4482">
            <w:pPr>
              <w:pStyle w:val="BodyText"/>
              <w:spacing w:before="60" w:after="60"/>
              <w:rPr>
                <w:rFonts w:asciiTheme="majorHAnsi" w:hAnsiTheme="majorHAnsi"/>
                <w:sz w:val="18"/>
                <w:szCs w:val="18"/>
              </w:rPr>
            </w:pPr>
            <w:r w:rsidRPr="001857B2">
              <w:rPr>
                <w:rFonts w:asciiTheme="majorHAnsi" w:hAnsiTheme="majorHAnsi"/>
                <w:sz w:val="18"/>
                <w:szCs w:val="18"/>
              </w:rPr>
              <w:t>Greenhouse Gas</w:t>
            </w:r>
          </w:p>
        </w:tc>
      </w:tr>
      <w:tr w:rsidR="004D4482" w:rsidRPr="001857B2" w14:paraId="6FA5D63C" w14:textId="77777777" w:rsidTr="00BA3C42">
        <w:trPr>
          <w:trHeight w:val="342"/>
        </w:trPr>
        <w:tc>
          <w:tcPr>
            <w:tcW w:w="2224" w:type="dxa"/>
          </w:tcPr>
          <w:p w14:paraId="62D46E73" w14:textId="5FA1F8DA" w:rsidR="004D448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GWh</w:t>
            </w:r>
          </w:p>
        </w:tc>
        <w:tc>
          <w:tcPr>
            <w:tcW w:w="7489" w:type="dxa"/>
          </w:tcPr>
          <w:p w14:paraId="0A9E22B3" w14:textId="4CF535DB" w:rsidR="004D4482" w:rsidRPr="001857B2" w:rsidRDefault="004D4482" w:rsidP="004D4482">
            <w:pPr>
              <w:pStyle w:val="BodyText"/>
              <w:spacing w:before="60" w:after="60"/>
              <w:rPr>
                <w:rFonts w:asciiTheme="majorHAnsi" w:hAnsiTheme="majorHAnsi"/>
                <w:sz w:val="18"/>
                <w:szCs w:val="18"/>
              </w:rPr>
            </w:pPr>
            <w:r w:rsidRPr="001857B2">
              <w:rPr>
                <w:rFonts w:asciiTheme="majorHAnsi" w:hAnsiTheme="majorHAnsi"/>
                <w:sz w:val="18"/>
                <w:szCs w:val="18"/>
              </w:rPr>
              <w:t>Gigawatt hour</w:t>
            </w:r>
          </w:p>
        </w:tc>
      </w:tr>
      <w:tr w:rsidR="004D4482" w:rsidRPr="001857B2" w14:paraId="074A926C" w14:textId="77777777" w:rsidTr="00BA3C42">
        <w:trPr>
          <w:trHeight w:val="342"/>
        </w:trPr>
        <w:tc>
          <w:tcPr>
            <w:tcW w:w="2224" w:type="dxa"/>
          </w:tcPr>
          <w:p w14:paraId="231E2A5A" w14:textId="2215E0CE" w:rsidR="004D448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HVAC&amp;R</w:t>
            </w:r>
          </w:p>
        </w:tc>
        <w:tc>
          <w:tcPr>
            <w:tcW w:w="7489" w:type="dxa"/>
          </w:tcPr>
          <w:p w14:paraId="574B856D" w14:textId="0C04B80D" w:rsidR="004D4482" w:rsidRPr="001857B2" w:rsidRDefault="004D4482" w:rsidP="001857B2">
            <w:pPr>
              <w:pStyle w:val="BodyText"/>
              <w:spacing w:before="60" w:after="60"/>
              <w:rPr>
                <w:rFonts w:asciiTheme="majorHAnsi" w:hAnsiTheme="majorHAnsi"/>
                <w:sz w:val="18"/>
                <w:szCs w:val="18"/>
              </w:rPr>
            </w:pPr>
            <w:r w:rsidRPr="001857B2">
              <w:rPr>
                <w:rFonts w:asciiTheme="majorHAnsi" w:hAnsiTheme="majorHAnsi"/>
                <w:sz w:val="18"/>
                <w:szCs w:val="18"/>
              </w:rPr>
              <w:t>Heating, ventilation</w:t>
            </w:r>
            <w:r w:rsidR="001857B2" w:rsidRPr="001857B2">
              <w:rPr>
                <w:rFonts w:asciiTheme="majorHAnsi" w:hAnsiTheme="majorHAnsi"/>
                <w:sz w:val="18"/>
                <w:szCs w:val="18"/>
              </w:rPr>
              <w:t xml:space="preserve">, </w:t>
            </w:r>
            <w:r w:rsidRPr="001857B2">
              <w:rPr>
                <w:rFonts w:asciiTheme="majorHAnsi" w:hAnsiTheme="majorHAnsi"/>
                <w:sz w:val="18"/>
                <w:szCs w:val="18"/>
              </w:rPr>
              <w:t>air conditioning</w:t>
            </w:r>
            <w:r w:rsidR="001857B2" w:rsidRPr="001857B2">
              <w:rPr>
                <w:rFonts w:asciiTheme="majorHAnsi" w:hAnsiTheme="majorHAnsi"/>
                <w:sz w:val="18"/>
                <w:szCs w:val="18"/>
              </w:rPr>
              <w:t>, and refrigeration</w:t>
            </w:r>
          </w:p>
        </w:tc>
      </w:tr>
      <w:tr w:rsidR="004D4482" w:rsidRPr="001857B2" w14:paraId="3D27947F" w14:textId="77777777" w:rsidTr="00BA3C42">
        <w:trPr>
          <w:trHeight w:val="342"/>
        </w:trPr>
        <w:tc>
          <w:tcPr>
            <w:tcW w:w="2224" w:type="dxa"/>
          </w:tcPr>
          <w:p w14:paraId="1CEAC781" w14:textId="1A3A14D3" w:rsidR="004D448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IEA</w:t>
            </w:r>
          </w:p>
        </w:tc>
        <w:tc>
          <w:tcPr>
            <w:tcW w:w="7489" w:type="dxa"/>
          </w:tcPr>
          <w:p w14:paraId="75F46DDC" w14:textId="42694EF8" w:rsidR="004D4482" w:rsidRPr="001857B2" w:rsidRDefault="004D4482" w:rsidP="004D4482">
            <w:pPr>
              <w:pStyle w:val="BodyText"/>
              <w:spacing w:before="60" w:after="60"/>
              <w:rPr>
                <w:rFonts w:asciiTheme="majorHAnsi" w:hAnsiTheme="majorHAnsi"/>
                <w:sz w:val="18"/>
                <w:szCs w:val="18"/>
              </w:rPr>
            </w:pPr>
            <w:r w:rsidRPr="001857B2">
              <w:rPr>
                <w:rFonts w:asciiTheme="majorHAnsi" w:hAnsiTheme="majorHAnsi"/>
                <w:sz w:val="18"/>
                <w:szCs w:val="18"/>
              </w:rPr>
              <w:t>International Energy Agency</w:t>
            </w:r>
          </w:p>
        </w:tc>
      </w:tr>
      <w:tr w:rsidR="008814D5" w:rsidRPr="001857B2" w14:paraId="22D252CF" w14:textId="77777777" w:rsidTr="00BA3C42">
        <w:trPr>
          <w:trHeight w:val="342"/>
        </w:trPr>
        <w:tc>
          <w:tcPr>
            <w:tcW w:w="2224" w:type="dxa"/>
          </w:tcPr>
          <w:p w14:paraId="3A85E776" w14:textId="79BFA54A" w:rsidR="008814D5" w:rsidRPr="001857B2" w:rsidRDefault="008814D5" w:rsidP="004D4482">
            <w:pPr>
              <w:pStyle w:val="BodyText"/>
              <w:spacing w:before="60" w:after="60"/>
              <w:jc w:val="left"/>
              <w:rPr>
                <w:rFonts w:asciiTheme="majorHAnsi" w:hAnsiTheme="majorHAnsi"/>
                <w:sz w:val="18"/>
                <w:szCs w:val="18"/>
              </w:rPr>
            </w:pPr>
            <w:r>
              <w:rPr>
                <w:rFonts w:asciiTheme="majorHAnsi" w:hAnsiTheme="majorHAnsi"/>
                <w:sz w:val="18"/>
                <w:szCs w:val="18"/>
              </w:rPr>
              <w:t>IPCC</w:t>
            </w:r>
          </w:p>
        </w:tc>
        <w:tc>
          <w:tcPr>
            <w:tcW w:w="7489" w:type="dxa"/>
          </w:tcPr>
          <w:p w14:paraId="3E0D646C" w14:textId="200A334A" w:rsidR="008814D5" w:rsidRPr="001857B2" w:rsidRDefault="008814D5" w:rsidP="0090132C">
            <w:pPr>
              <w:pStyle w:val="BodyText"/>
              <w:spacing w:before="60" w:after="60"/>
              <w:rPr>
                <w:rFonts w:asciiTheme="majorHAnsi" w:hAnsiTheme="majorHAnsi"/>
                <w:sz w:val="18"/>
                <w:szCs w:val="18"/>
              </w:rPr>
            </w:pPr>
            <w:r>
              <w:rPr>
                <w:rFonts w:asciiTheme="majorHAnsi" w:hAnsiTheme="majorHAnsi"/>
                <w:sz w:val="18"/>
                <w:szCs w:val="18"/>
              </w:rPr>
              <w:t>Intergovernmental Panel o</w:t>
            </w:r>
            <w:r w:rsidR="0090132C">
              <w:rPr>
                <w:rFonts w:asciiTheme="majorHAnsi" w:hAnsiTheme="majorHAnsi"/>
                <w:sz w:val="18"/>
                <w:szCs w:val="18"/>
              </w:rPr>
              <w:t>n</w:t>
            </w:r>
            <w:r>
              <w:rPr>
                <w:rFonts w:asciiTheme="majorHAnsi" w:hAnsiTheme="majorHAnsi"/>
                <w:sz w:val="18"/>
                <w:szCs w:val="18"/>
              </w:rPr>
              <w:t xml:space="preserve"> Climate Change</w:t>
            </w:r>
          </w:p>
        </w:tc>
      </w:tr>
      <w:tr w:rsidR="004D4482" w:rsidRPr="001857B2" w14:paraId="59A19984" w14:textId="77777777" w:rsidTr="00BA3C42">
        <w:trPr>
          <w:trHeight w:val="342"/>
        </w:trPr>
        <w:tc>
          <w:tcPr>
            <w:tcW w:w="2224" w:type="dxa"/>
          </w:tcPr>
          <w:p w14:paraId="650E1D47" w14:textId="63D4A8F2" w:rsidR="004D448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kWh</w:t>
            </w:r>
          </w:p>
        </w:tc>
        <w:tc>
          <w:tcPr>
            <w:tcW w:w="7489" w:type="dxa"/>
          </w:tcPr>
          <w:p w14:paraId="698620B4" w14:textId="5D07488C" w:rsidR="004D4482" w:rsidRPr="001857B2" w:rsidRDefault="004D4482" w:rsidP="004D4482">
            <w:pPr>
              <w:pStyle w:val="BodyText"/>
              <w:spacing w:before="60" w:after="60"/>
              <w:rPr>
                <w:rFonts w:asciiTheme="majorHAnsi" w:hAnsiTheme="majorHAnsi"/>
                <w:sz w:val="18"/>
                <w:szCs w:val="18"/>
              </w:rPr>
            </w:pPr>
            <w:r w:rsidRPr="001857B2">
              <w:rPr>
                <w:rFonts w:asciiTheme="majorHAnsi" w:hAnsiTheme="majorHAnsi"/>
                <w:sz w:val="18"/>
                <w:szCs w:val="18"/>
              </w:rPr>
              <w:t>Kilowatt hour</w:t>
            </w:r>
          </w:p>
        </w:tc>
      </w:tr>
      <w:tr w:rsidR="004D4482" w:rsidRPr="001857B2" w14:paraId="3C494F29" w14:textId="77777777" w:rsidTr="00BA3C42">
        <w:trPr>
          <w:trHeight w:val="342"/>
        </w:trPr>
        <w:tc>
          <w:tcPr>
            <w:tcW w:w="2224" w:type="dxa"/>
          </w:tcPr>
          <w:p w14:paraId="46C3AF50" w14:textId="3DE5A74D" w:rsidR="004D4482" w:rsidRPr="001857B2" w:rsidRDefault="008C2553" w:rsidP="004D4482">
            <w:pPr>
              <w:pStyle w:val="BodyText"/>
              <w:spacing w:before="60" w:after="60"/>
              <w:jc w:val="left"/>
              <w:rPr>
                <w:rFonts w:asciiTheme="majorHAnsi" w:hAnsiTheme="majorHAnsi"/>
                <w:sz w:val="18"/>
                <w:szCs w:val="18"/>
              </w:rPr>
            </w:pPr>
            <w:r>
              <w:rPr>
                <w:rFonts w:asciiTheme="majorHAnsi" w:hAnsiTheme="majorHAnsi"/>
                <w:sz w:val="18"/>
                <w:szCs w:val="18"/>
              </w:rPr>
              <w:t>kt</w:t>
            </w:r>
          </w:p>
        </w:tc>
        <w:tc>
          <w:tcPr>
            <w:tcW w:w="7489" w:type="dxa"/>
          </w:tcPr>
          <w:p w14:paraId="5C296D0C" w14:textId="2280A5E5" w:rsidR="004D4482" w:rsidRPr="001857B2" w:rsidRDefault="004D4482" w:rsidP="004D4482">
            <w:pPr>
              <w:pStyle w:val="BodyText"/>
              <w:spacing w:before="60" w:after="60"/>
              <w:rPr>
                <w:rFonts w:asciiTheme="majorHAnsi" w:hAnsiTheme="majorHAnsi"/>
                <w:sz w:val="18"/>
                <w:szCs w:val="18"/>
              </w:rPr>
            </w:pPr>
            <w:r w:rsidRPr="001857B2">
              <w:rPr>
                <w:rFonts w:asciiTheme="majorHAnsi" w:hAnsiTheme="majorHAnsi"/>
                <w:sz w:val="18"/>
                <w:szCs w:val="18"/>
              </w:rPr>
              <w:t>Kilotonnes, or thousand tonnes</w:t>
            </w:r>
          </w:p>
        </w:tc>
      </w:tr>
      <w:tr w:rsidR="004D4482" w:rsidRPr="001857B2" w14:paraId="46398C26" w14:textId="77777777" w:rsidTr="00BA3C42">
        <w:trPr>
          <w:trHeight w:val="342"/>
        </w:trPr>
        <w:tc>
          <w:tcPr>
            <w:tcW w:w="2224" w:type="dxa"/>
          </w:tcPr>
          <w:p w14:paraId="55F40693" w14:textId="11AC4E07" w:rsidR="004D448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LPG</w:t>
            </w:r>
          </w:p>
        </w:tc>
        <w:tc>
          <w:tcPr>
            <w:tcW w:w="7489" w:type="dxa"/>
          </w:tcPr>
          <w:p w14:paraId="0DAD238D" w14:textId="3C69064D" w:rsidR="004D4482" w:rsidRPr="001857B2" w:rsidRDefault="004D4482" w:rsidP="004D4482">
            <w:pPr>
              <w:pStyle w:val="BodyText"/>
              <w:spacing w:before="60" w:after="60"/>
              <w:rPr>
                <w:rFonts w:asciiTheme="majorHAnsi" w:hAnsiTheme="majorHAnsi"/>
                <w:sz w:val="18"/>
                <w:szCs w:val="18"/>
              </w:rPr>
            </w:pPr>
            <w:r w:rsidRPr="001857B2">
              <w:rPr>
                <w:rFonts w:asciiTheme="majorHAnsi" w:hAnsiTheme="majorHAnsi"/>
                <w:sz w:val="18"/>
                <w:szCs w:val="18"/>
              </w:rPr>
              <w:t>Liquefied petroleum gas</w:t>
            </w:r>
          </w:p>
        </w:tc>
      </w:tr>
      <w:tr w:rsidR="001857B2" w:rsidRPr="001857B2" w14:paraId="3B133CEB" w14:textId="77777777" w:rsidTr="00BA3C42">
        <w:trPr>
          <w:trHeight w:val="342"/>
        </w:trPr>
        <w:tc>
          <w:tcPr>
            <w:tcW w:w="2224" w:type="dxa"/>
          </w:tcPr>
          <w:p w14:paraId="69258075" w14:textId="6C14D8F0" w:rsidR="001857B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L</w:t>
            </w:r>
          </w:p>
        </w:tc>
        <w:tc>
          <w:tcPr>
            <w:tcW w:w="7489" w:type="dxa"/>
          </w:tcPr>
          <w:p w14:paraId="5EBE06AE" w14:textId="76D359A8" w:rsidR="001857B2" w:rsidRPr="001857B2" w:rsidRDefault="001857B2" w:rsidP="004D4482">
            <w:pPr>
              <w:pStyle w:val="BodyText"/>
              <w:spacing w:before="60" w:after="60"/>
              <w:rPr>
                <w:rFonts w:asciiTheme="majorHAnsi" w:hAnsiTheme="majorHAnsi"/>
                <w:sz w:val="18"/>
                <w:szCs w:val="18"/>
              </w:rPr>
            </w:pPr>
            <w:r w:rsidRPr="001857B2">
              <w:rPr>
                <w:rFonts w:asciiTheme="majorHAnsi" w:hAnsiTheme="majorHAnsi"/>
                <w:sz w:val="18"/>
                <w:szCs w:val="18"/>
              </w:rPr>
              <w:t>Litre</w:t>
            </w:r>
          </w:p>
        </w:tc>
      </w:tr>
      <w:tr w:rsidR="004D4482" w:rsidRPr="001857B2" w14:paraId="54C52352" w14:textId="77777777" w:rsidTr="00BA3C42">
        <w:trPr>
          <w:trHeight w:val="342"/>
        </w:trPr>
        <w:tc>
          <w:tcPr>
            <w:tcW w:w="2224" w:type="dxa"/>
          </w:tcPr>
          <w:p w14:paraId="15091A6A" w14:textId="4A614BF8" w:rsidR="004D448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MEPS</w:t>
            </w:r>
          </w:p>
        </w:tc>
        <w:tc>
          <w:tcPr>
            <w:tcW w:w="7489" w:type="dxa"/>
          </w:tcPr>
          <w:p w14:paraId="19470630" w14:textId="5EEEC20B" w:rsidR="004D4482" w:rsidRPr="001857B2" w:rsidRDefault="001857B2" w:rsidP="001857B2">
            <w:pPr>
              <w:pStyle w:val="BodyText"/>
              <w:spacing w:before="60" w:after="60"/>
              <w:rPr>
                <w:rFonts w:asciiTheme="majorHAnsi" w:hAnsiTheme="majorHAnsi"/>
                <w:sz w:val="18"/>
                <w:szCs w:val="18"/>
              </w:rPr>
            </w:pPr>
            <w:r w:rsidRPr="001857B2">
              <w:rPr>
                <w:rFonts w:asciiTheme="majorHAnsi" w:hAnsiTheme="majorHAnsi"/>
                <w:sz w:val="18"/>
                <w:szCs w:val="18"/>
              </w:rPr>
              <w:t>M</w:t>
            </w:r>
            <w:r w:rsidR="004D4482" w:rsidRPr="001857B2">
              <w:rPr>
                <w:rFonts w:asciiTheme="majorHAnsi" w:hAnsiTheme="majorHAnsi"/>
                <w:sz w:val="18"/>
                <w:szCs w:val="18"/>
              </w:rPr>
              <w:t>inimum energy performance standards</w:t>
            </w:r>
          </w:p>
        </w:tc>
      </w:tr>
      <w:tr w:rsidR="001857B2" w:rsidRPr="001857B2" w14:paraId="2CF9F423" w14:textId="77777777" w:rsidTr="00BA3C42">
        <w:trPr>
          <w:trHeight w:val="342"/>
        </w:trPr>
        <w:tc>
          <w:tcPr>
            <w:tcW w:w="2224" w:type="dxa"/>
          </w:tcPr>
          <w:p w14:paraId="35A01597" w14:textId="0C179E70" w:rsidR="001857B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MAC</w:t>
            </w:r>
          </w:p>
        </w:tc>
        <w:tc>
          <w:tcPr>
            <w:tcW w:w="7489" w:type="dxa"/>
          </w:tcPr>
          <w:p w14:paraId="59690537" w14:textId="0125D940" w:rsidR="001857B2" w:rsidRPr="001857B2" w:rsidRDefault="001857B2" w:rsidP="004D4482">
            <w:pPr>
              <w:pStyle w:val="BodyText"/>
              <w:spacing w:before="60" w:after="60"/>
              <w:rPr>
                <w:rFonts w:asciiTheme="majorHAnsi" w:hAnsiTheme="majorHAnsi"/>
                <w:sz w:val="18"/>
                <w:szCs w:val="18"/>
              </w:rPr>
            </w:pPr>
            <w:r w:rsidRPr="001857B2">
              <w:rPr>
                <w:rFonts w:asciiTheme="majorHAnsi" w:hAnsiTheme="majorHAnsi"/>
                <w:sz w:val="18"/>
                <w:szCs w:val="18"/>
              </w:rPr>
              <w:t>Mobile air conditioning</w:t>
            </w:r>
          </w:p>
        </w:tc>
      </w:tr>
      <w:tr w:rsidR="004D4482" w:rsidRPr="001857B2" w14:paraId="4FC3F8CC" w14:textId="77777777" w:rsidTr="00BA3C42">
        <w:trPr>
          <w:trHeight w:val="342"/>
        </w:trPr>
        <w:tc>
          <w:tcPr>
            <w:tcW w:w="2224" w:type="dxa"/>
          </w:tcPr>
          <w:p w14:paraId="09BADED4" w14:textId="0896F784" w:rsidR="004D448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MJ</w:t>
            </w:r>
          </w:p>
        </w:tc>
        <w:tc>
          <w:tcPr>
            <w:tcW w:w="7489" w:type="dxa"/>
          </w:tcPr>
          <w:p w14:paraId="61031EDD" w14:textId="044182DE" w:rsidR="004D4482" w:rsidRPr="001857B2" w:rsidRDefault="004D4482" w:rsidP="004D4482">
            <w:pPr>
              <w:pStyle w:val="BodyText"/>
              <w:spacing w:before="60" w:after="60"/>
              <w:rPr>
                <w:rFonts w:asciiTheme="majorHAnsi" w:hAnsiTheme="majorHAnsi"/>
                <w:sz w:val="18"/>
                <w:szCs w:val="18"/>
              </w:rPr>
            </w:pPr>
            <w:r w:rsidRPr="001857B2">
              <w:rPr>
                <w:rFonts w:asciiTheme="majorHAnsi" w:hAnsiTheme="majorHAnsi"/>
                <w:sz w:val="18"/>
                <w:szCs w:val="18"/>
              </w:rPr>
              <w:t>Megajoule</w:t>
            </w:r>
          </w:p>
        </w:tc>
      </w:tr>
      <w:tr w:rsidR="004D4482" w:rsidRPr="008C2553" w14:paraId="3A5F0590" w14:textId="77777777" w:rsidTr="00BA3C42">
        <w:trPr>
          <w:trHeight w:val="342"/>
        </w:trPr>
        <w:tc>
          <w:tcPr>
            <w:tcW w:w="2224" w:type="dxa"/>
          </w:tcPr>
          <w:p w14:paraId="12B23210" w14:textId="40595383" w:rsidR="004D4482" w:rsidRPr="001857B2" w:rsidRDefault="008C2553" w:rsidP="004D4482">
            <w:pPr>
              <w:pStyle w:val="BodyText"/>
              <w:spacing w:before="60" w:after="60"/>
              <w:jc w:val="left"/>
              <w:rPr>
                <w:rFonts w:asciiTheme="majorHAnsi" w:hAnsiTheme="majorHAnsi"/>
                <w:sz w:val="18"/>
                <w:szCs w:val="18"/>
              </w:rPr>
            </w:pPr>
            <w:r>
              <w:rPr>
                <w:rFonts w:asciiTheme="majorHAnsi" w:hAnsiTheme="majorHAnsi"/>
                <w:sz w:val="18"/>
                <w:szCs w:val="18"/>
              </w:rPr>
              <w:t>Mt</w:t>
            </w:r>
          </w:p>
        </w:tc>
        <w:tc>
          <w:tcPr>
            <w:tcW w:w="7489" w:type="dxa"/>
          </w:tcPr>
          <w:p w14:paraId="59375259" w14:textId="60462CF4" w:rsidR="004D4482" w:rsidRPr="001857B2" w:rsidRDefault="004D4482" w:rsidP="004D4482">
            <w:pPr>
              <w:pStyle w:val="BodyText"/>
              <w:spacing w:before="60" w:after="60"/>
              <w:rPr>
                <w:rFonts w:asciiTheme="majorHAnsi" w:hAnsiTheme="majorHAnsi"/>
                <w:sz w:val="18"/>
                <w:szCs w:val="18"/>
              </w:rPr>
            </w:pPr>
            <w:r w:rsidRPr="001857B2">
              <w:rPr>
                <w:rFonts w:asciiTheme="majorHAnsi" w:hAnsiTheme="majorHAnsi"/>
                <w:sz w:val="18"/>
                <w:szCs w:val="18"/>
              </w:rPr>
              <w:t>Megatonne, or million tonnes</w:t>
            </w:r>
          </w:p>
        </w:tc>
      </w:tr>
      <w:tr w:rsidR="008C2553" w:rsidRPr="008C2553" w14:paraId="72D31543" w14:textId="77777777" w:rsidTr="00BA3C42">
        <w:trPr>
          <w:trHeight w:val="342"/>
        </w:trPr>
        <w:tc>
          <w:tcPr>
            <w:tcW w:w="2224" w:type="dxa"/>
          </w:tcPr>
          <w:p w14:paraId="57CF19CD" w14:textId="0B6A5A76" w:rsidR="008C2553" w:rsidRPr="001857B2" w:rsidRDefault="008C2553" w:rsidP="004D4482">
            <w:pPr>
              <w:pStyle w:val="BodyText"/>
              <w:spacing w:before="60" w:after="60"/>
              <w:jc w:val="left"/>
              <w:rPr>
                <w:rFonts w:asciiTheme="majorHAnsi" w:hAnsiTheme="majorHAnsi"/>
                <w:sz w:val="18"/>
                <w:szCs w:val="18"/>
              </w:rPr>
            </w:pPr>
            <w:r w:rsidRPr="008C2553">
              <w:rPr>
                <w:rFonts w:asciiTheme="majorHAnsi" w:hAnsiTheme="majorHAnsi"/>
                <w:sz w:val="18"/>
                <w:szCs w:val="18"/>
              </w:rPr>
              <w:t>OPSGGMA</w:t>
            </w:r>
          </w:p>
        </w:tc>
        <w:tc>
          <w:tcPr>
            <w:tcW w:w="7489" w:type="dxa"/>
          </w:tcPr>
          <w:p w14:paraId="3F1DBC71" w14:textId="2FDBECCC" w:rsidR="008C2553" w:rsidRPr="001857B2" w:rsidRDefault="008C2553" w:rsidP="00F642ED">
            <w:pPr>
              <w:pStyle w:val="BodyText"/>
              <w:spacing w:before="60" w:after="60"/>
              <w:rPr>
                <w:rFonts w:asciiTheme="majorHAnsi" w:hAnsiTheme="majorHAnsi"/>
                <w:sz w:val="18"/>
                <w:szCs w:val="18"/>
              </w:rPr>
            </w:pPr>
            <w:r w:rsidRPr="008C2553">
              <w:rPr>
                <w:rFonts w:asciiTheme="majorHAnsi" w:hAnsiTheme="majorHAnsi"/>
                <w:sz w:val="18"/>
                <w:szCs w:val="18"/>
              </w:rPr>
              <w:t>Ozone Protection and Synthetic Greenhouse Gas Management Act 19</w:t>
            </w:r>
            <w:r w:rsidR="00F642ED">
              <w:rPr>
                <w:rFonts w:asciiTheme="majorHAnsi" w:hAnsiTheme="majorHAnsi"/>
                <w:sz w:val="18"/>
                <w:szCs w:val="18"/>
              </w:rPr>
              <w:t>89</w:t>
            </w:r>
            <w:r w:rsidRPr="008C2553">
              <w:rPr>
                <w:rFonts w:asciiTheme="majorHAnsi" w:hAnsiTheme="majorHAnsi"/>
                <w:sz w:val="18"/>
                <w:szCs w:val="18"/>
              </w:rPr>
              <w:t>, including amendments.</w:t>
            </w:r>
          </w:p>
        </w:tc>
      </w:tr>
      <w:tr w:rsidR="001857B2" w:rsidRPr="001857B2" w14:paraId="752F74FE" w14:textId="77777777" w:rsidTr="00BA3C42">
        <w:trPr>
          <w:trHeight w:val="342"/>
        </w:trPr>
        <w:tc>
          <w:tcPr>
            <w:tcW w:w="2224" w:type="dxa"/>
          </w:tcPr>
          <w:p w14:paraId="2E7D85FF" w14:textId="276DC405" w:rsidR="001857B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ODS</w:t>
            </w:r>
          </w:p>
        </w:tc>
        <w:tc>
          <w:tcPr>
            <w:tcW w:w="7489" w:type="dxa"/>
          </w:tcPr>
          <w:p w14:paraId="208A5018" w14:textId="04F103F7" w:rsidR="001857B2" w:rsidRPr="001857B2" w:rsidRDefault="001857B2" w:rsidP="004D4482">
            <w:pPr>
              <w:pStyle w:val="BodyText"/>
              <w:spacing w:before="60" w:after="60"/>
              <w:rPr>
                <w:rFonts w:asciiTheme="majorHAnsi" w:hAnsiTheme="majorHAnsi"/>
                <w:sz w:val="18"/>
                <w:szCs w:val="18"/>
              </w:rPr>
            </w:pPr>
            <w:r w:rsidRPr="001857B2">
              <w:rPr>
                <w:rFonts w:asciiTheme="majorHAnsi" w:hAnsiTheme="majorHAnsi"/>
                <w:sz w:val="18"/>
                <w:szCs w:val="18"/>
              </w:rPr>
              <w:t>Ozone depleting substances</w:t>
            </w:r>
          </w:p>
        </w:tc>
      </w:tr>
      <w:tr w:rsidR="0010457D" w:rsidRPr="001857B2" w14:paraId="08C05BAF" w14:textId="77777777" w:rsidTr="00BA3C42">
        <w:trPr>
          <w:trHeight w:val="342"/>
        </w:trPr>
        <w:tc>
          <w:tcPr>
            <w:tcW w:w="2224" w:type="dxa"/>
          </w:tcPr>
          <w:p w14:paraId="673F2CA3" w14:textId="5689F9CD" w:rsidR="0010457D" w:rsidRPr="001857B2" w:rsidRDefault="0010457D" w:rsidP="004D4482">
            <w:pPr>
              <w:pStyle w:val="BodyText"/>
              <w:spacing w:before="60" w:after="60"/>
              <w:jc w:val="left"/>
              <w:rPr>
                <w:rFonts w:asciiTheme="majorHAnsi" w:hAnsiTheme="majorHAnsi"/>
                <w:sz w:val="18"/>
                <w:szCs w:val="18"/>
              </w:rPr>
            </w:pPr>
            <w:r>
              <w:rPr>
                <w:rFonts w:asciiTheme="majorHAnsi" w:hAnsiTheme="majorHAnsi"/>
                <w:sz w:val="18"/>
                <w:szCs w:val="18"/>
              </w:rPr>
              <w:t>OEM</w:t>
            </w:r>
          </w:p>
        </w:tc>
        <w:tc>
          <w:tcPr>
            <w:tcW w:w="7489" w:type="dxa"/>
          </w:tcPr>
          <w:p w14:paraId="7DA04692" w14:textId="09B3A35D" w:rsidR="0010457D" w:rsidRPr="001857B2" w:rsidRDefault="0010457D" w:rsidP="004D4482">
            <w:pPr>
              <w:pStyle w:val="BodyText"/>
              <w:spacing w:before="60" w:after="60"/>
              <w:rPr>
                <w:rFonts w:asciiTheme="majorHAnsi" w:hAnsiTheme="majorHAnsi"/>
                <w:sz w:val="18"/>
                <w:szCs w:val="18"/>
              </w:rPr>
            </w:pPr>
            <w:r>
              <w:rPr>
                <w:rFonts w:asciiTheme="majorHAnsi" w:hAnsiTheme="majorHAnsi"/>
                <w:sz w:val="18"/>
                <w:szCs w:val="18"/>
              </w:rPr>
              <w:t>Original Equipment Manufacturer</w:t>
            </w:r>
          </w:p>
        </w:tc>
      </w:tr>
      <w:tr w:rsidR="004D4482" w:rsidRPr="001857B2" w14:paraId="3DB7E7B7" w14:textId="77777777" w:rsidTr="00BA3C42">
        <w:trPr>
          <w:trHeight w:val="342"/>
        </w:trPr>
        <w:tc>
          <w:tcPr>
            <w:tcW w:w="2224" w:type="dxa"/>
          </w:tcPr>
          <w:p w14:paraId="24C3464A" w14:textId="22A23C6D" w:rsidR="004D448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PJ</w:t>
            </w:r>
          </w:p>
        </w:tc>
        <w:tc>
          <w:tcPr>
            <w:tcW w:w="7489" w:type="dxa"/>
          </w:tcPr>
          <w:p w14:paraId="726C3EF3" w14:textId="0CD8FD8C" w:rsidR="004D4482" w:rsidRPr="001857B2" w:rsidRDefault="004D4482" w:rsidP="004D4482">
            <w:pPr>
              <w:pStyle w:val="BodyText"/>
              <w:spacing w:before="60" w:after="60"/>
              <w:rPr>
                <w:rFonts w:asciiTheme="majorHAnsi" w:hAnsiTheme="majorHAnsi"/>
                <w:sz w:val="18"/>
                <w:szCs w:val="18"/>
              </w:rPr>
            </w:pPr>
            <w:r w:rsidRPr="001857B2">
              <w:rPr>
                <w:rFonts w:asciiTheme="majorHAnsi" w:hAnsiTheme="majorHAnsi"/>
                <w:sz w:val="18"/>
                <w:szCs w:val="18"/>
              </w:rPr>
              <w:t>Petajoule</w:t>
            </w:r>
          </w:p>
        </w:tc>
      </w:tr>
      <w:tr w:rsidR="001857B2" w:rsidRPr="001857B2" w14:paraId="012C8F0D" w14:textId="77777777" w:rsidTr="00BA3C42">
        <w:trPr>
          <w:trHeight w:val="342"/>
        </w:trPr>
        <w:tc>
          <w:tcPr>
            <w:tcW w:w="2224" w:type="dxa"/>
          </w:tcPr>
          <w:p w14:paraId="32907E39" w14:textId="2578A963" w:rsidR="001857B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RAC</w:t>
            </w:r>
          </w:p>
        </w:tc>
        <w:tc>
          <w:tcPr>
            <w:tcW w:w="7489" w:type="dxa"/>
          </w:tcPr>
          <w:p w14:paraId="6C472A3E" w14:textId="2106EF45" w:rsidR="001857B2" w:rsidRPr="001857B2" w:rsidRDefault="001857B2" w:rsidP="004D4482">
            <w:pPr>
              <w:pStyle w:val="BodyText"/>
              <w:spacing w:before="60" w:after="60"/>
              <w:rPr>
                <w:rFonts w:asciiTheme="majorHAnsi" w:hAnsiTheme="majorHAnsi"/>
                <w:sz w:val="18"/>
                <w:szCs w:val="18"/>
              </w:rPr>
            </w:pPr>
            <w:r w:rsidRPr="001857B2">
              <w:rPr>
                <w:rFonts w:asciiTheme="majorHAnsi" w:hAnsiTheme="majorHAnsi"/>
                <w:sz w:val="18"/>
                <w:szCs w:val="18"/>
              </w:rPr>
              <w:t>Refrigeration and air conditioning</w:t>
            </w:r>
          </w:p>
        </w:tc>
      </w:tr>
      <w:tr w:rsidR="001857B2" w:rsidRPr="001857B2" w14:paraId="3A19BC7E" w14:textId="77777777" w:rsidTr="00BA3C42">
        <w:trPr>
          <w:trHeight w:val="342"/>
        </w:trPr>
        <w:tc>
          <w:tcPr>
            <w:tcW w:w="2224" w:type="dxa"/>
          </w:tcPr>
          <w:p w14:paraId="5A339645" w14:textId="0860F6E8" w:rsidR="001857B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RCFC</w:t>
            </w:r>
          </w:p>
        </w:tc>
        <w:tc>
          <w:tcPr>
            <w:tcW w:w="7489" w:type="dxa"/>
          </w:tcPr>
          <w:p w14:paraId="0818CA68" w14:textId="73AB33BF" w:rsidR="001857B2" w:rsidRPr="001857B2" w:rsidRDefault="00B948FC" w:rsidP="004D4482">
            <w:pPr>
              <w:pStyle w:val="BodyText"/>
              <w:spacing w:before="60" w:after="60"/>
              <w:rPr>
                <w:rFonts w:asciiTheme="majorHAnsi" w:hAnsiTheme="majorHAnsi"/>
                <w:sz w:val="18"/>
                <w:szCs w:val="18"/>
              </w:rPr>
            </w:pPr>
            <w:r>
              <w:rPr>
                <w:rFonts w:asciiTheme="majorHAnsi" w:hAnsiTheme="majorHAnsi"/>
                <w:sz w:val="18"/>
                <w:szCs w:val="18"/>
              </w:rPr>
              <w:t>Refrigerated cold food chain</w:t>
            </w:r>
          </w:p>
        </w:tc>
      </w:tr>
      <w:tr w:rsidR="00974E2D" w:rsidRPr="001857B2" w14:paraId="58895A88" w14:textId="77777777" w:rsidTr="00BA3C42">
        <w:trPr>
          <w:trHeight w:val="342"/>
        </w:trPr>
        <w:tc>
          <w:tcPr>
            <w:tcW w:w="2224" w:type="dxa"/>
          </w:tcPr>
          <w:p w14:paraId="67FE1BCD" w14:textId="28630825" w:rsidR="00974E2D" w:rsidRPr="001857B2" w:rsidRDefault="00974E2D" w:rsidP="004D4482">
            <w:pPr>
              <w:pStyle w:val="BodyText"/>
              <w:spacing w:before="60" w:after="60"/>
              <w:jc w:val="left"/>
              <w:rPr>
                <w:rFonts w:asciiTheme="majorHAnsi" w:hAnsiTheme="majorHAnsi"/>
                <w:sz w:val="18"/>
                <w:szCs w:val="18"/>
              </w:rPr>
            </w:pPr>
            <w:r>
              <w:rPr>
                <w:rFonts w:asciiTheme="majorHAnsi" w:hAnsiTheme="majorHAnsi"/>
                <w:sz w:val="18"/>
                <w:szCs w:val="18"/>
              </w:rPr>
              <w:t>SEC</w:t>
            </w:r>
          </w:p>
        </w:tc>
        <w:tc>
          <w:tcPr>
            <w:tcW w:w="7489" w:type="dxa"/>
          </w:tcPr>
          <w:p w14:paraId="1A7D6B48" w14:textId="14235048" w:rsidR="00974E2D" w:rsidRPr="001857B2" w:rsidRDefault="003B7666" w:rsidP="004D4482">
            <w:pPr>
              <w:pStyle w:val="BodyText"/>
              <w:spacing w:before="60" w:after="60"/>
              <w:rPr>
                <w:rFonts w:asciiTheme="majorHAnsi" w:hAnsiTheme="majorHAnsi"/>
                <w:sz w:val="18"/>
                <w:szCs w:val="18"/>
              </w:rPr>
            </w:pPr>
            <w:r w:rsidRPr="003B7666">
              <w:rPr>
                <w:rFonts w:asciiTheme="majorHAnsi" w:hAnsiTheme="majorHAnsi"/>
                <w:sz w:val="18"/>
                <w:szCs w:val="18"/>
              </w:rPr>
              <w:t>Specific Energy Consumption</w:t>
            </w:r>
          </w:p>
        </w:tc>
      </w:tr>
      <w:tr w:rsidR="001857B2" w:rsidRPr="001857B2" w14:paraId="76038175" w14:textId="77777777" w:rsidTr="00BA3C42">
        <w:trPr>
          <w:trHeight w:val="342"/>
        </w:trPr>
        <w:tc>
          <w:tcPr>
            <w:tcW w:w="2224" w:type="dxa"/>
          </w:tcPr>
          <w:p w14:paraId="26BD9A52" w14:textId="7F8A506C" w:rsidR="001857B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SGG</w:t>
            </w:r>
          </w:p>
        </w:tc>
        <w:tc>
          <w:tcPr>
            <w:tcW w:w="7489" w:type="dxa"/>
          </w:tcPr>
          <w:p w14:paraId="52D5FACE" w14:textId="6D514588" w:rsidR="001857B2" w:rsidRPr="001857B2" w:rsidRDefault="001857B2" w:rsidP="004D4482">
            <w:pPr>
              <w:pStyle w:val="BodyText"/>
              <w:spacing w:before="60" w:after="60"/>
              <w:rPr>
                <w:rFonts w:asciiTheme="majorHAnsi" w:hAnsiTheme="majorHAnsi"/>
                <w:sz w:val="18"/>
                <w:szCs w:val="18"/>
              </w:rPr>
            </w:pPr>
            <w:r w:rsidRPr="001857B2">
              <w:rPr>
                <w:rFonts w:asciiTheme="majorHAnsi" w:hAnsiTheme="majorHAnsi"/>
                <w:sz w:val="18"/>
                <w:szCs w:val="18"/>
              </w:rPr>
              <w:t>Synthetic greenhouse gas</w:t>
            </w:r>
          </w:p>
        </w:tc>
      </w:tr>
      <w:tr w:rsidR="004D4482" w:rsidRPr="001857B2" w14:paraId="3A2500E7" w14:textId="77777777" w:rsidTr="00BA3C42">
        <w:trPr>
          <w:trHeight w:val="342"/>
        </w:trPr>
        <w:tc>
          <w:tcPr>
            <w:tcW w:w="2224" w:type="dxa"/>
          </w:tcPr>
          <w:p w14:paraId="615DD17A" w14:textId="01739680" w:rsidR="004D448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TAFE</w:t>
            </w:r>
          </w:p>
        </w:tc>
        <w:tc>
          <w:tcPr>
            <w:tcW w:w="7489" w:type="dxa"/>
          </w:tcPr>
          <w:p w14:paraId="673A142D" w14:textId="3957D43C" w:rsidR="004D4482" w:rsidRPr="001857B2" w:rsidRDefault="004D4482" w:rsidP="004D4482">
            <w:pPr>
              <w:pStyle w:val="BodyText"/>
              <w:spacing w:before="60" w:after="60"/>
              <w:rPr>
                <w:rFonts w:asciiTheme="majorHAnsi" w:hAnsiTheme="majorHAnsi"/>
                <w:sz w:val="18"/>
                <w:szCs w:val="18"/>
              </w:rPr>
            </w:pPr>
            <w:r w:rsidRPr="001857B2">
              <w:rPr>
                <w:rFonts w:asciiTheme="majorHAnsi" w:hAnsiTheme="majorHAnsi"/>
                <w:sz w:val="18"/>
                <w:szCs w:val="18"/>
              </w:rPr>
              <w:t>Technical and Further Education</w:t>
            </w:r>
          </w:p>
        </w:tc>
      </w:tr>
      <w:tr w:rsidR="004D4482" w:rsidRPr="001857B2" w14:paraId="26BA45E4" w14:textId="77777777" w:rsidTr="00BA3C42">
        <w:trPr>
          <w:trHeight w:val="342"/>
        </w:trPr>
        <w:tc>
          <w:tcPr>
            <w:tcW w:w="2224" w:type="dxa"/>
          </w:tcPr>
          <w:p w14:paraId="6BB73E4B" w14:textId="0426428F" w:rsidR="004D4482" w:rsidRPr="001857B2" w:rsidRDefault="001857B2" w:rsidP="004D4482">
            <w:pPr>
              <w:pStyle w:val="BodyText"/>
              <w:spacing w:before="60" w:after="60"/>
              <w:jc w:val="left"/>
              <w:rPr>
                <w:rFonts w:asciiTheme="majorHAnsi" w:hAnsiTheme="majorHAnsi"/>
                <w:sz w:val="18"/>
                <w:szCs w:val="18"/>
              </w:rPr>
            </w:pPr>
            <w:r w:rsidRPr="001857B2">
              <w:rPr>
                <w:rFonts w:asciiTheme="majorHAnsi" w:hAnsiTheme="majorHAnsi"/>
                <w:sz w:val="18"/>
                <w:szCs w:val="18"/>
              </w:rPr>
              <w:t>t</w:t>
            </w:r>
          </w:p>
        </w:tc>
        <w:tc>
          <w:tcPr>
            <w:tcW w:w="7489" w:type="dxa"/>
          </w:tcPr>
          <w:p w14:paraId="6FDDB01D" w14:textId="534B2FB6" w:rsidR="004D4482" w:rsidRPr="001857B2" w:rsidRDefault="005B7BFF" w:rsidP="005B7BFF">
            <w:pPr>
              <w:pStyle w:val="BodyText"/>
              <w:spacing w:before="60" w:after="60"/>
              <w:rPr>
                <w:rFonts w:asciiTheme="majorHAnsi" w:hAnsiTheme="majorHAnsi"/>
                <w:sz w:val="18"/>
                <w:szCs w:val="18"/>
              </w:rPr>
            </w:pPr>
            <w:r>
              <w:rPr>
                <w:rFonts w:asciiTheme="majorHAnsi" w:hAnsiTheme="majorHAnsi"/>
                <w:sz w:val="18"/>
                <w:szCs w:val="18"/>
              </w:rPr>
              <w:t>Metric t</w:t>
            </w:r>
            <w:r w:rsidR="001857B2" w:rsidRPr="001857B2">
              <w:rPr>
                <w:rFonts w:asciiTheme="majorHAnsi" w:hAnsiTheme="majorHAnsi"/>
                <w:sz w:val="18"/>
                <w:szCs w:val="18"/>
              </w:rPr>
              <w:t>onne</w:t>
            </w:r>
          </w:p>
        </w:tc>
      </w:tr>
      <w:tr w:rsidR="004D4482" w:rsidRPr="001857B2" w14:paraId="23BB51C0" w14:textId="77777777" w:rsidTr="00BA3C42">
        <w:trPr>
          <w:trHeight w:val="342"/>
        </w:trPr>
        <w:tc>
          <w:tcPr>
            <w:tcW w:w="2224" w:type="dxa"/>
          </w:tcPr>
          <w:p w14:paraId="330AF4F9" w14:textId="6F661016" w:rsidR="004D4482" w:rsidRPr="001857B2" w:rsidRDefault="008814D5" w:rsidP="004D4482">
            <w:pPr>
              <w:pStyle w:val="BodyText"/>
              <w:spacing w:before="60" w:after="60"/>
              <w:jc w:val="left"/>
              <w:rPr>
                <w:rFonts w:asciiTheme="majorHAnsi" w:hAnsiTheme="majorHAnsi"/>
                <w:sz w:val="18"/>
                <w:szCs w:val="18"/>
              </w:rPr>
            </w:pPr>
            <w:r w:rsidRPr="008814D5">
              <w:rPr>
                <w:rFonts w:asciiTheme="majorHAnsi" w:hAnsiTheme="majorHAnsi"/>
                <w:sz w:val="18"/>
                <w:szCs w:val="18"/>
              </w:rPr>
              <w:t>UNFCCC)</w:t>
            </w:r>
          </w:p>
        </w:tc>
        <w:tc>
          <w:tcPr>
            <w:tcW w:w="7489" w:type="dxa"/>
          </w:tcPr>
          <w:p w14:paraId="4664CA8D" w14:textId="0B3D92DC" w:rsidR="004D4482" w:rsidRPr="001857B2" w:rsidRDefault="008814D5" w:rsidP="008814D5">
            <w:pPr>
              <w:pStyle w:val="BodyText"/>
              <w:spacing w:before="60" w:after="60"/>
              <w:rPr>
                <w:rFonts w:asciiTheme="majorHAnsi" w:hAnsiTheme="majorHAnsi"/>
                <w:sz w:val="18"/>
                <w:szCs w:val="18"/>
              </w:rPr>
            </w:pPr>
            <w:r w:rsidRPr="008814D5">
              <w:rPr>
                <w:rFonts w:asciiTheme="majorHAnsi" w:hAnsiTheme="majorHAnsi"/>
                <w:sz w:val="18"/>
                <w:szCs w:val="18"/>
              </w:rPr>
              <w:t xml:space="preserve">United Nations Framework Convention on Climate Change </w:t>
            </w:r>
          </w:p>
        </w:tc>
      </w:tr>
    </w:tbl>
    <w:p w14:paraId="1BB5109A" w14:textId="1F7B9191" w:rsidR="009720C1" w:rsidRDefault="009720C1">
      <w:pPr>
        <w:spacing w:before="0"/>
        <w:jc w:val="left"/>
        <w:rPr>
          <w:rFonts w:ascii="Calibri" w:eastAsia="Times New Roman" w:hAnsi="Calibri" w:cs="Times New Roman"/>
          <w:b/>
          <w:bCs/>
          <w:kern w:val="32"/>
          <w:sz w:val="32"/>
          <w:szCs w:val="32"/>
          <w:lang w:val="en-US"/>
        </w:rPr>
      </w:pPr>
      <w:r>
        <w:br w:type="page"/>
      </w:r>
    </w:p>
    <w:p w14:paraId="0C4A9EEB" w14:textId="35C52671" w:rsidR="003937A5" w:rsidRPr="006B5B2D" w:rsidRDefault="00AF3794" w:rsidP="003937A5">
      <w:pPr>
        <w:pStyle w:val="Heading1"/>
      </w:pPr>
      <w:bookmarkStart w:id="3" w:name="_Toc233084132"/>
      <w:r>
        <w:lastRenderedPageBreak/>
        <w:t xml:space="preserve">Executive </w:t>
      </w:r>
      <w:r w:rsidR="001B0EF1">
        <w:t>s</w:t>
      </w:r>
      <w:r>
        <w:t>ummary</w:t>
      </w:r>
      <w:bookmarkEnd w:id="3"/>
    </w:p>
    <w:p w14:paraId="7103FE07" w14:textId="138F4D84" w:rsidR="00571670" w:rsidRDefault="00571670" w:rsidP="007E0901">
      <w:pPr>
        <w:rPr>
          <w:szCs w:val="22"/>
        </w:rPr>
      </w:pPr>
      <w:r>
        <w:rPr>
          <w:szCs w:val="22"/>
        </w:rPr>
        <w:t>The refrigeration and air conditioning industry is an essential part of the Australian economy. Withou</w:t>
      </w:r>
      <w:r w:rsidR="00100CBD">
        <w:rPr>
          <w:szCs w:val="22"/>
        </w:rPr>
        <w:t>t its services our major cities</w:t>
      </w:r>
      <w:r>
        <w:rPr>
          <w:szCs w:val="22"/>
        </w:rPr>
        <w:t xml:space="preserve"> and much of our agriculture, telecommunications sector and health sector would not be able to function as they presently do.</w:t>
      </w:r>
    </w:p>
    <w:p w14:paraId="64D308D1" w14:textId="230E251B" w:rsidR="007E0901" w:rsidRPr="00B92185" w:rsidRDefault="007E0901" w:rsidP="007E0901">
      <w:pPr>
        <w:rPr>
          <w:szCs w:val="22"/>
        </w:rPr>
      </w:pPr>
      <w:r w:rsidRPr="00B92185">
        <w:rPr>
          <w:szCs w:val="22"/>
        </w:rPr>
        <w:t>This report pre</w:t>
      </w:r>
      <w:r w:rsidR="0042084E" w:rsidRPr="0042084E">
        <w:rPr>
          <w:szCs w:val="22"/>
        </w:rPr>
        <w:t>sents the findings of a</w:t>
      </w:r>
      <w:r w:rsidR="00372A39">
        <w:rPr>
          <w:szCs w:val="22"/>
        </w:rPr>
        <w:t xml:space="preserve"> detailed </w:t>
      </w:r>
      <w:r w:rsidRPr="00B92185">
        <w:rPr>
          <w:szCs w:val="22"/>
        </w:rPr>
        <w:t xml:space="preserve">examination of the refrigeration and air conditioning (RAC) industry in Australia conducted in early 2013. </w:t>
      </w:r>
      <w:r w:rsidRPr="00B92185">
        <w:rPr>
          <w:i/>
          <w:szCs w:val="22"/>
        </w:rPr>
        <w:t>Cold Hard Facts 2</w:t>
      </w:r>
      <w:r w:rsidRPr="00B92185">
        <w:rPr>
          <w:szCs w:val="22"/>
        </w:rPr>
        <w:t xml:space="preserve"> (CHF2) aims to provide p</w:t>
      </w:r>
      <w:r w:rsidR="00541542" w:rsidRPr="00541542">
        <w:rPr>
          <w:szCs w:val="22"/>
        </w:rPr>
        <w:t xml:space="preserve">olicy makers, industry, and </w:t>
      </w:r>
      <w:r w:rsidRPr="00B92185">
        <w:rPr>
          <w:szCs w:val="22"/>
        </w:rPr>
        <w:t>any of the general public who may be intereste</w:t>
      </w:r>
      <w:r w:rsidR="00384D78">
        <w:rPr>
          <w:szCs w:val="22"/>
        </w:rPr>
        <w:t>d, with a broad view of the size</w:t>
      </w:r>
      <w:r w:rsidRPr="00B92185">
        <w:rPr>
          <w:szCs w:val="22"/>
        </w:rPr>
        <w:t xml:space="preserve"> and value of the industry</w:t>
      </w:r>
      <w:r w:rsidR="006A58AC">
        <w:rPr>
          <w:szCs w:val="22"/>
        </w:rPr>
        <w:t>.</w:t>
      </w:r>
      <w:r w:rsidRPr="00B92185">
        <w:rPr>
          <w:szCs w:val="22"/>
        </w:rPr>
        <w:t xml:space="preserve"> </w:t>
      </w:r>
      <w:r w:rsidR="006A58AC">
        <w:rPr>
          <w:szCs w:val="22"/>
        </w:rPr>
        <w:t xml:space="preserve">This report also </w:t>
      </w:r>
      <w:r w:rsidRPr="00B92185">
        <w:rPr>
          <w:szCs w:val="22"/>
        </w:rPr>
        <w:t>establish</w:t>
      </w:r>
      <w:r w:rsidR="006A58AC">
        <w:rPr>
          <w:szCs w:val="22"/>
        </w:rPr>
        <w:t>es</w:t>
      </w:r>
      <w:r w:rsidRPr="00B92185">
        <w:rPr>
          <w:szCs w:val="22"/>
        </w:rPr>
        <w:t xml:space="preserve"> benchmarks for the industry that can be used in future years as reference points against which to measure growth and change.</w:t>
      </w:r>
    </w:p>
    <w:p w14:paraId="080C355A" w14:textId="44E4C30F" w:rsidR="001D21D8" w:rsidRDefault="001D21D8" w:rsidP="006E461B">
      <w:pPr>
        <w:rPr>
          <w:szCs w:val="22"/>
        </w:rPr>
      </w:pPr>
      <w:r>
        <w:rPr>
          <w:szCs w:val="22"/>
        </w:rPr>
        <w:t xml:space="preserve">At the same time CHF2 provides readers with </w:t>
      </w:r>
      <w:r w:rsidR="000B5D38">
        <w:rPr>
          <w:szCs w:val="22"/>
        </w:rPr>
        <w:t xml:space="preserve">detailed </w:t>
      </w:r>
      <w:r>
        <w:rPr>
          <w:szCs w:val="22"/>
        </w:rPr>
        <w:t>insight</w:t>
      </w:r>
      <w:r w:rsidR="00654DDB">
        <w:rPr>
          <w:szCs w:val="22"/>
        </w:rPr>
        <w:t>s</w:t>
      </w:r>
      <w:r>
        <w:rPr>
          <w:szCs w:val="22"/>
        </w:rPr>
        <w:t xml:space="preserve"> into</w:t>
      </w:r>
      <w:r w:rsidR="00F87193">
        <w:rPr>
          <w:szCs w:val="22"/>
        </w:rPr>
        <w:t xml:space="preserve"> many</w:t>
      </w:r>
      <w:r>
        <w:rPr>
          <w:szCs w:val="22"/>
        </w:rPr>
        <w:t xml:space="preserve"> </w:t>
      </w:r>
      <w:r w:rsidR="006A58AC">
        <w:rPr>
          <w:szCs w:val="22"/>
        </w:rPr>
        <w:t xml:space="preserve">of the </w:t>
      </w:r>
      <w:r>
        <w:rPr>
          <w:szCs w:val="22"/>
        </w:rPr>
        <w:t xml:space="preserve">important applications of </w:t>
      </w:r>
      <w:r w:rsidR="0042084E">
        <w:rPr>
          <w:szCs w:val="22"/>
        </w:rPr>
        <w:t>RAC</w:t>
      </w:r>
      <w:r w:rsidR="00654DDB">
        <w:rPr>
          <w:szCs w:val="22"/>
        </w:rPr>
        <w:t xml:space="preserve"> systems in </w:t>
      </w:r>
      <w:r>
        <w:rPr>
          <w:szCs w:val="22"/>
        </w:rPr>
        <w:t>the Australian economy, focussed through the prism of t</w:t>
      </w:r>
      <w:r w:rsidR="00F87193">
        <w:rPr>
          <w:szCs w:val="22"/>
        </w:rPr>
        <w:t>he various forms of the technology itself</w:t>
      </w:r>
      <w:r>
        <w:rPr>
          <w:szCs w:val="22"/>
        </w:rPr>
        <w:t xml:space="preserve">. These product formats have evolved </w:t>
      </w:r>
      <w:r w:rsidR="009D41B9">
        <w:rPr>
          <w:szCs w:val="22"/>
        </w:rPr>
        <w:t>for</w:t>
      </w:r>
      <w:r>
        <w:rPr>
          <w:szCs w:val="22"/>
        </w:rPr>
        <w:t xml:space="preserve"> specific functions, often in vital industries</w:t>
      </w:r>
      <w:r w:rsidR="00FE0D9F">
        <w:rPr>
          <w:szCs w:val="22"/>
        </w:rPr>
        <w:t>. B</w:t>
      </w:r>
      <w:r w:rsidR="0042084E">
        <w:rPr>
          <w:szCs w:val="22"/>
        </w:rPr>
        <w:t xml:space="preserve">y examining these end-use applications in detail, CHF2 can be used as the starting point for new research into the value that </w:t>
      </w:r>
      <w:r w:rsidR="00654DDB">
        <w:rPr>
          <w:szCs w:val="22"/>
        </w:rPr>
        <w:t>this technology creates for</w:t>
      </w:r>
      <w:r w:rsidR="00C11025">
        <w:rPr>
          <w:szCs w:val="22"/>
        </w:rPr>
        <w:t xml:space="preserve"> end users</w:t>
      </w:r>
      <w:r w:rsidR="00FE0D9F">
        <w:rPr>
          <w:szCs w:val="22"/>
        </w:rPr>
        <w:t>, and how the</w:t>
      </w:r>
      <w:r w:rsidR="00654DDB">
        <w:rPr>
          <w:szCs w:val="22"/>
        </w:rPr>
        <w:t xml:space="preserve">se essential </w:t>
      </w:r>
      <w:r w:rsidR="00FE0D9F">
        <w:rPr>
          <w:szCs w:val="22"/>
        </w:rPr>
        <w:t>services can be delivered more efficiently</w:t>
      </w:r>
      <w:r w:rsidR="00C11025">
        <w:rPr>
          <w:szCs w:val="22"/>
        </w:rPr>
        <w:t>.</w:t>
      </w:r>
      <w:r>
        <w:rPr>
          <w:szCs w:val="22"/>
        </w:rPr>
        <w:t xml:space="preserve"> </w:t>
      </w:r>
    </w:p>
    <w:p w14:paraId="774A730E" w14:textId="060D30C1" w:rsidR="006E461B" w:rsidRPr="006E461B" w:rsidRDefault="00571670" w:rsidP="006E461B">
      <w:pPr>
        <w:rPr>
          <w:szCs w:val="22"/>
        </w:rPr>
      </w:pPr>
      <w:r>
        <w:rPr>
          <w:szCs w:val="22"/>
        </w:rPr>
        <w:t xml:space="preserve">The </w:t>
      </w:r>
      <w:r w:rsidR="006E461B" w:rsidRPr="006E461B">
        <w:rPr>
          <w:szCs w:val="22"/>
        </w:rPr>
        <w:t>most obvious responsibilit</w:t>
      </w:r>
      <w:r w:rsidR="00704889">
        <w:rPr>
          <w:szCs w:val="22"/>
        </w:rPr>
        <w:t>y</w:t>
      </w:r>
      <w:r w:rsidR="006E461B" w:rsidRPr="006E461B">
        <w:rPr>
          <w:szCs w:val="22"/>
        </w:rPr>
        <w:t xml:space="preserve"> </w:t>
      </w:r>
      <w:r>
        <w:rPr>
          <w:szCs w:val="22"/>
        </w:rPr>
        <w:t>of the industry i</w:t>
      </w:r>
      <w:r w:rsidR="00704889">
        <w:rPr>
          <w:szCs w:val="22"/>
        </w:rPr>
        <w:t>s</w:t>
      </w:r>
      <w:r w:rsidR="006E461B" w:rsidRPr="006E461B">
        <w:rPr>
          <w:szCs w:val="22"/>
        </w:rPr>
        <w:t xml:space="preserve"> the transport of</w:t>
      </w:r>
      <w:r w:rsidR="00F532C6">
        <w:rPr>
          <w:szCs w:val="22"/>
        </w:rPr>
        <w:t xml:space="preserve"> nearly</w:t>
      </w:r>
      <w:r w:rsidR="006E461B" w:rsidRPr="006E461B">
        <w:rPr>
          <w:szCs w:val="22"/>
        </w:rPr>
        <w:t xml:space="preserve"> $</w:t>
      </w:r>
      <w:r w:rsidR="00F532C6">
        <w:rPr>
          <w:szCs w:val="22"/>
        </w:rPr>
        <w:t>30</w:t>
      </w:r>
      <w:r w:rsidR="000830D7">
        <w:rPr>
          <w:szCs w:val="22"/>
        </w:rPr>
        <w:t xml:space="preserve"> </w:t>
      </w:r>
      <w:r w:rsidR="006E461B" w:rsidRPr="006E461B">
        <w:rPr>
          <w:szCs w:val="22"/>
        </w:rPr>
        <w:t xml:space="preserve">billion worth of perishable food per annum from farm to </w:t>
      </w:r>
      <w:r w:rsidR="00F642ED">
        <w:rPr>
          <w:szCs w:val="22"/>
        </w:rPr>
        <w:t>domestic refrigerator</w:t>
      </w:r>
      <w:r w:rsidR="008B7D1A">
        <w:rPr>
          <w:szCs w:val="22"/>
        </w:rPr>
        <w:t>, using</w:t>
      </w:r>
      <w:r w:rsidR="006E461B" w:rsidRPr="006E461B">
        <w:rPr>
          <w:szCs w:val="22"/>
        </w:rPr>
        <w:t xml:space="preserve"> more than 28,000 refrigerated trucks</w:t>
      </w:r>
      <w:r w:rsidR="00704889">
        <w:rPr>
          <w:szCs w:val="22"/>
        </w:rPr>
        <w:t>. It also</w:t>
      </w:r>
      <w:r w:rsidR="006E461B" w:rsidRPr="006E461B">
        <w:rPr>
          <w:szCs w:val="22"/>
        </w:rPr>
        <w:t xml:space="preserve"> provid</w:t>
      </w:r>
      <w:r w:rsidR="00704889">
        <w:rPr>
          <w:szCs w:val="22"/>
        </w:rPr>
        <w:t>es</w:t>
      </w:r>
      <w:r w:rsidR="006E461B" w:rsidRPr="006E461B">
        <w:rPr>
          <w:szCs w:val="22"/>
        </w:rPr>
        <w:t xml:space="preserve"> comfort conditions </w:t>
      </w:r>
      <w:r w:rsidR="00654DDB">
        <w:rPr>
          <w:szCs w:val="22"/>
        </w:rPr>
        <w:t>for millions of</w:t>
      </w:r>
      <w:r w:rsidR="00C907F2">
        <w:rPr>
          <w:szCs w:val="22"/>
        </w:rPr>
        <w:t xml:space="preserve"> workers and visitors </w:t>
      </w:r>
      <w:r w:rsidR="00654DDB">
        <w:rPr>
          <w:szCs w:val="22"/>
        </w:rPr>
        <w:t xml:space="preserve">in </w:t>
      </w:r>
      <w:r w:rsidR="006E461B" w:rsidRPr="006E461B">
        <w:rPr>
          <w:szCs w:val="22"/>
        </w:rPr>
        <w:t>more than 140 million square metres of non-residential buildings</w:t>
      </w:r>
      <w:r w:rsidR="00654DDB">
        <w:rPr>
          <w:szCs w:val="22"/>
        </w:rPr>
        <w:t>. It</w:t>
      </w:r>
      <w:r w:rsidR="00704889">
        <w:rPr>
          <w:szCs w:val="22"/>
        </w:rPr>
        <w:t xml:space="preserve"> maintains tightly controlled operational temperatures for the thousands of computer packed bunkers that run our telecommunications, </w:t>
      </w:r>
      <w:r w:rsidR="00F10584">
        <w:rPr>
          <w:szCs w:val="22"/>
        </w:rPr>
        <w:t>i</w:t>
      </w:r>
      <w:r w:rsidR="00087BAB">
        <w:rPr>
          <w:szCs w:val="22"/>
        </w:rPr>
        <w:t>nternet</w:t>
      </w:r>
      <w:r w:rsidR="00704889">
        <w:rPr>
          <w:szCs w:val="22"/>
        </w:rPr>
        <w:t>, banking and finance systems</w:t>
      </w:r>
      <w:r w:rsidR="006E461B" w:rsidRPr="006E461B">
        <w:rPr>
          <w:szCs w:val="22"/>
        </w:rPr>
        <w:t xml:space="preserve">. </w:t>
      </w:r>
    </w:p>
    <w:p w14:paraId="7E2CD0B3" w14:textId="6A4DF048" w:rsidR="006E461B" w:rsidRPr="006E461B" w:rsidRDefault="006E461B" w:rsidP="006E461B">
      <w:pPr>
        <w:rPr>
          <w:szCs w:val="22"/>
        </w:rPr>
      </w:pPr>
      <w:r w:rsidRPr="006E461B">
        <w:rPr>
          <w:szCs w:val="22"/>
        </w:rPr>
        <w:t>Specialised and energy intensive RAC services are</w:t>
      </w:r>
      <w:r w:rsidR="00654DDB">
        <w:rPr>
          <w:szCs w:val="22"/>
        </w:rPr>
        <w:t xml:space="preserve"> vital</w:t>
      </w:r>
      <w:r w:rsidRPr="006E461B">
        <w:rPr>
          <w:szCs w:val="22"/>
        </w:rPr>
        <w:t xml:space="preserve"> for the operation of the country’s hospitals and pharmaceutical supply lines, and are employed at essential steps in the production </w:t>
      </w:r>
      <w:r w:rsidR="00087BAB">
        <w:rPr>
          <w:szCs w:val="22"/>
        </w:rPr>
        <w:t xml:space="preserve">and delivery </w:t>
      </w:r>
      <w:r w:rsidRPr="006E461B">
        <w:rPr>
          <w:szCs w:val="22"/>
        </w:rPr>
        <w:t xml:space="preserve">of </w:t>
      </w:r>
      <w:r w:rsidR="00C907F2">
        <w:rPr>
          <w:szCs w:val="22"/>
        </w:rPr>
        <w:t xml:space="preserve">all </w:t>
      </w:r>
      <w:r w:rsidR="00087BAB">
        <w:rPr>
          <w:szCs w:val="22"/>
        </w:rPr>
        <w:t xml:space="preserve">seafood, </w:t>
      </w:r>
      <w:r w:rsidRPr="006E461B">
        <w:rPr>
          <w:szCs w:val="22"/>
        </w:rPr>
        <w:t xml:space="preserve">dairy products, </w:t>
      </w:r>
      <w:r w:rsidR="00C907F2">
        <w:rPr>
          <w:szCs w:val="22"/>
        </w:rPr>
        <w:t xml:space="preserve">meat </w:t>
      </w:r>
      <w:r w:rsidR="00087BAB">
        <w:rPr>
          <w:szCs w:val="22"/>
        </w:rPr>
        <w:t xml:space="preserve">and poultry </w:t>
      </w:r>
      <w:r w:rsidR="00C907F2">
        <w:rPr>
          <w:szCs w:val="22"/>
        </w:rPr>
        <w:t xml:space="preserve">products, </w:t>
      </w:r>
      <w:r w:rsidRPr="006E461B">
        <w:rPr>
          <w:szCs w:val="22"/>
        </w:rPr>
        <w:t xml:space="preserve">beverages, </w:t>
      </w:r>
      <w:r w:rsidR="00087BAB">
        <w:rPr>
          <w:szCs w:val="22"/>
        </w:rPr>
        <w:t>confectionary and frozen foods</w:t>
      </w:r>
      <w:r w:rsidRPr="006E461B">
        <w:rPr>
          <w:szCs w:val="22"/>
        </w:rPr>
        <w:t xml:space="preserve">. Air conditioning is now </w:t>
      </w:r>
      <w:r w:rsidR="00C907F2">
        <w:rPr>
          <w:szCs w:val="22"/>
        </w:rPr>
        <w:t>installed</w:t>
      </w:r>
      <w:r w:rsidRPr="006E461B">
        <w:rPr>
          <w:szCs w:val="22"/>
        </w:rPr>
        <w:t xml:space="preserve"> in the majority of the country’s estimated 8 million homes and</w:t>
      </w:r>
      <w:r w:rsidR="00541542">
        <w:rPr>
          <w:szCs w:val="22"/>
        </w:rPr>
        <w:t xml:space="preserve"> in</w:t>
      </w:r>
      <w:r w:rsidR="00C907F2">
        <w:rPr>
          <w:szCs w:val="22"/>
        </w:rPr>
        <w:t xml:space="preserve"> the majority of the country’s </w:t>
      </w:r>
      <w:r w:rsidR="0093777E">
        <w:rPr>
          <w:szCs w:val="22"/>
        </w:rPr>
        <w:t>16 million</w:t>
      </w:r>
      <w:r w:rsidRPr="006E461B">
        <w:rPr>
          <w:szCs w:val="22"/>
        </w:rPr>
        <w:t xml:space="preserve"> registered road vehicles.</w:t>
      </w:r>
    </w:p>
    <w:p w14:paraId="4E736A07" w14:textId="1CDF9BDB" w:rsidR="00654DDB" w:rsidRDefault="00654DDB" w:rsidP="00654DDB">
      <w:pPr>
        <w:rPr>
          <w:szCs w:val="22"/>
        </w:rPr>
      </w:pPr>
      <w:r w:rsidRPr="006E461B">
        <w:rPr>
          <w:szCs w:val="22"/>
        </w:rPr>
        <w:t>Around 173,000 people are employed in more than 20,000 businesses operating in the RAC industry. Those employees are earning approximate</w:t>
      </w:r>
      <w:r w:rsidR="00087BAB">
        <w:rPr>
          <w:szCs w:val="22"/>
        </w:rPr>
        <w:t>ly</w:t>
      </w:r>
      <w:r w:rsidRPr="006E461B">
        <w:rPr>
          <w:szCs w:val="22"/>
        </w:rPr>
        <w:t xml:space="preserve"> $13.3 billion in wages and salaries per annum. A large proportion of these wages are earned in the process of servicing the equipment</w:t>
      </w:r>
      <w:r>
        <w:rPr>
          <w:szCs w:val="22"/>
        </w:rPr>
        <w:t>,</w:t>
      </w:r>
      <w:r w:rsidRPr="006E461B">
        <w:rPr>
          <w:szCs w:val="22"/>
        </w:rPr>
        <w:t xml:space="preserve"> such as supermarket refrigeration systems, large commercial air conditioning systems and mobile air conditioning systems in vehicles. Other portions of this wages bill </w:t>
      </w:r>
      <w:r>
        <w:rPr>
          <w:szCs w:val="22"/>
        </w:rPr>
        <w:t>are earned</w:t>
      </w:r>
      <w:r w:rsidRPr="006E461B">
        <w:rPr>
          <w:szCs w:val="22"/>
        </w:rPr>
        <w:t xml:space="preserve"> driving </w:t>
      </w:r>
      <w:r>
        <w:rPr>
          <w:szCs w:val="22"/>
        </w:rPr>
        <w:t xml:space="preserve">the </w:t>
      </w:r>
      <w:r w:rsidRPr="006E461B">
        <w:rPr>
          <w:szCs w:val="22"/>
        </w:rPr>
        <w:t xml:space="preserve">refrigerated transport fleet, servicing equipment in ships, on planes, in hospitals, data centres, supermarkets, and </w:t>
      </w:r>
      <w:r>
        <w:rPr>
          <w:szCs w:val="22"/>
        </w:rPr>
        <w:t xml:space="preserve">in laboratories and </w:t>
      </w:r>
      <w:r w:rsidRPr="006E461B">
        <w:rPr>
          <w:szCs w:val="22"/>
        </w:rPr>
        <w:t>mortuaries.</w:t>
      </w:r>
    </w:p>
    <w:p w14:paraId="3CB77B44" w14:textId="35DA8DA4" w:rsidR="00654DDB" w:rsidRPr="003B7367" w:rsidRDefault="00654DDB" w:rsidP="00654DDB">
      <w:pPr>
        <w:rPr>
          <w:szCs w:val="22"/>
        </w:rPr>
      </w:pPr>
      <w:r w:rsidRPr="003B7367">
        <w:rPr>
          <w:szCs w:val="22"/>
        </w:rPr>
        <w:t xml:space="preserve">However nearly $5.9 billion was </w:t>
      </w:r>
      <w:r>
        <w:rPr>
          <w:szCs w:val="22"/>
        </w:rPr>
        <w:t xml:space="preserve">also </w:t>
      </w:r>
      <w:r w:rsidRPr="003B7367">
        <w:rPr>
          <w:szCs w:val="22"/>
        </w:rPr>
        <w:t>spent purchasing and installing new equipment in 2012</w:t>
      </w:r>
      <w:r>
        <w:rPr>
          <w:szCs w:val="22"/>
        </w:rPr>
        <w:t>,</w:t>
      </w:r>
      <w:r w:rsidRPr="003B7367">
        <w:rPr>
          <w:szCs w:val="22"/>
        </w:rPr>
        <w:t xml:space="preserve"> and a further $533 million (at 2013 prices) is estimated to have been spent on refrigerant gas. To avoid double counting expenditure, a ‘discounted wages cost’</w:t>
      </w:r>
      <w:r>
        <w:rPr>
          <w:rStyle w:val="FootnoteReference"/>
          <w:szCs w:val="22"/>
        </w:rPr>
        <w:footnoteReference w:id="1"/>
      </w:r>
      <w:r w:rsidRPr="003B7367">
        <w:rPr>
          <w:szCs w:val="22"/>
        </w:rPr>
        <w:t xml:space="preserve"> has been added to the cost of hardware purchases, gas purchases and the cost of energy consumed to arrive at an overall expenditure figure of some $26.2 billion </w:t>
      </w:r>
      <w:r w:rsidR="00F10584">
        <w:rPr>
          <w:szCs w:val="22"/>
        </w:rPr>
        <w:t>that was spent</w:t>
      </w:r>
      <w:r w:rsidR="006A58AC">
        <w:rPr>
          <w:szCs w:val="22"/>
        </w:rPr>
        <w:t xml:space="preserve"> on</w:t>
      </w:r>
      <w:r w:rsidRPr="003B7367">
        <w:rPr>
          <w:szCs w:val="22"/>
        </w:rPr>
        <w:t xml:space="preserve"> RAC </w:t>
      </w:r>
      <w:r w:rsidR="00F10584">
        <w:rPr>
          <w:szCs w:val="22"/>
        </w:rPr>
        <w:t>equipment and services</w:t>
      </w:r>
      <w:r w:rsidRPr="003B7367">
        <w:rPr>
          <w:szCs w:val="22"/>
        </w:rPr>
        <w:t xml:space="preserve"> in 2012. </w:t>
      </w:r>
    </w:p>
    <w:p w14:paraId="6600A8AE" w14:textId="77777777" w:rsidR="00654DDB" w:rsidRDefault="00654DDB" w:rsidP="00654DDB"/>
    <w:p w14:paraId="31E5B3A6" w14:textId="77777777" w:rsidR="00C97391" w:rsidRDefault="00C97391">
      <w:pPr>
        <w:spacing w:before="0"/>
        <w:jc w:val="left"/>
        <w:rPr>
          <w:i/>
          <w:szCs w:val="22"/>
        </w:rPr>
      </w:pPr>
      <w:r>
        <w:rPr>
          <w:i/>
          <w:szCs w:val="22"/>
        </w:rPr>
        <w:br w:type="page"/>
      </w:r>
    </w:p>
    <w:p w14:paraId="42541844" w14:textId="59E14375" w:rsidR="00654DDB" w:rsidRPr="005E5BAD" w:rsidRDefault="00654DDB" w:rsidP="00654DDB">
      <w:pPr>
        <w:rPr>
          <w:i/>
          <w:szCs w:val="22"/>
        </w:rPr>
      </w:pPr>
      <w:bookmarkStart w:id="4" w:name="_Toc233084045"/>
      <w:r w:rsidRPr="005E5BAD">
        <w:rPr>
          <w:i/>
          <w:szCs w:val="22"/>
        </w:rPr>
        <w:lastRenderedPageBreak/>
        <w:t xml:space="preserve">Table </w:t>
      </w:r>
      <w:r w:rsidRPr="005E5BAD">
        <w:rPr>
          <w:i/>
          <w:szCs w:val="22"/>
        </w:rPr>
        <w:fldChar w:fldCharType="begin"/>
      </w:r>
      <w:r w:rsidRPr="005E5BAD">
        <w:rPr>
          <w:i/>
          <w:szCs w:val="22"/>
        </w:rPr>
        <w:instrText xml:space="preserve"> SEQ Table \* ARABIC </w:instrText>
      </w:r>
      <w:r w:rsidRPr="005E5BAD">
        <w:rPr>
          <w:i/>
          <w:szCs w:val="22"/>
        </w:rPr>
        <w:fldChar w:fldCharType="separate"/>
      </w:r>
      <w:r w:rsidR="00196462">
        <w:rPr>
          <w:i/>
          <w:noProof/>
          <w:szCs w:val="22"/>
        </w:rPr>
        <w:t>1</w:t>
      </w:r>
      <w:r w:rsidRPr="005E5BAD">
        <w:rPr>
          <w:i/>
          <w:szCs w:val="22"/>
        </w:rPr>
        <w:fldChar w:fldCharType="end"/>
      </w:r>
      <w:r w:rsidRPr="005E5BAD">
        <w:rPr>
          <w:i/>
          <w:szCs w:val="22"/>
        </w:rPr>
        <w:t xml:space="preserve">: Main </w:t>
      </w:r>
      <w:r>
        <w:rPr>
          <w:i/>
          <w:szCs w:val="22"/>
        </w:rPr>
        <w:t>e</w:t>
      </w:r>
      <w:r w:rsidRPr="005E5BAD">
        <w:rPr>
          <w:i/>
          <w:szCs w:val="22"/>
        </w:rPr>
        <w:t xml:space="preserve">conomic </w:t>
      </w:r>
      <w:r>
        <w:rPr>
          <w:i/>
          <w:szCs w:val="22"/>
        </w:rPr>
        <w:t>i</w:t>
      </w:r>
      <w:r w:rsidRPr="005E5BAD">
        <w:rPr>
          <w:i/>
          <w:szCs w:val="22"/>
        </w:rPr>
        <w:t xml:space="preserve">ndicators of RAC </w:t>
      </w:r>
      <w:r>
        <w:rPr>
          <w:i/>
          <w:szCs w:val="22"/>
        </w:rPr>
        <w:t>i</w:t>
      </w:r>
      <w:r w:rsidRPr="005E5BAD">
        <w:rPr>
          <w:i/>
          <w:szCs w:val="22"/>
        </w:rPr>
        <w:t>ndustry activity 2012</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2778"/>
      </w:tblGrid>
      <w:tr w:rsidR="00654DDB" w:rsidRPr="00923150" w14:paraId="5D156C27" w14:textId="77777777" w:rsidTr="006D0D5C">
        <w:trPr>
          <w:trHeight w:val="684"/>
        </w:trPr>
        <w:tc>
          <w:tcPr>
            <w:tcW w:w="3686" w:type="dxa"/>
            <w:tcBorders>
              <w:top w:val="single" w:sz="8" w:space="0" w:color="auto"/>
              <w:left w:val="single" w:sz="8" w:space="0" w:color="auto"/>
              <w:bottom w:val="single" w:sz="8" w:space="0" w:color="auto"/>
              <w:right w:val="single" w:sz="4" w:space="0" w:color="FFFFFF"/>
            </w:tcBorders>
            <w:shd w:val="clear" w:color="auto" w:fill="000000"/>
            <w:vAlign w:val="center"/>
          </w:tcPr>
          <w:p w14:paraId="2F33C89D" w14:textId="77777777" w:rsidR="00654DDB" w:rsidRPr="00923150" w:rsidRDefault="00654DDB" w:rsidP="0049008B">
            <w:pPr>
              <w:spacing w:after="120"/>
              <w:ind w:left="284"/>
            </w:pPr>
            <w:r>
              <w:t>Expenditure categories</w:t>
            </w:r>
          </w:p>
        </w:tc>
        <w:tc>
          <w:tcPr>
            <w:tcW w:w="2778" w:type="dxa"/>
            <w:tcBorders>
              <w:top w:val="single" w:sz="8" w:space="0" w:color="auto"/>
              <w:left w:val="single" w:sz="4" w:space="0" w:color="FFFFFF"/>
              <w:bottom w:val="single" w:sz="8" w:space="0" w:color="auto"/>
              <w:right w:val="single" w:sz="8" w:space="0" w:color="auto"/>
            </w:tcBorders>
            <w:shd w:val="clear" w:color="auto" w:fill="000000"/>
            <w:vAlign w:val="center"/>
          </w:tcPr>
          <w:p w14:paraId="70A3F5B1" w14:textId="77777777" w:rsidR="00654DDB" w:rsidRPr="00923150" w:rsidRDefault="00654DDB" w:rsidP="0049008B">
            <w:pPr>
              <w:spacing w:after="120"/>
              <w:jc w:val="center"/>
            </w:pPr>
            <w:r>
              <w:t>Economic spend                  ($ Billion)</w:t>
            </w:r>
          </w:p>
        </w:tc>
      </w:tr>
      <w:tr w:rsidR="00654DDB" w:rsidRPr="00923150" w14:paraId="00FA4F1D" w14:textId="77777777" w:rsidTr="0049008B">
        <w:trPr>
          <w:trHeight w:val="456"/>
        </w:trPr>
        <w:tc>
          <w:tcPr>
            <w:tcW w:w="3686" w:type="dxa"/>
            <w:tcBorders>
              <w:top w:val="single" w:sz="8" w:space="0" w:color="auto"/>
            </w:tcBorders>
            <w:vAlign w:val="center"/>
          </w:tcPr>
          <w:p w14:paraId="19E300BE" w14:textId="77777777" w:rsidR="00654DDB" w:rsidRPr="00923150" w:rsidRDefault="00654DDB" w:rsidP="0049008B">
            <w:pPr>
              <w:spacing w:before="60" w:after="60"/>
              <w:ind w:left="284"/>
              <w:rPr>
                <w:sz w:val="20"/>
              </w:rPr>
            </w:pPr>
            <w:r w:rsidRPr="00D8757D">
              <w:t xml:space="preserve">New </w:t>
            </w:r>
            <w:r>
              <w:t>h</w:t>
            </w:r>
            <w:r w:rsidRPr="00D8757D">
              <w:t xml:space="preserve">ardware </w:t>
            </w:r>
            <w:r>
              <w:t>c</w:t>
            </w:r>
            <w:r w:rsidRPr="00D8757D">
              <w:t xml:space="preserve">osts </w:t>
            </w:r>
            <w:r>
              <w:t>i</w:t>
            </w:r>
            <w:r w:rsidRPr="00D8757D">
              <w:t>nstalled</w:t>
            </w:r>
          </w:p>
        </w:tc>
        <w:tc>
          <w:tcPr>
            <w:tcW w:w="2778" w:type="dxa"/>
            <w:tcBorders>
              <w:top w:val="single" w:sz="8" w:space="0" w:color="auto"/>
            </w:tcBorders>
            <w:vAlign w:val="center"/>
          </w:tcPr>
          <w:p w14:paraId="34A03411" w14:textId="77777777" w:rsidR="00654DDB" w:rsidRPr="00923150" w:rsidRDefault="00654DDB" w:rsidP="0049008B">
            <w:pPr>
              <w:spacing w:before="60" w:after="60"/>
              <w:jc w:val="center"/>
              <w:rPr>
                <w:sz w:val="20"/>
              </w:rPr>
            </w:pPr>
            <w:r w:rsidRPr="00D8757D">
              <w:t>$5.896</w:t>
            </w:r>
          </w:p>
        </w:tc>
      </w:tr>
      <w:tr w:rsidR="00654DDB" w:rsidRPr="00923150" w14:paraId="767526F7" w14:textId="77777777" w:rsidTr="0049008B">
        <w:trPr>
          <w:trHeight w:val="456"/>
        </w:trPr>
        <w:tc>
          <w:tcPr>
            <w:tcW w:w="3686" w:type="dxa"/>
            <w:vAlign w:val="center"/>
          </w:tcPr>
          <w:p w14:paraId="1DB9C455" w14:textId="77777777" w:rsidR="00654DDB" w:rsidRDefault="00654DDB" w:rsidP="0049008B">
            <w:pPr>
              <w:spacing w:before="60" w:after="60"/>
              <w:ind w:left="284"/>
              <w:rPr>
                <w:sz w:val="20"/>
              </w:rPr>
            </w:pPr>
            <w:r w:rsidRPr="00D8757D">
              <w:t xml:space="preserve">Annual </w:t>
            </w:r>
            <w:r>
              <w:t>r</w:t>
            </w:r>
            <w:r w:rsidRPr="00D8757D">
              <w:t xml:space="preserve">efrigerant </w:t>
            </w:r>
            <w:r>
              <w:t>g</w:t>
            </w:r>
            <w:r w:rsidRPr="00D8757D">
              <w:t xml:space="preserve">as </w:t>
            </w:r>
            <w:r>
              <w:t>c</w:t>
            </w:r>
            <w:r w:rsidRPr="00D8757D">
              <w:t xml:space="preserve">ost </w:t>
            </w:r>
          </w:p>
        </w:tc>
        <w:tc>
          <w:tcPr>
            <w:tcW w:w="2778" w:type="dxa"/>
            <w:vAlign w:val="center"/>
          </w:tcPr>
          <w:p w14:paraId="7AADBE94" w14:textId="77777777" w:rsidR="00654DDB" w:rsidRDefault="00654DDB" w:rsidP="0049008B">
            <w:pPr>
              <w:spacing w:before="60" w:after="60"/>
              <w:jc w:val="center"/>
              <w:rPr>
                <w:sz w:val="20"/>
              </w:rPr>
            </w:pPr>
            <w:r w:rsidRPr="00D8757D">
              <w:t>$0.535</w:t>
            </w:r>
          </w:p>
        </w:tc>
      </w:tr>
      <w:tr w:rsidR="00654DDB" w:rsidRPr="00923150" w14:paraId="6766B914" w14:textId="77777777" w:rsidTr="0049008B">
        <w:trPr>
          <w:trHeight w:val="456"/>
        </w:trPr>
        <w:tc>
          <w:tcPr>
            <w:tcW w:w="3686" w:type="dxa"/>
            <w:vAlign w:val="center"/>
          </w:tcPr>
          <w:p w14:paraId="0764C93F" w14:textId="77777777" w:rsidR="00654DDB" w:rsidRDefault="00654DDB" w:rsidP="0049008B">
            <w:pPr>
              <w:spacing w:before="60" w:after="60"/>
              <w:ind w:left="284"/>
              <w:rPr>
                <w:sz w:val="20"/>
              </w:rPr>
            </w:pPr>
            <w:r w:rsidRPr="00D8757D">
              <w:t xml:space="preserve">Energy </w:t>
            </w:r>
            <w:r>
              <w:t>c</w:t>
            </w:r>
            <w:r w:rsidRPr="00D8757D">
              <w:t>ost</w:t>
            </w:r>
          </w:p>
        </w:tc>
        <w:tc>
          <w:tcPr>
            <w:tcW w:w="2778" w:type="dxa"/>
            <w:vAlign w:val="center"/>
          </w:tcPr>
          <w:p w14:paraId="40891E93" w14:textId="77777777" w:rsidR="00654DDB" w:rsidRDefault="00654DDB" w:rsidP="0049008B">
            <w:pPr>
              <w:spacing w:before="60" w:after="60"/>
              <w:jc w:val="center"/>
              <w:rPr>
                <w:sz w:val="20"/>
              </w:rPr>
            </w:pPr>
            <w:r w:rsidRPr="00D8757D">
              <w:t>$14.061</w:t>
            </w:r>
          </w:p>
        </w:tc>
      </w:tr>
      <w:tr w:rsidR="00654DDB" w:rsidRPr="00923150" w14:paraId="579A597D" w14:textId="77777777" w:rsidTr="0049008B">
        <w:trPr>
          <w:trHeight w:val="456"/>
        </w:trPr>
        <w:tc>
          <w:tcPr>
            <w:tcW w:w="3686" w:type="dxa"/>
            <w:tcBorders>
              <w:bottom w:val="double" w:sz="4" w:space="0" w:color="auto"/>
            </w:tcBorders>
            <w:vAlign w:val="center"/>
          </w:tcPr>
          <w:p w14:paraId="6AD71FA3" w14:textId="77777777" w:rsidR="00654DDB" w:rsidRPr="00923150" w:rsidRDefault="00654DDB" w:rsidP="0049008B">
            <w:pPr>
              <w:spacing w:before="60" w:after="60"/>
              <w:ind w:left="284"/>
              <w:rPr>
                <w:sz w:val="20"/>
              </w:rPr>
            </w:pPr>
            <w:r w:rsidRPr="00D8757D">
              <w:t xml:space="preserve">Discounted </w:t>
            </w:r>
            <w:r>
              <w:t>w</w:t>
            </w:r>
            <w:r w:rsidRPr="00D8757D">
              <w:t xml:space="preserve">ages </w:t>
            </w:r>
            <w:r>
              <w:t>c</w:t>
            </w:r>
            <w:r w:rsidRPr="00D8757D">
              <w:t>ost</w:t>
            </w:r>
          </w:p>
        </w:tc>
        <w:tc>
          <w:tcPr>
            <w:tcW w:w="2778" w:type="dxa"/>
            <w:tcBorders>
              <w:bottom w:val="double" w:sz="4" w:space="0" w:color="auto"/>
            </w:tcBorders>
            <w:vAlign w:val="center"/>
          </w:tcPr>
          <w:p w14:paraId="59E59538" w14:textId="77777777" w:rsidR="00654DDB" w:rsidRPr="00923150" w:rsidRDefault="00654DDB" w:rsidP="0049008B">
            <w:pPr>
              <w:spacing w:before="60" w:after="60"/>
              <w:jc w:val="center"/>
              <w:rPr>
                <w:sz w:val="20"/>
              </w:rPr>
            </w:pPr>
            <w:r w:rsidRPr="00D8757D">
              <w:t>$5.743</w:t>
            </w:r>
          </w:p>
        </w:tc>
      </w:tr>
      <w:tr w:rsidR="00654DDB" w:rsidRPr="00923150" w14:paraId="53A3001B" w14:textId="77777777" w:rsidTr="0049008B">
        <w:trPr>
          <w:trHeight w:val="456"/>
        </w:trPr>
        <w:tc>
          <w:tcPr>
            <w:tcW w:w="3686" w:type="dxa"/>
            <w:tcBorders>
              <w:top w:val="double" w:sz="4" w:space="0" w:color="auto"/>
            </w:tcBorders>
            <w:vAlign w:val="center"/>
          </w:tcPr>
          <w:p w14:paraId="5767E993" w14:textId="77777777" w:rsidR="00654DDB" w:rsidRPr="00923150" w:rsidRDefault="00654DDB" w:rsidP="0049008B">
            <w:pPr>
              <w:spacing w:before="60" w:after="60"/>
              <w:ind w:left="284"/>
              <w:rPr>
                <w:sz w:val="20"/>
              </w:rPr>
            </w:pPr>
            <w:r w:rsidRPr="00D8757D">
              <w:t xml:space="preserve">Total </w:t>
            </w:r>
            <w:r>
              <w:t>s</w:t>
            </w:r>
            <w:r w:rsidRPr="00D8757D">
              <w:t>pend</w:t>
            </w:r>
          </w:p>
        </w:tc>
        <w:tc>
          <w:tcPr>
            <w:tcW w:w="2778" w:type="dxa"/>
            <w:tcBorders>
              <w:top w:val="double" w:sz="4" w:space="0" w:color="auto"/>
            </w:tcBorders>
            <w:vAlign w:val="center"/>
          </w:tcPr>
          <w:p w14:paraId="48788C16" w14:textId="77777777" w:rsidR="00654DDB" w:rsidRPr="00923150" w:rsidRDefault="00654DDB" w:rsidP="0049008B">
            <w:pPr>
              <w:spacing w:before="60" w:after="60"/>
              <w:jc w:val="center"/>
              <w:rPr>
                <w:sz w:val="20"/>
              </w:rPr>
            </w:pPr>
            <w:r w:rsidRPr="00D8757D">
              <w:t>$26.235</w:t>
            </w:r>
          </w:p>
        </w:tc>
      </w:tr>
    </w:tbl>
    <w:p w14:paraId="184F6388" w14:textId="51510B46" w:rsidR="006E461B" w:rsidRPr="006E461B" w:rsidRDefault="006E461B" w:rsidP="00C97391">
      <w:pPr>
        <w:spacing w:before="240"/>
        <w:rPr>
          <w:szCs w:val="22"/>
        </w:rPr>
      </w:pPr>
      <w:r w:rsidRPr="006E461B">
        <w:rPr>
          <w:szCs w:val="22"/>
        </w:rPr>
        <w:t xml:space="preserve">As well as being vital </w:t>
      </w:r>
      <w:r w:rsidR="00F10584">
        <w:rPr>
          <w:szCs w:val="22"/>
        </w:rPr>
        <w:t>to</w:t>
      </w:r>
      <w:r w:rsidRPr="006E461B">
        <w:rPr>
          <w:szCs w:val="22"/>
        </w:rPr>
        <w:t xml:space="preserve"> the delivery of fresh food and </w:t>
      </w:r>
      <w:r w:rsidR="00541542">
        <w:rPr>
          <w:szCs w:val="22"/>
        </w:rPr>
        <w:t xml:space="preserve">in the </w:t>
      </w:r>
      <w:r w:rsidRPr="006E461B">
        <w:rPr>
          <w:szCs w:val="22"/>
        </w:rPr>
        <w:t>operation of our cities and industries, RAC technology</w:t>
      </w:r>
      <w:r w:rsidR="00521910">
        <w:rPr>
          <w:szCs w:val="22"/>
        </w:rPr>
        <w:t xml:space="preserve"> in all its forms</w:t>
      </w:r>
      <w:r w:rsidRPr="006E461B">
        <w:rPr>
          <w:szCs w:val="22"/>
        </w:rPr>
        <w:t xml:space="preserve"> is the single largest electricity consuming class of technology in Australia. </w:t>
      </w:r>
      <w:r>
        <w:rPr>
          <w:szCs w:val="22"/>
        </w:rPr>
        <w:t>There are m</w:t>
      </w:r>
      <w:r w:rsidRPr="006E461B">
        <w:rPr>
          <w:szCs w:val="22"/>
        </w:rPr>
        <w:t xml:space="preserve">ore than 45 million individual pieces of RAC equipment </w:t>
      </w:r>
      <w:r w:rsidR="00482FCD">
        <w:rPr>
          <w:szCs w:val="22"/>
        </w:rPr>
        <w:t>operat</w:t>
      </w:r>
      <w:r w:rsidRPr="006E461B">
        <w:rPr>
          <w:szCs w:val="22"/>
        </w:rPr>
        <w:t xml:space="preserve">ing in Australia </w:t>
      </w:r>
      <w:r>
        <w:rPr>
          <w:szCs w:val="22"/>
        </w:rPr>
        <w:t xml:space="preserve">that </w:t>
      </w:r>
      <w:r w:rsidRPr="006E461B">
        <w:rPr>
          <w:szCs w:val="22"/>
        </w:rPr>
        <w:t xml:space="preserve">consumed more than </w:t>
      </w:r>
      <w:r w:rsidR="00541542">
        <w:rPr>
          <w:szCs w:val="22"/>
        </w:rPr>
        <w:t xml:space="preserve">an estimated </w:t>
      </w:r>
      <w:r w:rsidRPr="006E461B">
        <w:rPr>
          <w:szCs w:val="22"/>
        </w:rPr>
        <w:t>59,000 GWh o</w:t>
      </w:r>
      <w:r>
        <w:rPr>
          <w:szCs w:val="22"/>
        </w:rPr>
        <w:t>f</w:t>
      </w:r>
      <w:r w:rsidRPr="006E461B">
        <w:rPr>
          <w:szCs w:val="22"/>
        </w:rPr>
        <w:t xml:space="preserve"> electricity in 2012, equivalent to more than 22 per cent of all electricity used in Australia that year. Owners of RAC equipment spent an estimated $14 billion dollars to pay for th</w:t>
      </w:r>
      <w:r w:rsidR="00482FCD">
        <w:rPr>
          <w:szCs w:val="22"/>
        </w:rPr>
        <w:t>at</w:t>
      </w:r>
      <w:r w:rsidRPr="006E461B">
        <w:rPr>
          <w:szCs w:val="22"/>
        </w:rPr>
        <w:t xml:space="preserve"> electricity.</w:t>
      </w:r>
    </w:p>
    <w:p w14:paraId="38AA1FAA" w14:textId="47ECE512" w:rsidR="006E461B" w:rsidRPr="006E461B" w:rsidRDefault="006E461B" w:rsidP="006E461B">
      <w:pPr>
        <w:rPr>
          <w:szCs w:val="22"/>
        </w:rPr>
      </w:pPr>
      <w:r w:rsidRPr="006E461B">
        <w:rPr>
          <w:szCs w:val="22"/>
        </w:rPr>
        <w:t>This vast stock of equipment, from small portable refrigerators and air conditioners to enormous commercial chillers and refrigeration plants, employ a bank of more than 43,000 tonnes of synthetic</w:t>
      </w:r>
      <w:r w:rsidR="00087BAB">
        <w:rPr>
          <w:szCs w:val="22"/>
        </w:rPr>
        <w:t xml:space="preserve"> </w:t>
      </w:r>
      <w:r w:rsidRPr="006E461B">
        <w:rPr>
          <w:szCs w:val="22"/>
        </w:rPr>
        <w:t>refrigerant gases</w:t>
      </w:r>
      <w:r w:rsidR="00541542">
        <w:rPr>
          <w:szCs w:val="22"/>
        </w:rPr>
        <w:t>,</w:t>
      </w:r>
      <w:r w:rsidRPr="006E461B">
        <w:rPr>
          <w:szCs w:val="22"/>
        </w:rPr>
        <w:t xml:space="preserve"> </w:t>
      </w:r>
      <w:r w:rsidR="00541542">
        <w:rPr>
          <w:szCs w:val="22"/>
        </w:rPr>
        <w:t>which have high greenhouse warming potential (GWP) and</w:t>
      </w:r>
      <w:r w:rsidRPr="006E461B">
        <w:rPr>
          <w:szCs w:val="22"/>
        </w:rPr>
        <w:t xml:space="preserve"> a current replacement value of around $5.8 billion.</w:t>
      </w:r>
      <w:r w:rsidR="002837D8">
        <w:rPr>
          <w:rStyle w:val="FootnoteReference"/>
          <w:szCs w:val="22"/>
        </w:rPr>
        <w:footnoteReference w:id="2"/>
      </w:r>
      <w:r w:rsidRPr="006E461B">
        <w:rPr>
          <w:szCs w:val="22"/>
        </w:rPr>
        <w:t xml:space="preserve"> More than 4,800 tonnes of low GWP refrigerants are also fo</w:t>
      </w:r>
      <w:bookmarkStart w:id="5" w:name="_GoBack"/>
      <w:bookmarkEnd w:id="5"/>
      <w:r w:rsidRPr="006E461B">
        <w:rPr>
          <w:szCs w:val="22"/>
        </w:rPr>
        <w:t xml:space="preserve">und working in major refrigeration plants, </w:t>
      </w:r>
      <w:r w:rsidR="002837D8">
        <w:rPr>
          <w:szCs w:val="22"/>
        </w:rPr>
        <w:t xml:space="preserve">most cold storage distribution facilities, </w:t>
      </w:r>
      <w:r w:rsidR="00521910">
        <w:rPr>
          <w:szCs w:val="22"/>
        </w:rPr>
        <w:t xml:space="preserve">in </w:t>
      </w:r>
      <w:r w:rsidRPr="006E461B">
        <w:rPr>
          <w:szCs w:val="22"/>
        </w:rPr>
        <w:t>more than a million registered road vehicles</w:t>
      </w:r>
      <w:r w:rsidR="00521910">
        <w:rPr>
          <w:szCs w:val="22"/>
        </w:rPr>
        <w:t xml:space="preserve">, </w:t>
      </w:r>
      <w:r w:rsidR="002837D8">
        <w:rPr>
          <w:szCs w:val="22"/>
        </w:rPr>
        <w:t xml:space="preserve">and an increasing number of </w:t>
      </w:r>
      <w:r w:rsidRPr="006E461B">
        <w:rPr>
          <w:szCs w:val="22"/>
        </w:rPr>
        <w:t xml:space="preserve">supermarket </w:t>
      </w:r>
      <w:r w:rsidR="00521910">
        <w:rPr>
          <w:szCs w:val="22"/>
        </w:rPr>
        <w:t xml:space="preserve">refrigeration </w:t>
      </w:r>
      <w:r w:rsidRPr="006E461B">
        <w:rPr>
          <w:szCs w:val="22"/>
        </w:rPr>
        <w:t>systems</w:t>
      </w:r>
      <w:r w:rsidR="002837D8">
        <w:rPr>
          <w:szCs w:val="22"/>
        </w:rPr>
        <w:t xml:space="preserve"> and domestic refrigerators.</w:t>
      </w:r>
    </w:p>
    <w:p w14:paraId="718D8CA1" w14:textId="77CDC194" w:rsidR="006E461B" w:rsidRPr="006E461B" w:rsidRDefault="006E461B" w:rsidP="006E461B">
      <w:pPr>
        <w:rPr>
          <w:szCs w:val="22"/>
        </w:rPr>
      </w:pPr>
      <w:r w:rsidRPr="006E461B">
        <w:rPr>
          <w:szCs w:val="22"/>
        </w:rPr>
        <w:t xml:space="preserve">As a result of the </w:t>
      </w:r>
      <w:r w:rsidR="00F10584">
        <w:rPr>
          <w:szCs w:val="22"/>
        </w:rPr>
        <w:t>huge quantity of electricity</w:t>
      </w:r>
      <w:r w:rsidRPr="006E461B">
        <w:rPr>
          <w:szCs w:val="22"/>
        </w:rPr>
        <w:t xml:space="preserve"> use</w:t>
      </w:r>
      <w:r w:rsidR="00F10584">
        <w:rPr>
          <w:szCs w:val="22"/>
        </w:rPr>
        <w:t>d</w:t>
      </w:r>
      <w:r w:rsidRPr="006E461B">
        <w:rPr>
          <w:szCs w:val="22"/>
        </w:rPr>
        <w:t xml:space="preserve">, and the significant bank of high GWP refrigerant gases employed, use of RAC equipment is also one of the largest single </w:t>
      </w:r>
      <w:r w:rsidR="00521910">
        <w:rPr>
          <w:szCs w:val="22"/>
        </w:rPr>
        <w:t>sources</w:t>
      </w:r>
      <w:r w:rsidRPr="006E461B">
        <w:rPr>
          <w:szCs w:val="22"/>
        </w:rPr>
        <w:t xml:space="preserve"> of greenhouse emissions in </w:t>
      </w:r>
      <w:r w:rsidR="00521910">
        <w:rPr>
          <w:szCs w:val="22"/>
        </w:rPr>
        <w:t>Australia</w:t>
      </w:r>
      <w:r w:rsidRPr="006E461B">
        <w:rPr>
          <w:szCs w:val="22"/>
        </w:rPr>
        <w:t>.</w:t>
      </w:r>
    </w:p>
    <w:p w14:paraId="5E58EE74" w14:textId="12E13D10" w:rsidR="006E461B" w:rsidRPr="006E461B" w:rsidRDefault="006E461B" w:rsidP="006E461B">
      <w:pPr>
        <w:rPr>
          <w:szCs w:val="22"/>
        </w:rPr>
      </w:pPr>
      <w:r w:rsidRPr="006E461B">
        <w:rPr>
          <w:szCs w:val="22"/>
        </w:rPr>
        <w:t>Total indirect greenhouse gas emissions as a result of energy consumption to power RAC systems are estimated to be 57.1 Mt CO</w:t>
      </w:r>
      <w:r w:rsidRPr="006E461B">
        <w:rPr>
          <w:szCs w:val="22"/>
          <w:vertAlign w:val="subscript"/>
        </w:rPr>
        <w:t>2</w:t>
      </w:r>
      <w:r w:rsidRPr="006E461B">
        <w:rPr>
          <w:szCs w:val="22"/>
        </w:rPr>
        <w:t xml:space="preserve">-e per annum, equivalent to more than 10 per cent of the Australian </w:t>
      </w:r>
      <w:r w:rsidR="00521910">
        <w:rPr>
          <w:szCs w:val="22"/>
        </w:rPr>
        <w:t xml:space="preserve">greenhouse </w:t>
      </w:r>
      <w:r w:rsidRPr="006E461B">
        <w:rPr>
          <w:szCs w:val="22"/>
        </w:rPr>
        <w:t>emissions</w:t>
      </w:r>
      <w:r w:rsidR="00521910">
        <w:rPr>
          <w:szCs w:val="22"/>
        </w:rPr>
        <w:t xml:space="preserve"> </w:t>
      </w:r>
      <w:r w:rsidR="00521910" w:rsidRPr="006E461B">
        <w:rPr>
          <w:szCs w:val="22"/>
        </w:rPr>
        <w:t xml:space="preserve">as calculated by the </w:t>
      </w:r>
      <w:r w:rsidR="009D41B9">
        <w:rPr>
          <w:szCs w:val="22"/>
        </w:rPr>
        <w:t>2011</w:t>
      </w:r>
      <w:r w:rsidR="00E702C6">
        <w:rPr>
          <w:szCs w:val="22"/>
        </w:rPr>
        <w:t>-12</w:t>
      </w:r>
      <w:r w:rsidR="009D41B9">
        <w:rPr>
          <w:szCs w:val="22"/>
        </w:rPr>
        <w:t xml:space="preserve"> </w:t>
      </w:r>
      <w:r w:rsidR="00521910" w:rsidRPr="006E461B">
        <w:rPr>
          <w:szCs w:val="22"/>
        </w:rPr>
        <w:t>National Greenhouse Gas Inventory (NGGI)</w:t>
      </w:r>
      <w:r w:rsidR="002837D8">
        <w:rPr>
          <w:szCs w:val="22"/>
        </w:rPr>
        <w:t>.</w:t>
      </w:r>
      <w:r w:rsidR="009D3A72">
        <w:rPr>
          <w:rStyle w:val="FootnoteReference"/>
          <w:szCs w:val="22"/>
        </w:rPr>
        <w:footnoteReference w:id="3"/>
      </w:r>
      <w:r w:rsidRPr="006E461B">
        <w:rPr>
          <w:szCs w:val="22"/>
        </w:rPr>
        <w:t xml:space="preserve"> </w:t>
      </w:r>
    </w:p>
    <w:p w14:paraId="7883E285" w14:textId="4CB9F643" w:rsidR="00A223DC" w:rsidRDefault="006E461B" w:rsidP="00DC54B3">
      <w:pPr>
        <w:rPr>
          <w:szCs w:val="22"/>
        </w:rPr>
      </w:pPr>
      <w:r w:rsidRPr="006E461B">
        <w:rPr>
          <w:szCs w:val="22"/>
        </w:rPr>
        <w:t xml:space="preserve">Combined with </w:t>
      </w:r>
      <w:r w:rsidR="00631D4A">
        <w:rPr>
          <w:szCs w:val="22"/>
        </w:rPr>
        <w:t>an estimated</w:t>
      </w:r>
      <w:r w:rsidRPr="006E461B">
        <w:rPr>
          <w:szCs w:val="22"/>
        </w:rPr>
        <w:t xml:space="preserve"> </w:t>
      </w:r>
      <w:r w:rsidR="001C52E7">
        <w:rPr>
          <w:szCs w:val="22"/>
        </w:rPr>
        <w:t>4.1</w:t>
      </w:r>
      <w:r w:rsidR="008840C5">
        <w:rPr>
          <w:szCs w:val="22"/>
        </w:rPr>
        <w:t xml:space="preserve"> </w:t>
      </w:r>
      <w:r w:rsidRPr="006E461B">
        <w:rPr>
          <w:szCs w:val="22"/>
        </w:rPr>
        <w:t>Mt CO</w:t>
      </w:r>
      <w:r w:rsidRPr="006E461B">
        <w:rPr>
          <w:szCs w:val="22"/>
          <w:vertAlign w:val="subscript"/>
        </w:rPr>
        <w:t>2</w:t>
      </w:r>
      <w:r w:rsidRPr="006E461B">
        <w:rPr>
          <w:szCs w:val="22"/>
        </w:rPr>
        <w:t xml:space="preserve">-e of </w:t>
      </w:r>
      <w:r w:rsidR="001C52E7">
        <w:rPr>
          <w:szCs w:val="22"/>
        </w:rPr>
        <w:t xml:space="preserve">Synthetic Greenhouse Gas (SGG) </w:t>
      </w:r>
      <w:r w:rsidRPr="006E461B">
        <w:rPr>
          <w:szCs w:val="22"/>
        </w:rPr>
        <w:t>direct emissions from losses of refrigerant gas to air</w:t>
      </w:r>
      <w:r w:rsidR="00631D4A">
        <w:rPr>
          <w:szCs w:val="22"/>
        </w:rPr>
        <w:t xml:space="preserve"> from operating</w:t>
      </w:r>
      <w:r w:rsidRPr="006E461B">
        <w:rPr>
          <w:szCs w:val="22"/>
        </w:rPr>
        <w:t xml:space="preserve"> RAC systems</w:t>
      </w:r>
      <w:r w:rsidR="00AE586A">
        <w:rPr>
          <w:szCs w:val="22"/>
        </w:rPr>
        <w:t>.</w:t>
      </w:r>
      <w:r w:rsidR="00631D4A">
        <w:rPr>
          <w:szCs w:val="22"/>
        </w:rPr>
        <w:t xml:space="preserve"> </w:t>
      </w:r>
      <w:r w:rsidR="009D41B9">
        <w:rPr>
          <w:szCs w:val="22"/>
        </w:rPr>
        <w:t>RAC</w:t>
      </w:r>
      <w:r w:rsidR="00631D4A">
        <w:rPr>
          <w:szCs w:val="22"/>
        </w:rPr>
        <w:t xml:space="preserve"> technology</w:t>
      </w:r>
      <w:r w:rsidRPr="006E461B">
        <w:rPr>
          <w:szCs w:val="22"/>
        </w:rPr>
        <w:t xml:space="preserve"> </w:t>
      </w:r>
      <w:r w:rsidR="00631D4A">
        <w:rPr>
          <w:szCs w:val="22"/>
        </w:rPr>
        <w:t>is</w:t>
      </w:r>
      <w:r w:rsidRPr="006E461B">
        <w:rPr>
          <w:szCs w:val="22"/>
        </w:rPr>
        <w:t xml:space="preserve"> responsible for greenhouse gas emissions equivalent to </w:t>
      </w:r>
      <w:r w:rsidR="00521910">
        <w:rPr>
          <w:szCs w:val="22"/>
        </w:rPr>
        <w:t xml:space="preserve">approximately </w:t>
      </w:r>
      <w:r w:rsidR="005C44AC">
        <w:rPr>
          <w:szCs w:val="22"/>
        </w:rPr>
        <w:t>11.1 per cent</w:t>
      </w:r>
      <w:r w:rsidRPr="006E461B">
        <w:rPr>
          <w:szCs w:val="22"/>
        </w:rPr>
        <w:t xml:space="preserve"> of Australian emissions</w:t>
      </w:r>
      <w:r w:rsidR="009F7800">
        <w:rPr>
          <w:szCs w:val="22"/>
        </w:rPr>
        <w:t xml:space="preserve"> </w:t>
      </w:r>
      <w:r w:rsidR="00AE586A">
        <w:rPr>
          <w:szCs w:val="22"/>
        </w:rPr>
        <w:t xml:space="preserve">reported </w:t>
      </w:r>
      <w:r w:rsidR="009F7800">
        <w:rPr>
          <w:szCs w:val="22"/>
        </w:rPr>
        <w:t xml:space="preserve">in </w:t>
      </w:r>
      <w:r w:rsidR="00AE586A">
        <w:rPr>
          <w:szCs w:val="22"/>
        </w:rPr>
        <w:t>FY</w:t>
      </w:r>
      <w:r w:rsidR="009D41B9">
        <w:rPr>
          <w:szCs w:val="22"/>
        </w:rPr>
        <w:t>2011</w:t>
      </w:r>
      <w:r w:rsidR="00AE586A">
        <w:rPr>
          <w:szCs w:val="22"/>
        </w:rPr>
        <w:t>-12</w:t>
      </w:r>
      <w:r w:rsidR="009D3A72">
        <w:rPr>
          <w:szCs w:val="22"/>
        </w:rPr>
        <w:t>.</w:t>
      </w:r>
      <w:r w:rsidR="009D3A72">
        <w:rPr>
          <w:rStyle w:val="FootnoteReference"/>
          <w:szCs w:val="22"/>
        </w:rPr>
        <w:footnoteReference w:id="4"/>
      </w:r>
      <w:r w:rsidRPr="006E461B">
        <w:rPr>
          <w:szCs w:val="22"/>
        </w:rPr>
        <w:t xml:space="preserve"> </w:t>
      </w:r>
    </w:p>
    <w:p w14:paraId="00AF7EAA" w14:textId="7695F3D6" w:rsidR="00DC54B3" w:rsidRPr="006E461B" w:rsidRDefault="00DC54B3" w:rsidP="00DC54B3">
      <w:pPr>
        <w:rPr>
          <w:szCs w:val="22"/>
        </w:rPr>
      </w:pPr>
      <w:r>
        <w:rPr>
          <w:szCs w:val="22"/>
        </w:rPr>
        <w:t xml:space="preserve">This total does not include approximately 1.3 </w:t>
      </w:r>
      <w:r w:rsidRPr="006E461B">
        <w:rPr>
          <w:szCs w:val="22"/>
        </w:rPr>
        <w:t>Mt CO</w:t>
      </w:r>
      <w:r w:rsidRPr="006E461B">
        <w:rPr>
          <w:szCs w:val="22"/>
          <w:vertAlign w:val="subscript"/>
        </w:rPr>
        <w:t>2</w:t>
      </w:r>
      <w:r w:rsidRPr="006E461B">
        <w:rPr>
          <w:szCs w:val="22"/>
        </w:rPr>
        <w:t>-e</w:t>
      </w:r>
      <w:r>
        <w:rPr>
          <w:szCs w:val="22"/>
        </w:rPr>
        <w:t xml:space="preserve"> of direct emissions of earlier generations of refrigerant gas that are also strong ozone depleting substances, and that are being phased out of use under the Montreal Protocol on Substances that Deplete the Ozone Layer. </w:t>
      </w:r>
    </w:p>
    <w:p w14:paraId="04C9F973" w14:textId="4DDCF391" w:rsidR="00541542" w:rsidRDefault="006E461B" w:rsidP="006E461B">
      <w:pPr>
        <w:rPr>
          <w:szCs w:val="22"/>
        </w:rPr>
      </w:pPr>
      <w:r w:rsidRPr="006E461B">
        <w:rPr>
          <w:szCs w:val="22"/>
        </w:rPr>
        <w:t xml:space="preserve">There is also a </w:t>
      </w:r>
      <w:r w:rsidR="00631D4A">
        <w:rPr>
          <w:szCs w:val="22"/>
        </w:rPr>
        <w:t xml:space="preserve">further </w:t>
      </w:r>
      <w:r w:rsidRPr="006E461B">
        <w:rPr>
          <w:szCs w:val="22"/>
        </w:rPr>
        <w:t>significant quantity of refrigerant gas l</w:t>
      </w:r>
      <w:r w:rsidR="00631D4A">
        <w:rPr>
          <w:szCs w:val="22"/>
        </w:rPr>
        <w:t>ost to air from</w:t>
      </w:r>
      <w:r w:rsidRPr="006E461B">
        <w:rPr>
          <w:szCs w:val="22"/>
        </w:rPr>
        <w:t xml:space="preserve"> </w:t>
      </w:r>
      <w:r w:rsidR="00631D4A">
        <w:rPr>
          <w:szCs w:val="22"/>
        </w:rPr>
        <w:t xml:space="preserve">RAC </w:t>
      </w:r>
      <w:r w:rsidRPr="006E461B">
        <w:rPr>
          <w:szCs w:val="22"/>
        </w:rPr>
        <w:t>equipment that reaches the end of its useful life every year</w:t>
      </w:r>
      <w:r w:rsidR="00631D4A">
        <w:rPr>
          <w:szCs w:val="22"/>
        </w:rPr>
        <w:t>.</w:t>
      </w:r>
      <w:r w:rsidRPr="006E461B">
        <w:rPr>
          <w:szCs w:val="22"/>
        </w:rPr>
        <w:t xml:space="preserve"> </w:t>
      </w:r>
      <w:r w:rsidR="00860D56">
        <w:rPr>
          <w:szCs w:val="22"/>
        </w:rPr>
        <w:t>In 2012 t</w:t>
      </w:r>
      <w:r w:rsidRPr="006E461B">
        <w:rPr>
          <w:szCs w:val="22"/>
        </w:rPr>
        <w:t xml:space="preserve">his could possibly </w:t>
      </w:r>
      <w:r w:rsidR="00860D56">
        <w:rPr>
          <w:szCs w:val="22"/>
        </w:rPr>
        <w:t xml:space="preserve">have </w:t>
      </w:r>
      <w:r w:rsidRPr="006E461B">
        <w:rPr>
          <w:szCs w:val="22"/>
        </w:rPr>
        <w:t>be</w:t>
      </w:r>
      <w:r w:rsidR="00860D56">
        <w:rPr>
          <w:szCs w:val="22"/>
        </w:rPr>
        <w:t>en</w:t>
      </w:r>
      <w:r w:rsidRPr="006E461B">
        <w:rPr>
          <w:szCs w:val="22"/>
        </w:rPr>
        <w:t xml:space="preserve"> </w:t>
      </w:r>
      <w:r w:rsidR="00541542">
        <w:rPr>
          <w:szCs w:val="22"/>
        </w:rPr>
        <w:t xml:space="preserve">equivalent to </w:t>
      </w:r>
      <w:r w:rsidRPr="006E461B">
        <w:rPr>
          <w:szCs w:val="22"/>
        </w:rPr>
        <w:t>as much as an additional 1.9</w:t>
      </w:r>
      <w:r>
        <w:rPr>
          <w:szCs w:val="22"/>
        </w:rPr>
        <w:t xml:space="preserve"> </w:t>
      </w:r>
      <w:r w:rsidRPr="006E461B">
        <w:rPr>
          <w:szCs w:val="22"/>
        </w:rPr>
        <w:t>Mt CO</w:t>
      </w:r>
      <w:r w:rsidRPr="006E461B">
        <w:rPr>
          <w:szCs w:val="22"/>
          <w:vertAlign w:val="subscript"/>
        </w:rPr>
        <w:t>2</w:t>
      </w:r>
      <w:r w:rsidRPr="006E461B">
        <w:rPr>
          <w:szCs w:val="22"/>
        </w:rPr>
        <w:t xml:space="preserve">. If end-of-life emissions are this high, then direct and indirect greenhouse gas </w:t>
      </w:r>
      <w:r w:rsidRPr="006E461B">
        <w:rPr>
          <w:szCs w:val="22"/>
        </w:rPr>
        <w:lastRenderedPageBreak/>
        <w:t xml:space="preserve">emissions from RAC equipment could have </w:t>
      </w:r>
      <w:r w:rsidR="00631D4A">
        <w:rPr>
          <w:szCs w:val="22"/>
        </w:rPr>
        <w:t>totalled</w:t>
      </w:r>
      <w:r w:rsidRPr="006E461B">
        <w:rPr>
          <w:szCs w:val="22"/>
        </w:rPr>
        <w:t xml:space="preserve"> as much as 6</w:t>
      </w:r>
      <w:r w:rsidR="00631D4A">
        <w:rPr>
          <w:szCs w:val="22"/>
        </w:rPr>
        <w:t>4.</w:t>
      </w:r>
      <w:r w:rsidR="00A223DC">
        <w:rPr>
          <w:szCs w:val="22"/>
        </w:rPr>
        <w:t>5</w:t>
      </w:r>
      <w:r w:rsidRPr="006E461B">
        <w:rPr>
          <w:szCs w:val="22"/>
        </w:rPr>
        <w:t xml:space="preserve"> Mt CO</w:t>
      </w:r>
      <w:r w:rsidRPr="006E461B">
        <w:rPr>
          <w:szCs w:val="22"/>
          <w:vertAlign w:val="subscript"/>
        </w:rPr>
        <w:t>2</w:t>
      </w:r>
      <w:r w:rsidRPr="006E461B">
        <w:rPr>
          <w:szCs w:val="22"/>
        </w:rPr>
        <w:t xml:space="preserve">-e </w:t>
      </w:r>
      <w:r w:rsidR="0089013F">
        <w:rPr>
          <w:szCs w:val="22"/>
        </w:rPr>
        <w:t>in 2012</w:t>
      </w:r>
      <w:r w:rsidRPr="006E461B">
        <w:rPr>
          <w:szCs w:val="22"/>
        </w:rPr>
        <w:t>, equivalent to 11.</w:t>
      </w:r>
      <w:r w:rsidR="00A223DC">
        <w:rPr>
          <w:szCs w:val="22"/>
        </w:rPr>
        <w:t>7</w:t>
      </w:r>
      <w:r w:rsidRPr="006E461B">
        <w:rPr>
          <w:szCs w:val="22"/>
        </w:rPr>
        <w:t xml:space="preserve"> per cent of total Australian emissions reported in the </w:t>
      </w:r>
      <w:r w:rsidR="0089013F">
        <w:rPr>
          <w:szCs w:val="22"/>
        </w:rPr>
        <w:t xml:space="preserve">latest </w:t>
      </w:r>
      <w:r w:rsidRPr="006E461B">
        <w:rPr>
          <w:szCs w:val="22"/>
        </w:rPr>
        <w:t>NGGI</w:t>
      </w:r>
      <w:r w:rsidR="0089013F">
        <w:rPr>
          <w:szCs w:val="22"/>
        </w:rPr>
        <w:t xml:space="preserve">. </w:t>
      </w:r>
    </w:p>
    <w:p w14:paraId="5C718734" w14:textId="3ACC2373" w:rsidR="00AF3794" w:rsidRDefault="003B7367" w:rsidP="009F7800">
      <w:pPr>
        <w:rPr>
          <w:b/>
          <w:bCs/>
        </w:rPr>
      </w:pPr>
      <w:r w:rsidRPr="003B7367">
        <w:t>We do not have sufficient data to be able to unequivocally declare how much RAC services contribute to Australia’s $1.57 trillion economy.</w:t>
      </w:r>
      <w:r>
        <w:t xml:space="preserve"> </w:t>
      </w:r>
      <w:r w:rsidRPr="003B7367">
        <w:t xml:space="preserve">The total spending estimated in </w:t>
      </w:r>
      <w:r w:rsidRPr="004B103D">
        <w:rPr>
          <w:i/>
        </w:rPr>
        <w:t>Table 1</w:t>
      </w:r>
      <w:r w:rsidRPr="003B7367">
        <w:t xml:space="preserve"> for instance, is equivalent to 1.</w:t>
      </w:r>
      <w:r w:rsidR="004B103D">
        <w:t>7</w:t>
      </w:r>
      <w:r w:rsidRPr="003B7367">
        <w:t xml:space="preserve"> per cent of Australia’s GDP.  </w:t>
      </w:r>
      <w:r w:rsidR="00860D56">
        <w:t>However t</w:t>
      </w:r>
      <w:r w:rsidRPr="003B7367">
        <w:t xml:space="preserve">he question of the value of the services that the RAC industry provides to its clients, such as the value added to agricultural produce </w:t>
      </w:r>
      <w:r w:rsidR="00860D56">
        <w:t xml:space="preserve">moving </w:t>
      </w:r>
      <w:r w:rsidRPr="003B7367">
        <w:t>through the cold food chain</w:t>
      </w:r>
      <w:r w:rsidR="00860D56">
        <w:t xml:space="preserve">, </w:t>
      </w:r>
      <w:r w:rsidR="00860D56" w:rsidRPr="003B7367">
        <w:t>is impossible to determine</w:t>
      </w:r>
      <w:r w:rsidRPr="003B7367">
        <w:t xml:space="preserve">. Although that question is explored </w:t>
      </w:r>
      <w:r w:rsidR="004B103D">
        <w:t xml:space="preserve">further in </w:t>
      </w:r>
      <w:r w:rsidRPr="003B7367">
        <w:t>later sections of this report.</w:t>
      </w:r>
    </w:p>
    <w:p w14:paraId="06356E47" w14:textId="66BB0905" w:rsidR="003937A5" w:rsidRPr="004E5B78" w:rsidRDefault="003937A5" w:rsidP="00AF3794">
      <w:pPr>
        <w:pStyle w:val="Heading1"/>
      </w:pPr>
      <w:r w:rsidRPr="00AF3794">
        <w:rPr>
          <w:rFonts w:ascii="Times New Roman" w:eastAsiaTheme="minorEastAsia" w:hAnsi="Times New Roman" w:cstheme="minorBidi"/>
          <w:sz w:val="22"/>
          <w:szCs w:val="24"/>
          <w:lang w:val="en-GB"/>
        </w:rPr>
        <w:br w:type="page"/>
      </w:r>
      <w:bookmarkStart w:id="6" w:name="_Toc233084133"/>
      <w:r w:rsidR="00AF3794">
        <w:lastRenderedPageBreak/>
        <w:t>Introduction</w:t>
      </w:r>
      <w:bookmarkEnd w:id="6"/>
    </w:p>
    <w:p w14:paraId="38407234" w14:textId="77777777" w:rsidR="00AF1EE1" w:rsidRDefault="006A610E" w:rsidP="006A610E">
      <w:pPr>
        <w:rPr>
          <w:szCs w:val="22"/>
        </w:rPr>
      </w:pPr>
      <w:r w:rsidRPr="006A610E">
        <w:rPr>
          <w:szCs w:val="22"/>
        </w:rPr>
        <w:t>This report presents a technological and economic snapshot of the refrigeration and air conditioning industry in Australia. The equipment that is used in this industry is often referred to as HVAC&amp;R equipment (heating, ventilation, air conditioning and refrigeration</w:t>
      </w:r>
      <w:r w:rsidR="008E37C3">
        <w:rPr>
          <w:szCs w:val="22"/>
        </w:rPr>
        <w:t xml:space="preserve"> equipment</w:t>
      </w:r>
      <w:r w:rsidRPr="006A610E">
        <w:rPr>
          <w:szCs w:val="22"/>
        </w:rPr>
        <w:t xml:space="preserve">), and the industry itself is often referred to as the HVAC&amp;R industry. </w:t>
      </w:r>
    </w:p>
    <w:p w14:paraId="26BB6478" w14:textId="416E7229" w:rsidR="006A610E" w:rsidRPr="006A610E" w:rsidRDefault="006A610E" w:rsidP="006A610E">
      <w:pPr>
        <w:rPr>
          <w:szCs w:val="22"/>
        </w:rPr>
      </w:pPr>
      <w:r w:rsidRPr="006A610E">
        <w:rPr>
          <w:szCs w:val="22"/>
        </w:rPr>
        <w:t>However this report, starting from a bottom</w:t>
      </w:r>
      <w:r w:rsidR="00BD5506">
        <w:rPr>
          <w:szCs w:val="22"/>
        </w:rPr>
        <w:t>-</w:t>
      </w:r>
      <w:r w:rsidRPr="006A610E">
        <w:rPr>
          <w:szCs w:val="22"/>
        </w:rPr>
        <w:t>up analysis of refrigeration equipment and refrigerated air conditioning</w:t>
      </w:r>
      <w:r w:rsidR="008E37C3">
        <w:rPr>
          <w:szCs w:val="22"/>
        </w:rPr>
        <w:t xml:space="preserve"> systems</w:t>
      </w:r>
      <w:r w:rsidRPr="006A610E">
        <w:rPr>
          <w:szCs w:val="22"/>
        </w:rPr>
        <w:t xml:space="preserve"> excludes </w:t>
      </w:r>
      <w:r w:rsidR="006F1A00">
        <w:rPr>
          <w:szCs w:val="22"/>
        </w:rPr>
        <w:t xml:space="preserve">gas </w:t>
      </w:r>
      <w:r w:rsidRPr="006A610E">
        <w:rPr>
          <w:szCs w:val="22"/>
        </w:rPr>
        <w:t>heating</w:t>
      </w:r>
      <w:r w:rsidR="009F7800">
        <w:rPr>
          <w:szCs w:val="22"/>
        </w:rPr>
        <w:t xml:space="preserve"> and evaporative cooling</w:t>
      </w:r>
      <w:r w:rsidR="006F1A00">
        <w:rPr>
          <w:szCs w:val="22"/>
        </w:rPr>
        <w:t xml:space="preserve"> </w:t>
      </w:r>
      <w:r w:rsidRPr="006A610E">
        <w:rPr>
          <w:szCs w:val="22"/>
        </w:rPr>
        <w:t xml:space="preserve">from the analysis, and only </w:t>
      </w:r>
      <w:r w:rsidR="008E37C3">
        <w:rPr>
          <w:szCs w:val="22"/>
        </w:rPr>
        <w:t>includes</w:t>
      </w:r>
      <w:r w:rsidRPr="006A610E">
        <w:rPr>
          <w:szCs w:val="22"/>
        </w:rPr>
        <w:t xml:space="preserve"> ventilation in certain contexts. </w:t>
      </w:r>
    </w:p>
    <w:p w14:paraId="64B0F258" w14:textId="080310E4" w:rsidR="006A610E" w:rsidRPr="006A610E" w:rsidRDefault="008E37C3" w:rsidP="006A610E">
      <w:pPr>
        <w:rPr>
          <w:szCs w:val="22"/>
        </w:rPr>
      </w:pPr>
      <w:r>
        <w:rPr>
          <w:szCs w:val="22"/>
        </w:rPr>
        <w:t>CHF2</w:t>
      </w:r>
      <w:r w:rsidR="006A610E" w:rsidRPr="006A610E">
        <w:rPr>
          <w:szCs w:val="22"/>
        </w:rPr>
        <w:t xml:space="preserve"> is the second edition of </w:t>
      </w:r>
      <w:r w:rsidR="006A610E" w:rsidRPr="009F7800">
        <w:rPr>
          <w:i/>
          <w:szCs w:val="22"/>
        </w:rPr>
        <w:t>Cold Hard Facts</w:t>
      </w:r>
      <w:r w:rsidR="006A610E" w:rsidRPr="006A610E">
        <w:rPr>
          <w:szCs w:val="22"/>
        </w:rPr>
        <w:t xml:space="preserve">. The first, </w:t>
      </w:r>
      <w:r w:rsidR="006A610E" w:rsidRPr="009F7800">
        <w:rPr>
          <w:i/>
          <w:szCs w:val="22"/>
        </w:rPr>
        <w:t>Cold Hard Facts</w:t>
      </w:r>
      <w:r w:rsidR="006A610E" w:rsidRPr="006A610E">
        <w:rPr>
          <w:szCs w:val="22"/>
        </w:rPr>
        <w:t xml:space="preserve"> study</w:t>
      </w:r>
      <w:r>
        <w:rPr>
          <w:szCs w:val="22"/>
        </w:rPr>
        <w:t xml:space="preserve"> (CHF1)</w:t>
      </w:r>
      <w:r w:rsidR="006A610E" w:rsidRPr="006A610E">
        <w:rPr>
          <w:szCs w:val="22"/>
        </w:rPr>
        <w:t xml:space="preserve"> was conducted in 2007. CHF1 included a brief written report, and an extensive database. </w:t>
      </w:r>
    </w:p>
    <w:p w14:paraId="734DF59A" w14:textId="6B5C4E40" w:rsidR="006A610E" w:rsidRPr="006A610E" w:rsidRDefault="00FB7BB2" w:rsidP="006A610E">
      <w:pPr>
        <w:rPr>
          <w:szCs w:val="22"/>
        </w:rPr>
      </w:pPr>
      <w:r>
        <w:rPr>
          <w:szCs w:val="22"/>
        </w:rPr>
        <w:t xml:space="preserve">The genesis of </w:t>
      </w:r>
      <w:r w:rsidR="001502DB">
        <w:rPr>
          <w:szCs w:val="22"/>
        </w:rPr>
        <w:t>CHF1</w:t>
      </w:r>
      <w:r w:rsidR="006A610E" w:rsidRPr="006A610E">
        <w:rPr>
          <w:szCs w:val="22"/>
        </w:rPr>
        <w:t xml:space="preserve"> was in 2006 as part of a project conducted </w:t>
      </w:r>
      <w:r w:rsidR="00E642D2">
        <w:rPr>
          <w:szCs w:val="22"/>
        </w:rPr>
        <w:t>for</w:t>
      </w:r>
      <w:r w:rsidR="006A610E" w:rsidRPr="006A610E">
        <w:rPr>
          <w:szCs w:val="22"/>
        </w:rPr>
        <w:t xml:space="preserve"> the Ministerial Council on Energy examining ways to improve the energy efficiency of HVAC</w:t>
      </w:r>
      <w:r w:rsidR="006A453A">
        <w:rPr>
          <w:szCs w:val="22"/>
        </w:rPr>
        <w:t xml:space="preserve"> systems.</w:t>
      </w:r>
      <w:r w:rsidR="006A610E" w:rsidRPr="006A610E">
        <w:rPr>
          <w:szCs w:val="22"/>
        </w:rPr>
        <w:t xml:space="preserve"> </w:t>
      </w:r>
      <w:r w:rsidR="007E0901">
        <w:rPr>
          <w:szCs w:val="22"/>
        </w:rPr>
        <w:t>In the course</w:t>
      </w:r>
      <w:r w:rsidR="006A453A">
        <w:rPr>
          <w:szCs w:val="22"/>
        </w:rPr>
        <w:t xml:space="preserve"> of th</w:t>
      </w:r>
      <w:r w:rsidR="00E642D2">
        <w:rPr>
          <w:szCs w:val="22"/>
        </w:rPr>
        <w:t>e</w:t>
      </w:r>
      <w:r w:rsidR="006A453A">
        <w:rPr>
          <w:szCs w:val="22"/>
        </w:rPr>
        <w:t xml:space="preserve"> work </w:t>
      </w:r>
      <w:r w:rsidR="006A610E" w:rsidRPr="006A610E">
        <w:rPr>
          <w:szCs w:val="22"/>
        </w:rPr>
        <w:t xml:space="preserve">an attempt was made to quantify the </w:t>
      </w:r>
      <w:r>
        <w:rPr>
          <w:szCs w:val="22"/>
        </w:rPr>
        <w:t xml:space="preserve">total </w:t>
      </w:r>
      <w:r w:rsidR="006A610E" w:rsidRPr="006A610E">
        <w:rPr>
          <w:szCs w:val="22"/>
        </w:rPr>
        <w:t xml:space="preserve">economic value of the HVAC industry. This was later expanded into CHF1, the first attempt to put a value on, and determine employment across the entire RAC industry. </w:t>
      </w:r>
    </w:p>
    <w:p w14:paraId="10D41AC5" w14:textId="60DDFE90" w:rsidR="006A610E" w:rsidRPr="006A610E" w:rsidRDefault="006A610E" w:rsidP="006A610E">
      <w:pPr>
        <w:rPr>
          <w:szCs w:val="22"/>
        </w:rPr>
      </w:pPr>
      <w:r w:rsidRPr="006A610E">
        <w:rPr>
          <w:szCs w:val="22"/>
        </w:rPr>
        <w:t xml:space="preserve">CHF1 also estimated energy consumed in delivery of </w:t>
      </w:r>
      <w:r w:rsidR="006A453A">
        <w:rPr>
          <w:szCs w:val="22"/>
        </w:rPr>
        <w:t>RAC</w:t>
      </w:r>
      <w:r w:rsidRPr="006A610E">
        <w:rPr>
          <w:szCs w:val="22"/>
        </w:rPr>
        <w:t xml:space="preserve"> services, and the resulting greenhouse gas emissions from energy consumption</w:t>
      </w:r>
      <w:r w:rsidR="006A453A">
        <w:rPr>
          <w:szCs w:val="22"/>
        </w:rPr>
        <w:t>.</w:t>
      </w:r>
      <w:r w:rsidRPr="006A610E">
        <w:rPr>
          <w:szCs w:val="22"/>
        </w:rPr>
        <w:t xml:space="preserve"> </w:t>
      </w:r>
      <w:r w:rsidR="006A453A">
        <w:rPr>
          <w:szCs w:val="22"/>
        </w:rPr>
        <w:t>T</w:t>
      </w:r>
      <w:r w:rsidR="00706C1A">
        <w:rPr>
          <w:szCs w:val="22"/>
        </w:rPr>
        <w:t xml:space="preserve">he </w:t>
      </w:r>
      <w:r w:rsidR="00FB7BB2">
        <w:rPr>
          <w:szCs w:val="22"/>
        </w:rPr>
        <w:t>CHF1</w:t>
      </w:r>
      <w:r w:rsidR="00706C1A">
        <w:rPr>
          <w:szCs w:val="22"/>
        </w:rPr>
        <w:t xml:space="preserve"> stock model was </w:t>
      </w:r>
      <w:r w:rsidR="006A453A">
        <w:rPr>
          <w:szCs w:val="22"/>
        </w:rPr>
        <w:t xml:space="preserve">then </w:t>
      </w:r>
      <w:r w:rsidR="00706C1A">
        <w:rPr>
          <w:szCs w:val="22"/>
        </w:rPr>
        <w:t xml:space="preserve">used to estimate </w:t>
      </w:r>
      <w:r w:rsidRPr="006A610E">
        <w:rPr>
          <w:szCs w:val="22"/>
        </w:rPr>
        <w:t xml:space="preserve">direct emissions of refrigerant gases </w:t>
      </w:r>
      <w:r w:rsidR="00706C1A">
        <w:rPr>
          <w:szCs w:val="22"/>
        </w:rPr>
        <w:t>in subsequent studies</w:t>
      </w:r>
      <w:r w:rsidRPr="006A610E">
        <w:rPr>
          <w:szCs w:val="22"/>
        </w:rPr>
        <w:t>.</w:t>
      </w:r>
    </w:p>
    <w:p w14:paraId="2FF38D0C" w14:textId="4B5D0CE5" w:rsidR="00F438E4" w:rsidRDefault="006A610E" w:rsidP="006A610E">
      <w:pPr>
        <w:rPr>
          <w:szCs w:val="22"/>
        </w:rPr>
      </w:pPr>
      <w:r w:rsidRPr="006A610E">
        <w:rPr>
          <w:szCs w:val="22"/>
        </w:rPr>
        <w:t xml:space="preserve">Since CHF1 was published, a great many requests </w:t>
      </w:r>
      <w:r w:rsidR="006A453A">
        <w:rPr>
          <w:szCs w:val="22"/>
        </w:rPr>
        <w:t>have been</w:t>
      </w:r>
      <w:r w:rsidRPr="006A610E">
        <w:rPr>
          <w:szCs w:val="22"/>
        </w:rPr>
        <w:t xml:space="preserve"> received from researchers for assistance in understanding the database, and to use the data in further studies and presentations. Many of the requests were received from international researchers. The CHF1 report and database has been available for download from the </w:t>
      </w:r>
      <w:r w:rsidR="00B56280">
        <w:rPr>
          <w:szCs w:val="22"/>
        </w:rPr>
        <w:t>Australian Government’s Department of Sustainability, Environment, Water, Population and Communities (DSEWPaC)</w:t>
      </w:r>
      <w:r w:rsidR="00CA746D">
        <w:rPr>
          <w:szCs w:val="22"/>
        </w:rPr>
        <w:t xml:space="preserve"> website for over </w:t>
      </w:r>
      <w:r w:rsidRPr="006A610E">
        <w:rPr>
          <w:szCs w:val="22"/>
        </w:rPr>
        <w:t>four years</w:t>
      </w:r>
      <w:r w:rsidR="00CA746D">
        <w:rPr>
          <w:szCs w:val="22"/>
        </w:rPr>
        <w:t xml:space="preserve">. Over that period it has </w:t>
      </w:r>
      <w:r w:rsidR="00AF1EE1">
        <w:rPr>
          <w:szCs w:val="22"/>
        </w:rPr>
        <w:t>been</w:t>
      </w:r>
      <w:r w:rsidRPr="006A610E">
        <w:rPr>
          <w:szCs w:val="22"/>
        </w:rPr>
        <w:t xml:space="preserve"> downloaded 45 times </w:t>
      </w:r>
      <w:r w:rsidR="00AF1EE1">
        <w:rPr>
          <w:szCs w:val="22"/>
        </w:rPr>
        <w:t>a</w:t>
      </w:r>
      <w:r w:rsidRPr="006A610E">
        <w:rPr>
          <w:szCs w:val="22"/>
        </w:rPr>
        <w:t xml:space="preserve"> month</w:t>
      </w:r>
      <w:r w:rsidR="00AF1EE1">
        <w:rPr>
          <w:szCs w:val="22"/>
        </w:rPr>
        <w:t xml:space="preserve"> on average</w:t>
      </w:r>
      <w:r w:rsidRPr="006A610E">
        <w:rPr>
          <w:szCs w:val="22"/>
        </w:rPr>
        <w:t xml:space="preserve">. </w:t>
      </w:r>
      <w:r w:rsidR="001502DB">
        <w:rPr>
          <w:szCs w:val="22"/>
        </w:rPr>
        <w:t>To the best of our knowledge</w:t>
      </w:r>
      <w:r w:rsidRPr="006A610E">
        <w:rPr>
          <w:szCs w:val="22"/>
        </w:rPr>
        <w:t xml:space="preserve"> it would appear that there is no similar study of the RAC industry anywhere</w:t>
      </w:r>
      <w:r w:rsidR="005D3BE5">
        <w:rPr>
          <w:szCs w:val="22"/>
        </w:rPr>
        <w:t xml:space="preserve"> else</w:t>
      </w:r>
      <w:r w:rsidRPr="006A610E">
        <w:rPr>
          <w:szCs w:val="22"/>
        </w:rPr>
        <w:t xml:space="preserve"> in the world. </w:t>
      </w:r>
    </w:p>
    <w:p w14:paraId="6511A854" w14:textId="7379265B" w:rsidR="006A610E" w:rsidRPr="006A610E" w:rsidRDefault="00F438E4" w:rsidP="006A610E">
      <w:pPr>
        <w:rPr>
          <w:szCs w:val="22"/>
        </w:rPr>
      </w:pPr>
      <w:r>
        <w:rPr>
          <w:szCs w:val="22"/>
        </w:rPr>
        <w:t>Since 2007</w:t>
      </w:r>
      <w:r w:rsidR="006A610E" w:rsidRPr="006A610E">
        <w:rPr>
          <w:szCs w:val="22"/>
        </w:rPr>
        <w:t xml:space="preserve"> a number of</w:t>
      </w:r>
      <w:r w:rsidR="00B56280">
        <w:rPr>
          <w:szCs w:val="22"/>
        </w:rPr>
        <w:t xml:space="preserve"> other</w:t>
      </w:r>
      <w:r w:rsidR="006A610E" w:rsidRPr="006A610E">
        <w:rPr>
          <w:szCs w:val="22"/>
        </w:rPr>
        <w:t xml:space="preserve"> extensive research projects </w:t>
      </w:r>
      <w:r w:rsidR="00B56280">
        <w:rPr>
          <w:szCs w:val="22"/>
        </w:rPr>
        <w:t xml:space="preserve">conducted by the authors and </w:t>
      </w:r>
      <w:r w:rsidR="006A610E" w:rsidRPr="006A610E">
        <w:rPr>
          <w:szCs w:val="22"/>
        </w:rPr>
        <w:t xml:space="preserve">focusing on aspects of the </w:t>
      </w:r>
      <w:r w:rsidR="00B56280">
        <w:rPr>
          <w:szCs w:val="22"/>
        </w:rPr>
        <w:t xml:space="preserve">RAC </w:t>
      </w:r>
      <w:r w:rsidR="006A610E" w:rsidRPr="006A610E">
        <w:rPr>
          <w:szCs w:val="22"/>
        </w:rPr>
        <w:t>industry have provided further detail and insight</w:t>
      </w:r>
      <w:r w:rsidR="006A453A">
        <w:rPr>
          <w:szCs w:val="22"/>
        </w:rPr>
        <w:t>s</w:t>
      </w:r>
      <w:r w:rsidR="006A610E" w:rsidRPr="006A610E">
        <w:rPr>
          <w:szCs w:val="22"/>
        </w:rPr>
        <w:t xml:space="preserve"> into some of the many </w:t>
      </w:r>
      <w:r w:rsidR="00FB7BB2">
        <w:rPr>
          <w:szCs w:val="22"/>
        </w:rPr>
        <w:t xml:space="preserve">specialised </w:t>
      </w:r>
      <w:r w:rsidR="006A610E" w:rsidRPr="006A610E">
        <w:rPr>
          <w:szCs w:val="22"/>
        </w:rPr>
        <w:t xml:space="preserve">segments within this sprawling and varied industry. </w:t>
      </w:r>
    </w:p>
    <w:p w14:paraId="24F22BED" w14:textId="6A96627B" w:rsidR="008E37C3" w:rsidRDefault="008E37C3" w:rsidP="008E37C3">
      <w:pPr>
        <w:rPr>
          <w:lang w:val="en-US"/>
        </w:rPr>
      </w:pPr>
      <w:r>
        <w:rPr>
          <w:lang w:val="en-US"/>
        </w:rPr>
        <w:t xml:space="preserve">The </w:t>
      </w:r>
      <w:r w:rsidR="00FB7BB2">
        <w:rPr>
          <w:lang w:val="en-US"/>
        </w:rPr>
        <w:t xml:space="preserve">CHF1 and </w:t>
      </w:r>
      <w:r>
        <w:rPr>
          <w:lang w:val="en-US"/>
        </w:rPr>
        <w:t>CHF2 model</w:t>
      </w:r>
      <w:r w:rsidR="00FB7BB2">
        <w:rPr>
          <w:lang w:val="en-US"/>
        </w:rPr>
        <w:t>s have</w:t>
      </w:r>
      <w:r>
        <w:rPr>
          <w:lang w:val="en-US"/>
        </w:rPr>
        <w:t xml:space="preserve"> been bu</w:t>
      </w:r>
      <w:r w:rsidR="00FB7BB2">
        <w:rPr>
          <w:lang w:val="en-US"/>
        </w:rPr>
        <w:t>ilt largely from primary data including</w:t>
      </w:r>
      <w:r>
        <w:rPr>
          <w:lang w:val="en-US"/>
        </w:rPr>
        <w:t xml:space="preserve"> equipment and refrigerant gas imports, manufacturer and sales surveys, licen</w:t>
      </w:r>
      <w:r w:rsidR="00500DF0">
        <w:rPr>
          <w:lang w:val="en-US"/>
        </w:rPr>
        <w:t>s</w:t>
      </w:r>
      <w:r>
        <w:rPr>
          <w:lang w:val="en-US"/>
        </w:rPr>
        <w:t>ing data and numerous other sources of data from various supply lines such as compressor</w:t>
      </w:r>
      <w:r w:rsidR="008D5223">
        <w:rPr>
          <w:lang w:val="en-US"/>
        </w:rPr>
        <w:t xml:space="preserve"> and condensing unit </w:t>
      </w:r>
      <w:r>
        <w:rPr>
          <w:lang w:val="en-US"/>
        </w:rPr>
        <w:t xml:space="preserve">sales.  </w:t>
      </w:r>
    </w:p>
    <w:p w14:paraId="798BE5EE" w14:textId="1FEF1E68" w:rsidR="008E37C3" w:rsidRDefault="00FB7BB2" w:rsidP="008E37C3">
      <w:pPr>
        <w:rPr>
          <w:lang w:val="en-US"/>
        </w:rPr>
      </w:pPr>
      <w:r>
        <w:rPr>
          <w:lang w:val="en-US"/>
        </w:rPr>
        <w:t>The CHF2 model is built up from analysis of</w:t>
      </w:r>
      <w:r w:rsidR="008E37C3">
        <w:rPr>
          <w:lang w:val="en-US"/>
        </w:rPr>
        <w:t xml:space="preserve"> equipment stocks of more than 50 product types using parameters</w:t>
      </w:r>
      <w:r>
        <w:rPr>
          <w:lang w:val="en-US"/>
        </w:rPr>
        <w:t xml:space="preserve"> including refrigeration capacity,</w:t>
      </w:r>
      <w:r w:rsidR="008E37C3">
        <w:rPr>
          <w:lang w:val="en-US"/>
        </w:rPr>
        <w:t xml:space="preserve"> average gas charge, leak rates, hours of use based on location and climate zone, </w:t>
      </w:r>
      <w:r>
        <w:rPr>
          <w:lang w:val="en-US"/>
        </w:rPr>
        <w:t xml:space="preserve">retirement rates, </w:t>
      </w:r>
      <w:r w:rsidR="008E37C3">
        <w:rPr>
          <w:lang w:val="en-US"/>
        </w:rPr>
        <w:t>and energy use. As a result the CHF2 model can calculate the scale of the total bank of working gases employed in Australia, the total expenditure on electricity consumed, the total value of the equipment involved and several other outputs that ultimately allowed us to estimate the size of this industry.</w:t>
      </w:r>
    </w:p>
    <w:p w14:paraId="717395E0" w14:textId="4654747A" w:rsidR="006A610E" w:rsidRPr="006A610E" w:rsidRDefault="006A453A" w:rsidP="006A610E">
      <w:pPr>
        <w:rPr>
          <w:szCs w:val="22"/>
        </w:rPr>
      </w:pPr>
      <w:r>
        <w:rPr>
          <w:szCs w:val="22"/>
        </w:rPr>
        <w:t>Readers</w:t>
      </w:r>
      <w:r w:rsidR="006A610E" w:rsidRPr="006A610E">
        <w:rPr>
          <w:szCs w:val="22"/>
        </w:rPr>
        <w:t xml:space="preserve"> may well wonder what all the fuss is about. That would be an understandable response from </w:t>
      </w:r>
      <w:r>
        <w:rPr>
          <w:szCs w:val="22"/>
        </w:rPr>
        <w:t>those</w:t>
      </w:r>
      <w:r w:rsidR="006A610E" w:rsidRPr="006A610E">
        <w:rPr>
          <w:szCs w:val="22"/>
        </w:rPr>
        <w:t xml:space="preserve"> unfamiliar with the industry, as most people are. The services provided by RAC systems reach into the daily life of every Australian, yet this major industry is largely unknown to the public. </w:t>
      </w:r>
    </w:p>
    <w:p w14:paraId="7A4999C6" w14:textId="08EB9885" w:rsidR="006A610E" w:rsidRPr="006A610E" w:rsidRDefault="006A610E" w:rsidP="006A610E">
      <w:pPr>
        <w:rPr>
          <w:szCs w:val="22"/>
        </w:rPr>
      </w:pPr>
      <w:r w:rsidRPr="006A610E">
        <w:rPr>
          <w:szCs w:val="22"/>
        </w:rPr>
        <w:t xml:space="preserve">Refrigeration, like lighting and hot water services, </w:t>
      </w:r>
      <w:r w:rsidR="00F438E4">
        <w:rPr>
          <w:szCs w:val="22"/>
        </w:rPr>
        <w:t>is a</w:t>
      </w:r>
      <w:r w:rsidRPr="006A610E">
        <w:rPr>
          <w:szCs w:val="22"/>
        </w:rPr>
        <w:t xml:space="preserve"> ‘cross cutting’ technolog</w:t>
      </w:r>
      <w:r w:rsidR="00F438E4">
        <w:rPr>
          <w:szCs w:val="22"/>
        </w:rPr>
        <w:t>y</w:t>
      </w:r>
      <w:r w:rsidRPr="006A610E">
        <w:rPr>
          <w:szCs w:val="22"/>
        </w:rPr>
        <w:t xml:space="preserve"> that </w:t>
      </w:r>
      <w:r w:rsidR="00F438E4">
        <w:rPr>
          <w:szCs w:val="22"/>
        </w:rPr>
        <w:t>is</w:t>
      </w:r>
      <w:r w:rsidRPr="006A610E">
        <w:rPr>
          <w:szCs w:val="22"/>
        </w:rPr>
        <w:t xml:space="preserve"> present in, and facilitate every other industry and the daily life of every Australian. To some extent these technological systems are found in every building, home</w:t>
      </w:r>
      <w:r w:rsidR="00B56280">
        <w:rPr>
          <w:szCs w:val="22"/>
        </w:rPr>
        <w:t xml:space="preserve"> and</w:t>
      </w:r>
      <w:r w:rsidRPr="006A610E">
        <w:rPr>
          <w:szCs w:val="22"/>
        </w:rPr>
        <w:t xml:space="preserve"> industry. However, partly as a result of this ubiquitous presence in every corner of the economy</w:t>
      </w:r>
      <w:r w:rsidR="008E37C3">
        <w:rPr>
          <w:szCs w:val="22"/>
        </w:rPr>
        <w:t>,</w:t>
      </w:r>
      <w:r w:rsidRPr="006A610E">
        <w:rPr>
          <w:szCs w:val="22"/>
        </w:rPr>
        <w:t xml:space="preserve"> and</w:t>
      </w:r>
      <w:r w:rsidR="008E37C3">
        <w:rPr>
          <w:szCs w:val="22"/>
        </w:rPr>
        <w:t xml:space="preserve"> because of</w:t>
      </w:r>
      <w:r w:rsidRPr="006A610E">
        <w:rPr>
          <w:szCs w:val="22"/>
        </w:rPr>
        <w:t xml:space="preserve"> the many and varied technological forms and styles in which it is deployed, RAC is not seen as an industry of its own.</w:t>
      </w:r>
    </w:p>
    <w:p w14:paraId="749D343E" w14:textId="40A2DF4B" w:rsidR="006A610E" w:rsidRPr="006A610E" w:rsidRDefault="006A610E" w:rsidP="006A610E">
      <w:pPr>
        <w:rPr>
          <w:szCs w:val="22"/>
        </w:rPr>
      </w:pPr>
      <w:r w:rsidRPr="006A610E">
        <w:rPr>
          <w:szCs w:val="22"/>
        </w:rPr>
        <w:t>Despite our reliance on refrigeration for essential services</w:t>
      </w:r>
      <w:r w:rsidR="00B56280">
        <w:rPr>
          <w:szCs w:val="22"/>
        </w:rPr>
        <w:t>,</w:t>
      </w:r>
      <w:r w:rsidRPr="006A610E">
        <w:rPr>
          <w:szCs w:val="22"/>
        </w:rPr>
        <w:t xml:space="preserve"> such as the daily delivery and storage of fresh food, it is an industry that is effectively ‘invisible’ while in full view. </w:t>
      </w:r>
    </w:p>
    <w:p w14:paraId="1CF8F1CF" w14:textId="71723FA1" w:rsidR="006A610E" w:rsidRDefault="006A610E" w:rsidP="006A610E">
      <w:pPr>
        <w:rPr>
          <w:szCs w:val="22"/>
        </w:rPr>
      </w:pPr>
      <w:r w:rsidRPr="006A610E">
        <w:rPr>
          <w:szCs w:val="22"/>
        </w:rPr>
        <w:lastRenderedPageBreak/>
        <w:t>Even more invisible is the huge investment in air conditioning that makes the high rise towers of our cities habitable and keeps telecommunication centr</w:t>
      </w:r>
      <w:r w:rsidR="00500DF0">
        <w:rPr>
          <w:szCs w:val="22"/>
        </w:rPr>
        <w:t>e</w:t>
      </w:r>
      <w:r w:rsidRPr="006A610E">
        <w:rPr>
          <w:szCs w:val="22"/>
        </w:rPr>
        <w:t xml:space="preserve">s and </w:t>
      </w:r>
      <w:r w:rsidR="00B56280">
        <w:rPr>
          <w:szCs w:val="22"/>
        </w:rPr>
        <w:t>i</w:t>
      </w:r>
      <w:r w:rsidR="00FB7BB2">
        <w:rPr>
          <w:szCs w:val="22"/>
        </w:rPr>
        <w:t xml:space="preserve">nternet </w:t>
      </w:r>
      <w:r w:rsidRPr="006A610E">
        <w:rPr>
          <w:szCs w:val="22"/>
        </w:rPr>
        <w:t>server farms in operation.  Air conditioning has become almost as ubiquitous a presence in modern Australia as refrigeration.</w:t>
      </w:r>
    </w:p>
    <w:p w14:paraId="3B1889CC" w14:textId="3FB2E802" w:rsidR="006A610E" w:rsidRPr="006A610E" w:rsidRDefault="006A610E" w:rsidP="006A610E">
      <w:pPr>
        <w:rPr>
          <w:szCs w:val="22"/>
        </w:rPr>
      </w:pPr>
      <w:r w:rsidRPr="006A610E">
        <w:rPr>
          <w:szCs w:val="22"/>
        </w:rPr>
        <w:t>Air conditioning is now present in</w:t>
      </w:r>
      <w:r w:rsidR="00B56280">
        <w:rPr>
          <w:szCs w:val="22"/>
        </w:rPr>
        <w:t xml:space="preserve"> nearly all commercial buildings, hotels, retail spaces whether they are single shops or huge shopping malls, in massive convention and conference centres, all hospitals and health centres </w:t>
      </w:r>
      <w:r w:rsidR="002D4C74">
        <w:rPr>
          <w:szCs w:val="22"/>
        </w:rPr>
        <w:t xml:space="preserve">and </w:t>
      </w:r>
      <w:r w:rsidR="00B56280">
        <w:rPr>
          <w:szCs w:val="22"/>
        </w:rPr>
        <w:t>increasingly in universities and schools.</w:t>
      </w:r>
    </w:p>
    <w:p w14:paraId="6E688967" w14:textId="65C92516" w:rsidR="0002672B" w:rsidRPr="00314B55" w:rsidRDefault="0002672B" w:rsidP="00314B55">
      <w:pPr>
        <w:pStyle w:val="ListBullet"/>
        <w:numPr>
          <w:ilvl w:val="0"/>
          <w:numId w:val="0"/>
        </w:numPr>
        <w:contextualSpacing w:val="0"/>
        <w:rPr>
          <w:szCs w:val="22"/>
        </w:rPr>
      </w:pPr>
      <w:r w:rsidRPr="00314B55">
        <w:rPr>
          <w:szCs w:val="22"/>
        </w:rPr>
        <w:t xml:space="preserve">Nearly all modern vehicles have air conditioning as </w:t>
      </w:r>
      <w:r w:rsidR="00FB7BB2">
        <w:rPr>
          <w:szCs w:val="22"/>
        </w:rPr>
        <w:t xml:space="preserve">a </w:t>
      </w:r>
      <w:r w:rsidRPr="00314B55">
        <w:rPr>
          <w:szCs w:val="22"/>
        </w:rPr>
        <w:t>standard</w:t>
      </w:r>
      <w:r w:rsidR="00FB7BB2">
        <w:rPr>
          <w:szCs w:val="22"/>
        </w:rPr>
        <w:t xml:space="preserve"> feature</w:t>
      </w:r>
      <w:r w:rsidR="00B56280">
        <w:rPr>
          <w:szCs w:val="22"/>
        </w:rPr>
        <w:t>.</w:t>
      </w:r>
      <w:r w:rsidR="008C114F" w:rsidRPr="00314B55">
        <w:rPr>
          <w:szCs w:val="22"/>
        </w:rPr>
        <w:t xml:space="preserve"> </w:t>
      </w:r>
      <w:r w:rsidR="00314B55">
        <w:rPr>
          <w:szCs w:val="22"/>
        </w:rPr>
        <w:t xml:space="preserve">Air conditioning is now expected on all </w:t>
      </w:r>
      <w:r w:rsidR="00BE2920">
        <w:rPr>
          <w:szCs w:val="22"/>
        </w:rPr>
        <w:t xml:space="preserve">large </w:t>
      </w:r>
      <w:r w:rsidR="00024F0C" w:rsidRPr="00314B55">
        <w:rPr>
          <w:szCs w:val="22"/>
        </w:rPr>
        <w:t xml:space="preserve">passenger vehicles including </w:t>
      </w:r>
      <w:r w:rsidR="008C114F" w:rsidRPr="00314B55">
        <w:rPr>
          <w:szCs w:val="22"/>
        </w:rPr>
        <w:t>commuter buses</w:t>
      </w:r>
      <w:r w:rsidR="00BE2920">
        <w:rPr>
          <w:szCs w:val="22"/>
        </w:rPr>
        <w:t xml:space="preserve"> and</w:t>
      </w:r>
      <w:r w:rsidR="00024F0C" w:rsidRPr="00314B55">
        <w:rPr>
          <w:szCs w:val="22"/>
        </w:rPr>
        <w:t xml:space="preserve"> </w:t>
      </w:r>
      <w:r w:rsidR="008C114F" w:rsidRPr="00314B55">
        <w:rPr>
          <w:szCs w:val="22"/>
        </w:rPr>
        <w:t>passenger rail</w:t>
      </w:r>
      <w:r w:rsidR="00B56280">
        <w:rPr>
          <w:szCs w:val="22"/>
        </w:rPr>
        <w:t>.</w:t>
      </w:r>
      <w:r w:rsidR="00BE2920">
        <w:rPr>
          <w:szCs w:val="22"/>
        </w:rPr>
        <w:t xml:space="preserve"> A</w:t>
      </w:r>
      <w:r w:rsidRPr="00314B55">
        <w:rPr>
          <w:szCs w:val="22"/>
        </w:rPr>
        <w:t>ll commercial aircraft have extensive air conditioning</w:t>
      </w:r>
      <w:r w:rsidR="00B3119A">
        <w:rPr>
          <w:szCs w:val="22"/>
        </w:rPr>
        <w:t xml:space="preserve"> systems</w:t>
      </w:r>
      <w:r w:rsidR="00024F0C" w:rsidRPr="00314B55">
        <w:rPr>
          <w:szCs w:val="22"/>
        </w:rPr>
        <w:t>. Air conditioning is now becoming more common in off</w:t>
      </w:r>
      <w:r w:rsidR="00BE2920">
        <w:rPr>
          <w:szCs w:val="22"/>
        </w:rPr>
        <w:t>-</w:t>
      </w:r>
      <w:r w:rsidR="00024F0C" w:rsidRPr="00314B55">
        <w:rPr>
          <w:szCs w:val="22"/>
        </w:rPr>
        <w:t xml:space="preserve">road </w:t>
      </w:r>
      <w:r w:rsidR="00BE2920">
        <w:rPr>
          <w:szCs w:val="22"/>
        </w:rPr>
        <w:t>vehicles</w:t>
      </w:r>
      <w:r w:rsidR="00024F0C" w:rsidRPr="00314B55">
        <w:rPr>
          <w:szCs w:val="22"/>
        </w:rPr>
        <w:t xml:space="preserve"> such as military vehicles</w:t>
      </w:r>
      <w:r w:rsidR="00AF1EE1">
        <w:rPr>
          <w:szCs w:val="22"/>
        </w:rPr>
        <w:t>, mining and</w:t>
      </w:r>
      <w:r w:rsidR="00BE2920">
        <w:rPr>
          <w:szCs w:val="22"/>
        </w:rPr>
        <w:t xml:space="preserve"> earth moving equipment</w:t>
      </w:r>
      <w:r w:rsidR="00EF051C" w:rsidRPr="00314B55">
        <w:rPr>
          <w:szCs w:val="22"/>
        </w:rPr>
        <w:t xml:space="preserve"> and </w:t>
      </w:r>
      <w:r w:rsidR="00024F0C" w:rsidRPr="00314B55">
        <w:rPr>
          <w:szCs w:val="22"/>
        </w:rPr>
        <w:t>harvesters</w:t>
      </w:r>
      <w:r w:rsidR="00AF1EE1">
        <w:rPr>
          <w:szCs w:val="22"/>
        </w:rPr>
        <w:t>. M</w:t>
      </w:r>
      <w:r w:rsidRPr="00314B55">
        <w:rPr>
          <w:szCs w:val="22"/>
        </w:rPr>
        <w:t xml:space="preserve">odern luxury boats </w:t>
      </w:r>
      <w:r w:rsidR="00024F0C" w:rsidRPr="00314B55">
        <w:rPr>
          <w:szCs w:val="22"/>
        </w:rPr>
        <w:t xml:space="preserve">have </w:t>
      </w:r>
      <w:r w:rsidRPr="00314B55">
        <w:rPr>
          <w:szCs w:val="22"/>
        </w:rPr>
        <w:t>air conditioning as standard.</w:t>
      </w:r>
    </w:p>
    <w:p w14:paraId="3B6C21F7" w14:textId="5F337D89" w:rsidR="0002672B" w:rsidRPr="0002672B" w:rsidRDefault="0002672B" w:rsidP="0002672B">
      <w:pPr>
        <w:rPr>
          <w:szCs w:val="22"/>
        </w:rPr>
      </w:pPr>
      <w:r w:rsidRPr="0002672B">
        <w:rPr>
          <w:szCs w:val="22"/>
        </w:rPr>
        <w:t>The provision of refrigeration and air conditioning is clearly a major enterprise by any measure. Yet the Australian public has little knowledge of this industry, and does not relate to it</w:t>
      </w:r>
      <w:r w:rsidR="00F438E4">
        <w:rPr>
          <w:szCs w:val="22"/>
        </w:rPr>
        <w:t xml:space="preserve"> as an industry</w:t>
      </w:r>
      <w:r w:rsidRPr="0002672B">
        <w:rPr>
          <w:szCs w:val="22"/>
        </w:rPr>
        <w:t xml:space="preserve"> in any meaningful way.  </w:t>
      </w:r>
    </w:p>
    <w:p w14:paraId="3E5FC9C9" w14:textId="583ED7B8" w:rsidR="0002672B" w:rsidRPr="0002672B" w:rsidRDefault="0002672B" w:rsidP="0002672B">
      <w:pPr>
        <w:rPr>
          <w:szCs w:val="22"/>
        </w:rPr>
      </w:pPr>
      <w:r w:rsidRPr="0002672B">
        <w:rPr>
          <w:szCs w:val="22"/>
        </w:rPr>
        <w:t xml:space="preserve">This obscurity is partly the result of the historical development of the technology and its role in </w:t>
      </w:r>
      <w:r w:rsidR="00F438E4">
        <w:rPr>
          <w:szCs w:val="22"/>
        </w:rPr>
        <w:t xml:space="preserve">almost every other </w:t>
      </w:r>
      <w:r w:rsidRPr="0002672B">
        <w:rPr>
          <w:szCs w:val="22"/>
        </w:rPr>
        <w:t>enterprise or activity</w:t>
      </w:r>
      <w:r w:rsidR="00F438E4">
        <w:rPr>
          <w:szCs w:val="22"/>
        </w:rPr>
        <w:t xml:space="preserve"> a</w:t>
      </w:r>
      <w:r w:rsidRPr="0002672B">
        <w:rPr>
          <w:szCs w:val="22"/>
        </w:rPr>
        <w:t xml:space="preserve">s a service, an input, </w:t>
      </w:r>
      <w:r w:rsidR="00E716AF">
        <w:rPr>
          <w:szCs w:val="22"/>
        </w:rPr>
        <w:t xml:space="preserve">is </w:t>
      </w:r>
      <w:r w:rsidRPr="0002672B">
        <w:rPr>
          <w:szCs w:val="22"/>
        </w:rPr>
        <w:t xml:space="preserve">not generally the main economic game. </w:t>
      </w:r>
    </w:p>
    <w:p w14:paraId="7BCD01AD" w14:textId="02A6E8D5" w:rsidR="0002672B" w:rsidRPr="0002672B" w:rsidRDefault="0002672B" w:rsidP="0002672B">
      <w:pPr>
        <w:rPr>
          <w:szCs w:val="22"/>
        </w:rPr>
      </w:pPr>
      <w:r w:rsidRPr="0002672B">
        <w:rPr>
          <w:szCs w:val="22"/>
        </w:rPr>
        <w:t xml:space="preserve">Agriculture is a good example. Despite the critical reliance on refrigeration for much of Australia’s primary produce, refrigeration services are </w:t>
      </w:r>
      <w:r w:rsidR="008D5223" w:rsidRPr="0002672B">
        <w:rPr>
          <w:szCs w:val="22"/>
        </w:rPr>
        <w:t>relatively</w:t>
      </w:r>
      <w:r w:rsidRPr="0002672B">
        <w:rPr>
          <w:szCs w:val="22"/>
        </w:rPr>
        <w:t xml:space="preserve"> modern phenomena that are just one input (of many) required in the production of food. No one thinks of the </w:t>
      </w:r>
      <w:r w:rsidR="00E716AF">
        <w:rPr>
          <w:szCs w:val="22"/>
        </w:rPr>
        <w:t>refrigerator</w:t>
      </w:r>
      <w:r w:rsidRPr="0002672B">
        <w:rPr>
          <w:szCs w:val="22"/>
        </w:rPr>
        <w:t xml:space="preserve"> when they eat the apple, they think of the tree, the farm, even the truck that carried it to them.</w:t>
      </w:r>
    </w:p>
    <w:p w14:paraId="02C64C01" w14:textId="42CCE47B" w:rsidR="0002672B" w:rsidRPr="0002672B" w:rsidRDefault="0002672B" w:rsidP="0002672B">
      <w:pPr>
        <w:rPr>
          <w:szCs w:val="22"/>
        </w:rPr>
      </w:pPr>
      <w:r w:rsidRPr="0002672B">
        <w:rPr>
          <w:szCs w:val="22"/>
        </w:rPr>
        <w:t>Similarly in the construction industry, many modern construction techniques and building designs rely on extensive and energy intensive air conditioning to make the buildings habitable. However the air conditioning is not the main objective of the endeavo</w:t>
      </w:r>
      <w:r w:rsidR="00F438E4">
        <w:rPr>
          <w:szCs w:val="22"/>
        </w:rPr>
        <w:t>u</w:t>
      </w:r>
      <w:r w:rsidRPr="0002672B">
        <w:rPr>
          <w:szCs w:val="22"/>
        </w:rPr>
        <w:t xml:space="preserve">r. </w:t>
      </w:r>
    </w:p>
    <w:p w14:paraId="0C5E631C" w14:textId="71AE0557" w:rsidR="0002672B" w:rsidRPr="0002672B" w:rsidRDefault="0002672B" w:rsidP="0002672B">
      <w:pPr>
        <w:rPr>
          <w:szCs w:val="22"/>
        </w:rPr>
      </w:pPr>
      <w:r w:rsidRPr="0002672B">
        <w:rPr>
          <w:szCs w:val="22"/>
        </w:rPr>
        <w:t xml:space="preserve">This invisible role of RAC in the economy means that it has not fared well in the collection of </w:t>
      </w:r>
      <w:r w:rsidR="00656E68">
        <w:rPr>
          <w:szCs w:val="22"/>
        </w:rPr>
        <w:t xml:space="preserve">economic </w:t>
      </w:r>
      <w:r w:rsidRPr="0002672B">
        <w:rPr>
          <w:szCs w:val="22"/>
        </w:rPr>
        <w:t>data by government</w:t>
      </w:r>
      <w:r w:rsidR="00FB7BB2">
        <w:rPr>
          <w:szCs w:val="22"/>
        </w:rPr>
        <w:t>. T</w:t>
      </w:r>
      <w:r w:rsidRPr="0002672B">
        <w:rPr>
          <w:szCs w:val="22"/>
        </w:rPr>
        <w:t>he Australian Bureau of Statistics (ABS)</w:t>
      </w:r>
      <w:r w:rsidR="008D5223">
        <w:rPr>
          <w:szCs w:val="22"/>
        </w:rPr>
        <w:t xml:space="preserve">, </w:t>
      </w:r>
      <w:r w:rsidRPr="0002672B">
        <w:rPr>
          <w:szCs w:val="22"/>
        </w:rPr>
        <w:t>responsible for measur</w:t>
      </w:r>
      <w:r w:rsidR="00B56280">
        <w:rPr>
          <w:szCs w:val="22"/>
        </w:rPr>
        <w:t>ing</w:t>
      </w:r>
      <w:r w:rsidRPr="0002672B">
        <w:rPr>
          <w:szCs w:val="22"/>
        </w:rPr>
        <w:t xml:space="preserve"> economic and social activity in Australia has, over the decades, evolved very well defined and tested methodologies for collecting and processing data on the many facets of the economy. </w:t>
      </w:r>
    </w:p>
    <w:p w14:paraId="1C0CEB1D" w14:textId="1EBB8E6C" w:rsidR="0002672B" w:rsidRPr="0002672B" w:rsidRDefault="0002672B" w:rsidP="0002672B">
      <w:pPr>
        <w:rPr>
          <w:szCs w:val="22"/>
        </w:rPr>
      </w:pPr>
      <w:r w:rsidRPr="0002672B">
        <w:rPr>
          <w:szCs w:val="22"/>
        </w:rPr>
        <w:t xml:space="preserve">Much of the economic analysis of the ABS is about defining inputs and outputs and the value of activity that results in goods and services for domestic consumption or export, or activity that transforms materials. </w:t>
      </w:r>
    </w:p>
    <w:p w14:paraId="36A47C03" w14:textId="3FB5F2BB" w:rsidR="0002672B" w:rsidRPr="0002672B" w:rsidRDefault="0002672B" w:rsidP="0002672B">
      <w:pPr>
        <w:rPr>
          <w:szCs w:val="22"/>
        </w:rPr>
      </w:pPr>
      <w:r w:rsidRPr="0002672B">
        <w:rPr>
          <w:szCs w:val="22"/>
        </w:rPr>
        <w:t xml:space="preserve">But </w:t>
      </w:r>
      <w:r w:rsidR="00FB7BB2">
        <w:rPr>
          <w:szCs w:val="22"/>
        </w:rPr>
        <w:t>how do you measure the</w:t>
      </w:r>
      <w:r w:rsidRPr="0002672B">
        <w:rPr>
          <w:szCs w:val="22"/>
        </w:rPr>
        <w:t xml:space="preserve"> economic</w:t>
      </w:r>
      <w:r w:rsidR="00FB7BB2">
        <w:rPr>
          <w:szCs w:val="22"/>
        </w:rPr>
        <w:t xml:space="preserve"> value</w:t>
      </w:r>
      <w:r w:rsidRPr="0002672B">
        <w:rPr>
          <w:szCs w:val="22"/>
        </w:rPr>
        <w:t xml:space="preserve"> of refrigeration and air conditioning? No one pays for refrigeration or air conditioning as a separate service. Transport is a service that is paid for and easily understood as it can be </w:t>
      </w:r>
      <w:r w:rsidR="00656E68">
        <w:rPr>
          <w:szCs w:val="22"/>
        </w:rPr>
        <w:t xml:space="preserve">easily </w:t>
      </w:r>
      <w:r w:rsidRPr="0002672B">
        <w:rPr>
          <w:szCs w:val="22"/>
        </w:rPr>
        <w:t xml:space="preserve">measured. Telephony, electricity and water consumption can be easily metered. The use of buildings by tenants or the </w:t>
      </w:r>
      <w:r w:rsidR="00656E68">
        <w:rPr>
          <w:szCs w:val="22"/>
        </w:rPr>
        <w:t>rent returned to</w:t>
      </w:r>
      <w:r w:rsidRPr="0002672B">
        <w:rPr>
          <w:szCs w:val="22"/>
        </w:rPr>
        <w:t xml:space="preserve"> owners can be easily measured. The production and trading of commodities and their transformation into value added products can be measured. But there is no usual means or method of measuring the provision and value of refrigeration and air conditioning</w:t>
      </w:r>
      <w:r w:rsidR="00B56280">
        <w:rPr>
          <w:szCs w:val="22"/>
        </w:rPr>
        <w:t>,</w:t>
      </w:r>
      <w:r w:rsidR="005C3586">
        <w:rPr>
          <w:szCs w:val="22"/>
        </w:rPr>
        <w:t xml:space="preserve"> </w:t>
      </w:r>
      <w:r w:rsidR="00B56280">
        <w:rPr>
          <w:szCs w:val="22"/>
        </w:rPr>
        <w:t>nor of calculating</w:t>
      </w:r>
      <w:r w:rsidR="005C3586">
        <w:rPr>
          <w:szCs w:val="22"/>
        </w:rPr>
        <w:t xml:space="preserve"> the change in value of other goods or services as a result of RAC services</w:t>
      </w:r>
      <w:r w:rsidR="00B56280">
        <w:rPr>
          <w:szCs w:val="22"/>
        </w:rPr>
        <w:t>. Y</w:t>
      </w:r>
      <w:r w:rsidR="005C3586">
        <w:rPr>
          <w:szCs w:val="22"/>
        </w:rPr>
        <w:t>et without</w:t>
      </w:r>
      <w:r w:rsidR="00B222B0">
        <w:rPr>
          <w:szCs w:val="22"/>
        </w:rPr>
        <w:t xml:space="preserve"> these services</w:t>
      </w:r>
      <w:r w:rsidR="005C3586">
        <w:rPr>
          <w:szCs w:val="22"/>
        </w:rPr>
        <w:t xml:space="preserve"> there is much we take for granted that would not be possible</w:t>
      </w:r>
      <w:r w:rsidRPr="0002672B">
        <w:rPr>
          <w:szCs w:val="22"/>
        </w:rPr>
        <w:t>.</w:t>
      </w:r>
    </w:p>
    <w:p w14:paraId="5F364A6E" w14:textId="422DD277" w:rsidR="0002672B" w:rsidRPr="0002672B" w:rsidRDefault="005C3586" w:rsidP="0002672B">
      <w:pPr>
        <w:rPr>
          <w:szCs w:val="22"/>
        </w:rPr>
      </w:pPr>
      <w:r>
        <w:rPr>
          <w:szCs w:val="22"/>
        </w:rPr>
        <w:t xml:space="preserve">One measure that </w:t>
      </w:r>
      <w:r w:rsidR="0002672B" w:rsidRPr="0002672B">
        <w:rPr>
          <w:szCs w:val="22"/>
        </w:rPr>
        <w:t xml:space="preserve">became immediately apparent from CHF1 was the extent to which refrigeration and air conditioning systems are major consumers of electricity in the economy and, when combined with the direct emissions of refrigerant gas, </w:t>
      </w:r>
      <w:r w:rsidR="00E44294" w:rsidRPr="0002672B">
        <w:rPr>
          <w:szCs w:val="22"/>
        </w:rPr>
        <w:t>are significant sources</w:t>
      </w:r>
      <w:r w:rsidR="0002672B" w:rsidRPr="0002672B">
        <w:rPr>
          <w:szCs w:val="22"/>
        </w:rPr>
        <w:t xml:space="preserve"> of greenhouse gas emissions. </w:t>
      </w:r>
    </w:p>
    <w:p w14:paraId="40D23D1F" w14:textId="4BBD2E2E" w:rsidR="0002672B" w:rsidRPr="0002672B" w:rsidRDefault="0002672B" w:rsidP="0002672B">
      <w:pPr>
        <w:rPr>
          <w:szCs w:val="22"/>
        </w:rPr>
      </w:pPr>
      <w:r w:rsidRPr="0002672B">
        <w:rPr>
          <w:szCs w:val="22"/>
        </w:rPr>
        <w:t>R</w:t>
      </w:r>
      <w:r w:rsidR="00932C1C">
        <w:rPr>
          <w:szCs w:val="22"/>
        </w:rPr>
        <w:t>AC equipment</w:t>
      </w:r>
      <w:r w:rsidRPr="0002672B">
        <w:rPr>
          <w:szCs w:val="22"/>
        </w:rPr>
        <w:t xml:space="preserve"> consume the most electricity of any single class of technology in the economy and</w:t>
      </w:r>
      <w:r w:rsidR="00656E68">
        <w:rPr>
          <w:szCs w:val="22"/>
        </w:rPr>
        <w:t>,</w:t>
      </w:r>
      <w:r w:rsidRPr="0002672B">
        <w:rPr>
          <w:szCs w:val="22"/>
        </w:rPr>
        <w:t xml:space="preserve"> second only to ‘transport related emissions’, produce more greenhouse gas emissions than any other single energy end-use technology. </w:t>
      </w:r>
    </w:p>
    <w:p w14:paraId="268F1412" w14:textId="50CE05FC" w:rsidR="0002672B" w:rsidRPr="0002672B" w:rsidRDefault="00164672" w:rsidP="0002672B">
      <w:pPr>
        <w:rPr>
          <w:szCs w:val="22"/>
        </w:rPr>
      </w:pPr>
      <w:r>
        <w:rPr>
          <w:szCs w:val="22"/>
        </w:rPr>
        <w:t>As you would expect,</w:t>
      </w:r>
      <w:r w:rsidR="0002672B" w:rsidRPr="0002672B">
        <w:rPr>
          <w:szCs w:val="22"/>
        </w:rPr>
        <w:t xml:space="preserve"> the national policy focus </w:t>
      </w:r>
      <w:r>
        <w:rPr>
          <w:szCs w:val="22"/>
        </w:rPr>
        <w:t xml:space="preserve">in recent years </w:t>
      </w:r>
      <w:r w:rsidR="0002672B" w:rsidRPr="0002672B">
        <w:rPr>
          <w:szCs w:val="22"/>
        </w:rPr>
        <w:t xml:space="preserve">on reducing the greenhouse </w:t>
      </w:r>
      <w:r w:rsidR="00E52D0F">
        <w:rPr>
          <w:szCs w:val="22"/>
        </w:rPr>
        <w:t xml:space="preserve">gas </w:t>
      </w:r>
      <w:r w:rsidR="0002672B" w:rsidRPr="0002672B">
        <w:rPr>
          <w:szCs w:val="22"/>
        </w:rPr>
        <w:t>intensity of the economy has drive</w:t>
      </w:r>
      <w:r>
        <w:rPr>
          <w:szCs w:val="22"/>
        </w:rPr>
        <w:t>n</w:t>
      </w:r>
      <w:r w:rsidR="0002672B" w:rsidRPr="0002672B">
        <w:rPr>
          <w:szCs w:val="22"/>
        </w:rPr>
        <w:t xml:space="preserve"> significant changes in the RAC industry. In the course of the last decade the energy efficiency of equipment and components has been a major focus of regulatory efforts, and of capital investment in product design and efficiency improvements.</w:t>
      </w:r>
    </w:p>
    <w:p w14:paraId="521A10C4" w14:textId="3D31563A" w:rsidR="00164672" w:rsidRDefault="0002672B" w:rsidP="0002672B">
      <w:pPr>
        <w:rPr>
          <w:szCs w:val="22"/>
        </w:rPr>
      </w:pPr>
      <w:r w:rsidRPr="0002672B">
        <w:rPr>
          <w:szCs w:val="22"/>
        </w:rPr>
        <w:lastRenderedPageBreak/>
        <w:t xml:space="preserve">More recently, with the </w:t>
      </w:r>
      <w:r w:rsidR="00923102">
        <w:rPr>
          <w:szCs w:val="22"/>
        </w:rPr>
        <w:t xml:space="preserve">implementation of </w:t>
      </w:r>
      <w:r w:rsidRPr="0002672B">
        <w:rPr>
          <w:szCs w:val="22"/>
        </w:rPr>
        <w:t>the</w:t>
      </w:r>
      <w:r w:rsidR="00932C1C">
        <w:rPr>
          <w:szCs w:val="22"/>
        </w:rPr>
        <w:t xml:space="preserve"> </w:t>
      </w:r>
      <w:r w:rsidR="00932C1C" w:rsidRPr="0002672B">
        <w:rPr>
          <w:szCs w:val="22"/>
        </w:rPr>
        <w:t>“Clean Energy Future Plan”</w:t>
      </w:r>
      <w:r w:rsidRPr="0002672B">
        <w:rPr>
          <w:szCs w:val="22"/>
        </w:rPr>
        <w:t xml:space="preserve"> by the Federal Government </w:t>
      </w:r>
      <w:r w:rsidR="00923102" w:rsidRPr="00923102">
        <w:rPr>
          <w:szCs w:val="22"/>
        </w:rPr>
        <w:t>on July 1 2012</w:t>
      </w:r>
      <w:r w:rsidR="00923102">
        <w:rPr>
          <w:szCs w:val="22"/>
        </w:rPr>
        <w:t xml:space="preserve">, </w:t>
      </w:r>
      <w:r w:rsidRPr="0002672B">
        <w:rPr>
          <w:szCs w:val="22"/>
        </w:rPr>
        <w:t xml:space="preserve">industry has had to work through </w:t>
      </w:r>
      <w:r w:rsidR="00164672">
        <w:rPr>
          <w:szCs w:val="22"/>
        </w:rPr>
        <w:t>a major</w:t>
      </w:r>
      <w:r w:rsidRPr="0002672B">
        <w:rPr>
          <w:szCs w:val="22"/>
        </w:rPr>
        <w:t xml:space="preserve"> economic adjustment </w:t>
      </w:r>
      <w:r w:rsidR="00923102">
        <w:rPr>
          <w:szCs w:val="22"/>
        </w:rPr>
        <w:t xml:space="preserve">when </w:t>
      </w:r>
      <w:r w:rsidRPr="0002672B">
        <w:rPr>
          <w:szCs w:val="22"/>
        </w:rPr>
        <w:t>an equivalent carbon price was applied to synthetic greenhouse gases listed under the Kyoto Protocol.</w:t>
      </w:r>
      <w:r w:rsidR="00932C1C">
        <w:rPr>
          <w:szCs w:val="22"/>
        </w:rPr>
        <w:t xml:space="preserve"> </w:t>
      </w:r>
    </w:p>
    <w:p w14:paraId="5A01B900" w14:textId="0AC887DD" w:rsidR="0002672B" w:rsidRPr="0002672B" w:rsidRDefault="00932C1C" w:rsidP="0002672B">
      <w:pPr>
        <w:rPr>
          <w:szCs w:val="22"/>
        </w:rPr>
      </w:pPr>
      <w:r w:rsidRPr="0002672B">
        <w:rPr>
          <w:szCs w:val="22"/>
        </w:rPr>
        <w:t>This ‘equivalent carbon price’</w:t>
      </w:r>
      <w:r>
        <w:rPr>
          <w:szCs w:val="22"/>
        </w:rPr>
        <w:t xml:space="preserve"> (ECP)</w:t>
      </w:r>
      <w:r w:rsidR="0002672B" w:rsidRPr="0002672B">
        <w:rPr>
          <w:szCs w:val="22"/>
        </w:rPr>
        <w:t xml:space="preserve"> applied at the point of import</w:t>
      </w:r>
      <w:r w:rsidR="00E52D0F">
        <w:rPr>
          <w:szCs w:val="22"/>
        </w:rPr>
        <w:t xml:space="preserve"> or manufacture</w:t>
      </w:r>
      <w:r w:rsidR="0002672B" w:rsidRPr="0002672B">
        <w:rPr>
          <w:szCs w:val="22"/>
        </w:rPr>
        <w:t>, is based on the global warming potential of the gas</w:t>
      </w:r>
      <w:r w:rsidR="0093219B">
        <w:rPr>
          <w:szCs w:val="22"/>
        </w:rPr>
        <w:t>.</w:t>
      </w:r>
      <w:r w:rsidR="0002672B" w:rsidRPr="0002672B">
        <w:rPr>
          <w:szCs w:val="22"/>
        </w:rPr>
        <w:t xml:space="preserve"> Th</w:t>
      </w:r>
      <w:r>
        <w:rPr>
          <w:szCs w:val="22"/>
        </w:rPr>
        <w:t>e</w:t>
      </w:r>
      <w:r w:rsidR="00164672">
        <w:rPr>
          <w:szCs w:val="22"/>
        </w:rPr>
        <w:t xml:space="preserve"> price increases resulting from the</w:t>
      </w:r>
      <w:r>
        <w:rPr>
          <w:szCs w:val="22"/>
        </w:rPr>
        <w:t xml:space="preserve"> </w:t>
      </w:r>
      <w:r w:rsidR="0002672B" w:rsidRPr="0002672B">
        <w:rPr>
          <w:szCs w:val="22"/>
        </w:rPr>
        <w:t>ECP had a</w:t>
      </w:r>
      <w:r w:rsidR="0086423D">
        <w:rPr>
          <w:szCs w:val="22"/>
        </w:rPr>
        <w:t>n</w:t>
      </w:r>
      <w:r w:rsidR="0002672B" w:rsidRPr="0002672B">
        <w:rPr>
          <w:szCs w:val="22"/>
        </w:rPr>
        <w:t xml:space="preserve"> </w:t>
      </w:r>
      <w:r w:rsidR="0086423D">
        <w:rPr>
          <w:szCs w:val="22"/>
        </w:rPr>
        <w:t>immediate</w:t>
      </w:r>
      <w:r w:rsidR="0002672B" w:rsidRPr="0002672B">
        <w:rPr>
          <w:szCs w:val="22"/>
        </w:rPr>
        <w:t xml:space="preserve"> impact on </w:t>
      </w:r>
      <w:r w:rsidR="00F612EC">
        <w:rPr>
          <w:szCs w:val="22"/>
        </w:rPr>
        <w:t xml:space="preserve">the </w:t>
      </w:r>
      <w:r w:rsidR="002C2A4B">
        <w:rPr>
          <w:szCs w:val="22"/>
        </w:rPr>
        <w:t xml:space="preserve">improved </w:t>
      </w:r>
      <w:r w:rsidR="00F612EC">
        <w:rPr>
          <w:szCs w:val="22"/>
        </w:rPr>
        <w:t xml:space="preserve">containment and </w:t>
      </w:r>
      <w:r w:rsidR="002C2A4B">
        <w:rPr>
          <w:szCs w:val="22"/>
        </w:rPr>
        <w:t xml:space="preserve">increased </w:t>
      </w:r>
      <w:r w:rsidR="00F612EC">
        <w:rPr>
          <w:szCs w:val="22"/>
        </w:rPr>
        <w:t>reuse of high GWP gases</w:t>
      </w:r>
      <w:r w:rsidR="0002672B" w:rsidRPr="0002672B">
        <w:rPr>
          <w:szCs w:val="22"/>
        </w:rPr>
        <w:t xml:space="preserve">, and the employment of low GWP refrigerants. </w:t>
      </w:r>
    </w:p>
    <w:p w14:paraId="0F231343" w14:textId="3B546FBB" w:rsidR="0002672B" w:rsidRPr="0002672B" w:rsidRDefault="0002672B" w:rsidP="0002672B">
      <w:pPr>
        <w:rPr>
          <w:szCs w:val="22"/>
        </w:rPr>
      </w:pPr>
      <w:r w:rsidRPr="0002672B">
        <w:rPr>
          <w:szCs w:val="22"/>
        </w:rPr>
        <w:t xml:space="preserve">These significant environmental, technological and economic drivers for change have resulted in some adjustment stress across segments of the industry, however most of the industry has reacted positively with many readily accepting the inevitability and necessity of the transformations that are taking place. </w:t>
      </w:r>
    </w:p>
    <w:p w14:paraId="4FA6B825" w14:textId="7F81707F" w:rsidR="0002672B" w:rsidRPr="0002672B" w:rsidRDefault="0002672B" w:rsidP="0002672B">
      <w:pPr>
        <w:rPr>
          <w:szCs w:val="22"/>
        </w:rPr>
      </w:pPr>
      <w:r w:rsidRPr="0002672B">
        <w:rPr>
          <w:szCs w:val="22"/>
        </w:rPr>
        <w:t>For instance, the national professional body for the industry in Australia, the Australian Institute of Refrigeration, Air conditioning and Heating (AIRAH) has embarked on a multi-year program of consultation and planning to establish an industry roadmap</w:t>
      </w:r>
      <w:r w:rsidR="0086423D">
        <w:rPr>
          <w:szCs w:val="22"/>
        </w:rPr>
        <w:t>. The roadmap</w:t>
      </w:r>
      <w:r w:rsidRPr="0002672B">
        <w:rPr>
          <w:szCs w:val="22"/>
        </w:rPr>
        <w:t xml:space="preserve"> will establish a framework for change through which priorities for industry development can be set and attained.  This commitment to planning for change, instead of being driven by change</w:t>
      </w:r>
      <w:r w:rsidR="0086423D">
        <w:rPr>
          <w:szCs w:val="22"/>
        </w:rPr>
        <w:t>,</w:t>
      </w:r>
      <w:r w:rsidRPr="0002672B">
        <w:rPr>
          <w:szCs w:val="22"/>
        </w:rPr>
        <w:t xml:space="preserve"> puts the Australian industry in a good position to prosper, and to meet their obligations to the community in a competent, professional and sustainable manner.</w:t>
      </w:r>
    </w:p>
    <w:p w14:paraId="49F3563B" w14:textId="7C2DA3EB" w:rsidR="0002672B" w:rsidRPr="0002672B" w:rsidRDefault="0002672B" w:rsidP="0002672B">
      <w:pPr>
        <w:rPr>
          <w:szCs w:val="22"/>
        </w:rPr>
      </w:pPr>
      <w:r w:rsidRPr="0002672B">
        <w:rPr>
          <w:szCs w:val="22"/>
        </w:rPr>
        <w:t>However all the data indicates that there is</w:t>
      </w:r>
      <w:r w:rsidR="00164672">
        <w:rPr>
          <w:szCs w:val="22"/>
        </w:rPr>
        <w:t xml:space="preserve"> a great deal that</w:t>
      </w:r>
      <w:r w:rsidRPr="0002672B">
        <w:rPr>
          <w:szCs w:val="22"/>
        </w:rPr>
        <w:t xml:space="preserve"> can be done. AIRAH believes that </w:t>
      </w:r>
      <w:r w:rsidR="00F46A2C">
        <w:rPr>
          <w:szCs w:val="22"/>
        </w:rPr>
        <w:t xml:space="preserve">efficiency and gas handling </w:t>
      </w:r>
      <w:r w:rsidRPr="0002672B">
        <w:rPr>
          <w:szCs w:val="22"/>
        </w:rPr>
        <w:t>measures tailored to each equipment category could deliver emissions abatement of more than 12</w:t>
      </w:r>
      <w:r w:rsidR="00D05407">
        <w:rPr>
          <w:szCs w:val="22"/>
        </w:rPr>
        <w:t xml:space="preserve"> </w:t>
      </w:r>
      <w:r w:rsidRPr="0002672B">
        <w:rPr>
          <w:szCs w:val="22"/>
        </w:rPr>
        <w:t>Mt CO</w:t>
      </w:r>
      <w:r w:rsidRPr="00D05407">
        <w:rPr>
          <w:szCs w:val="22"/>
          <w:vertAlign w:val="subscript"/>
        </w:rPr>
        <w:t>2</w:t>
      </w:r>
      <w:r w:rsidRPr="0002672B">
        <w:rPr>
          <w:szCs w:val="22"/>
        </w:rPr>
        <w:t>-e per annum. This includes, combining efforts on component efficiency, improved maintenance, documentation, data and performance monitoring, and improved refrigerant containment</w:t>
      </w:r>
      <w:r w:rsidR="00F612EC">
        <w:rPr>
          <w:szCs w:val="22"/>
        </w:rPr>
        <w:t>.</w:t>
      </w:r>
      <w:r w:rsidRPr="0002672B">
        <w:rPr>
          <w:szCs w:val="22"/>
        </w:rPr>
        <w:t xml:space="preserve">  </w:t>
      </w:r>
    </w:p>
    <w:p w14:paraId="173FF9C4" w14:textId="63EF969B" w:rsidR="0002672B" w:rsidRPr="0002672B" w:rsidRDefault="00F46A2C" w:rsidP="0002672B">
      <w:pPr>
        <w:rPr>
          <w:szCs w:val="22"/>
        </w:rPr>
      </w:pPr>
      <w:r>
        <w:rPr>
          <w:szCs w:val="22"/>
        </w:rPr>
        <w:t>Given the scale of the RAC industry</w:t>
      </w:r>
      <w:r w:rsidR="00164672">
        <w:rPr>
          <w:szCs w:val="22"/>
        </w:rPr>
        <w:t xml:space="preserve"> in the Australian energy economy</w:t>
      </w:r>
      <w:r>
        <w:rPr>
          <w:szCs w:val="22"/>
        </w:rPr>
        <w:t>, c</w:t>
      </w:r>
      <w:r w:rsidR="0002672B" w:rsidRPr="0002672B">
        <w:rPr>
          <w:szCs w:val="22"/>
        </w:rPr>
        <w:t>ontinuing efforts to increase the efficiency of energy use in RAC services</w:t>
      </w:r>
      <w:r>
        <w:rPr>
          <w:szCs w:val="22"/>
        </w:rPr>
        <w:t>,</w:t>
      </w:r>
      <w:r w:rsidR="0002672B" w:rsidRPr="0002672B">
        <w:rPr>
          <w:szCs w:val="22"/>
        </w:rPr>
        <w:t xml:space="preserve"> and to reduce the direct and indirect </w:t>
      </w:r>
      <w:r>
        <w:rPr>
          <w:szCs w:val="22"/>
        </w:rPr>
        <w:t xml:space="preserve">greenhouse gas </w:t>
      </w:r>
      <w:r w:rsidR="0002672B" w:rsidRPr="0002672B">
        <w:rPr>
          <w:szCs w:val="22"/>
        </w:rPr>
        <w:t>emissions</w:t>
      </w:r>
      <w:r w:rsidR="002C2A4B">
        <w:rPr>
          <w:szCs w:val="22"/>
        </w:rPr>
        <w:t xml:space="preserve"> from RAC equipment</w:t>
      </w:r>
      <w:r w:rsidR="0002672B" w:rsidRPr="0002672B">
        <w:rPr>
          <w:szCs w:val="22"/>
        </w:rPr>
        <w:t xml:space="preserve">, must be </w:t>
      </w:r>
      <w:r>
        <w:rPr>
          <w:szCs w:val="22"/>
        </w:rPr>
        <w:t xml:space="preserve">successful </w:t>
      </w:r>
      <w:r w:rsidR="0002672B" w:rsidRPr="0002672B">
        <w:rPr>
          <w:szCs w:val="22"/>
        </w:rPr>
        <w:t>to drive the Australian economy to a low emissions future. Two major studies,</w:t>
      </w:r>
      <w:r w:rsidR="0002672B">
        <w:rPr>
          <w:szCs w:val="22"/>
        </w:rPr>
        <w:t xml:space="preserve"> </w:t>
      </w:r>
      <w:r w:rsidR="0002672B" w:rsidRPr="0002672B">
        <w:rPr>
          <w:szCs w:val="22"/>
        </w:rPr>
        <w:t xml:space="preserve">the </w:t>
      </w:r>
      <w:r w:rsidR="0002672B" w:rsidRPr="008500EA">
        <w:rPr>
          <w:szCs w:val="22"/>
        </w:rPr>
        <w:t>‘</w:t>
      </w:r>
      <w:r w:rsidR="0002672B" w:rsidRPr="00F612EC">
        <w:rPr>
          <w:i/>
          <w:szCs w:val="22"/>
        </w:rPr>
        <w:t>HVAC High Efficiency Systems Strategy’</w:t>
      </w:r>
      <w:r w:rsidR="0002672B" w:rsidRPr="0002672B">
        <w:rPr>
          <w:szCs w:val="22"/>
        </w:rPr>
        <w:t xml:space="preserve">, and </w:t>
      </w:r>
      <w:r w:rsidR="0002672B" w:rsidRPr="008500EA">
        <w:rPr>
          <w:szCs w:val="22"/>
        </w:rPr>
        <w:t>‘</w:t>
      </w:r>
      <w:r w:rsidR="0002672B" w:rsidRPr="00F612EC">
        <w:rPr>
          <w:i/>
          <w:szCs w:val="22"/>
        </w:rPr>
        <w:t>In From the Cold</w:t>
      </w:r>
      <w:r w:rsidR="0002672B" w:rsidRPr="008500EA">
        <w:rPr>
          <w:szCs w:val="22"/>
        </w:rPr>
        <w:t>’</w:t>
      </w:r>
      <w:r w:rsidR="0002672B" w:rsidRPr="0002672B">
        <w:rPr>
          <w:szCs w:val="22"/>
        </w:rPr>
        <w:t xml:space="preserve"> have previously outlined 10 year </w:t>
      </w:r>
      <w:r>
        <w:rPr>
          <w:szCs w:val="22"/>
        </w:rPr>
        <w:t xml:space="preserve">industry transformation </w:t>
      </w:r>
      <w:r w:rsidR="0002672B" w:rsidRPr="0002672B">
        <w:rPr>
          <w:szCs w:val="22"/>
        </w:rPr>
        <w:t>strategies that would enable government and industry to achieve these goals</w:t>
      </w:r>
      <w:r w:rsidR="0002672B">
        <w:rPr>
          <w:szCs w:val="22"/>
        </w:rPr>
        <w:t xml:space="preserve"> (</w:t>
      </w:r>
      <w:r w:rsidR="00891EC7">
        <w:rPr>
          <w:szCs w:val="22"/>
        </w:rPr>
        <w:t>E3 2007 and E3 2009a)</w:t>
      </w:r>
      <w:r w:rsidR="0002672B" w:rsidRPr="0002672B">
        <w:rPr>
          <w:szCs w:val="22"/>
        </w:rPr>
        <w:t>.</w:t>
      </w:r>
    </w:p>
    <w:p w14:paraId="2DBFBBAB" w14:textId="77777777" w:rsidR="00164672" w:rsidRDefault="0002672B" w:rsidP="0002672B">
      <w:pPr>
        <w:rPr>
          <w:szCs w:val="22"/>
        </w:rPr>
      </w:pPr>
      <w:r w:rsidRPr="0002672B">
        <w:rPr>
          <w:szCs w:val="22"/>
        </w:rPr>
        <w:t xml:space="preserve">As a first step to developing a more detailed understanding of the role of RAC in the energy economy, some parts of the industry should possibly be elevated to have a policy focus in their own right. </w:t>
      </w:r>
    </w:p>
    <w:p w14:paraId="0C5D9000" w14:textId="456276F6" w:rsidR="0002672B" w:rsidRPr="0002672B" w:rsidRDefault="00164672" w:rsidP="0002672B">
      <w:pPr>
        <w:rPr>
          <w:szCs w:val="22"/>
        </w:rPr>
      </w:pPr>
      <w:r>
        <w:rPr>
          <w:szCs w:val="22"/>
        </w:rPr>
        <w:t>T</w:t>
      </w:r>
      <w:r w:rsidR="0002672B" w:rsidRPr="0002672B">
        <w:rPr>
          <w:szCs w:val="22"/>
        </w:rPr>
        <w:t>he cold food chain</w:t>
      </w:r>
      <w:r>
        <w:rPr>
          <w:szCs w:val="22"/>
        </w:rPr>
        <w:t xml:space="preserve"> for instance,</w:t>
      </w:r>
      <w:r w:rsidR="0002672B" w:rsidRPr="0002672B">
        <w:rPr>
          <w:szCs w:val="22"/>
        </w:rPr>
        <w:t xml:space="preserve"> that refrigerates fresh food from the farm shed to the family kitchen (and to export)</w:t>
      </w:r>
      <w:r>
        <w:rPr>
          <w:szCs w:val="22"/>
        </w:rPr>
        <w:t>,</w:t>
      </w:r>
      <w:r w:rsidR="0002672B" w:rsidRPr="0002672B">
        <w:rPr>
          <w:szCs w:val="22"/>
        </w:rPr>
        <w:t xml:space="preserve"> is so extensive and energy intensive</w:t>
      </w:r>
      <w:r w:rsidR="00F46A2C">
        <w:rPr>
          <w:szCs w:val="22"/>
        </w:rPr>
        <w:t>,</w:t>
      </w:r>
      <w:r w:rsidR="0002672B" w:rsidRPr="0002672B">
        <w:rPr>
          <w:szCs w:val="22"/>
        </w:rPr>
        <w:t xml:space="preserve"> and is so </w:t>
      </w:r>
      <w:r>
        <w:rPr>
          <w:szCs w:val="22"/>
        </w:rPr>
        <w:t>vital</w:t>
      </w:r>
      <w:r w:rsidR="0002672B" w:rsidRPr="0002672B">
        <w:rPr>
          <w:szCs w:val="22"/>
        </w:rPr>
        <w:t xml:space="preserve"> to the functioning of our cities, it could be regarded as a piece of national infrastructure of the same scale and importance as roads and the distribution of water and electricity. Just like water reticulation, electricity distribution and transport networks, the cold food chain is not an option for our cities. It is an essential service.</w:t>
      </w:r>
    </w:p>
    <w:p w14:paraId="7C6A0186" w14:textId="10E09945" w:rsidR="0002672B" w:rsidRPr="0002672B" w:rsidRDefault="0002672B" w:rsidP="0002672B">
      <w:pPr>
        <w:rPr>
          <w:szCs w:val="22"/>
        </w:rPr>
      </w:pPr>
      <w:r w:rsidRPr="0002672B">
        <w:rPr>
          <w:szCs w:val="22"/>
        </w:rPr>
        <w:t>This report will hopefully provide greater insight into the many aspects of the RAC industry so that its role and importance in the economy can be better understood</w:t>
      </w:r>
      <w:r w:rsidR="00F46A2C">
        <w:rPr>
          <w:szCs w:val="22"/>
        </w:rPr>
        <w:t>, and re</w:t>
      </w:r>
      <w:r w:rsidR="00164672">
        <w:rPr>
          <w:szCs w:val="22"/>
        </w:rPr>
        <w:t xml:space="preserve">ceive the policy attention, </w:t>
      </w:r>
      <w:r w:rsidR="00F46A2C">
        <w:rPr>
          <w:szCs w:val="22"/>
        </w:rPr>
        <w:t>planning and training resources that it deserves</w:t>
      </w:r>
      <w:r w:rsidRPr="0002672B">
        <w:rPr>
          <w:szCs w:val="22"/>
        </w:rPr>
        <w:t xml:space="preserve">. </w:t>
      </w:r>
      <w:r w:rsidR="00164672">
        <w:rPr>
          <w:szCs w:val="22"/>
        </w:rPr>
        <w:t>This major measures of the industry reported here</w:t>
      </w:r>
      <w:r w:rsidRPr="0002672B">
        <w:rPr>
          <w:szCs w:val="22"/>
        </w:rPr>
        <w:t xml:space="preserve"> should also create something of a benchmark against which future </w:t>
      </w:r>
      <w:r w:rsidR="00164672">
        <w:rPr>
          <w:szCs w:val="22"/>
        </w:rPr>
        <w:t>studies</w:t>
      </w:r>
      <w:r w:rsidRPr="0002672B">
        <w:rPr>
          <w:szCs w:val="22"/>
        </w:rPr>
        <w:t xml:space="preserve"> can measure the rate of change, and the success or otherwise of changes implemented.</w:t>
      </w:r>
    </w:p>
    <w:p w14:paraId="34E51C3B" w14:textId="465C0377" w:rsidR="00AF3794" w:rsidRDefault="006A610E" w:rsidP="003937A5">
      <w:pPr>
        <w:rPr>
          <w:szCs w:val="22"/>
        </w:rPr>
      </w:pPr>
      <w:r w:rsidRPr="006A610E">
        <w:rPr>
          <w:szCs w:val="22"/>
        </w:rPr>
        <w:t xml:space="preserve"> </w:t>
      </w:r>
    </w:p>
    <w:p w14:paraId="2F040BCA" w14:textId="77777777" w:rsidR="006A453A" w:rsidRPr="00E04B64" w:rsidRDefault="006A453A" w:rsidP="006A453A">
      <w:pPr>
        <w:pStyle w:val="Heading2"/>
        <w:ind w:left="576"/>
      </w:pPr>
      <w:bookmarkStart w:id="7" w:name="_Toc233084134"/>
      <w:r w:rsidRPr="00AF3794">
        <w:t>Structure of Cold Hard Facts 2</w:t>
      </w:r>
      <w:bookmarkEnd w:id="7"/>
    </w:p>
    <w:p w14:paraId="49452138" w14:textId="382A5201" w:rsidR="006A453A" w:rsidRPr="0095632E" w:rsidRDefault="006A453A" w:rsidP="006A453A">
      <w:r w:rsidRPr="0095632E">
        <w:t xml:space="preserve">For readers who are not part </w:t>
      </w:r>
      <w:r>
        <w:t>familiar with</w:t>
      </w:r>
      <w:r w:rsidRPr="0095632E">
        <w:t xml:space="preserve"> the RAC industry, it may be effective to take the few minutes required to read the glossary which explain many of the terms commonly used in the RAC industry. </w:t>
      </w:r>
    </w:p>
    <w:p w14:paraId="7C183D34" w14:textId="53C37262" w:rsidR="006A453A" w:rsidRPr="0095632E" w:rsidRDefault="006A453A" w:rsidP="006A453A">
      <w:r w:rsidRPr="0095632E">
        <w:t xml:space="preserve">Following on from the </w:t>
      </w:r>
      <w:r w:rsidRPr="00AC4121">
        <w:rPr>
          <w:i/>
        </w:rPr>
        <w:t>Introduction</w:t>
      </w:r>
      <w:r>
        <w:t xml:space="preserve"> and the </w:t>
      </w:r>
      <w:r w:rsidRPr="00AC4121">
        <w:rPr>
          <w:i/>
        </w:rPr>
        <w:t>Executive Summary</w:t>
      </w:r>
      <w:r w:rsidR="00E52D0F">
        <w:t>:</w:t>
      </w:r>
    </w:p>
    <w:p w14:paraId="48F0E841" w14:textId="77777777" w:rsidR="006A453A" w:rsidRPr="0095632E" w:rsidRDefault="006A453A" w:rsidP="006A453A">
      <w:r w:rsidRPr="00AC4121">
        <w:rPr>
          <w:i/>
        </w:rPr>
        <w:t>Chapter 3, ‘Taxonomy of technology’</w:t>
      </w:r>
      <w:r w:rsidRPr="0095632E">
        <w:t xml:space="preserve"> explains the way the many applications of refrigeration and air conditioning are broken up into categories (based on end-use). </w:t>
      </w:r>
    </w:p>
    <w:p w14:paraId="5D0AE2E6" w14:textId="48788391" w:rsidR="006A453A" w:rsidRPr="0095632E" w:rsidRDefault="006A453A" w:rsidP="006A453A">
      <w:r w:rsidRPr="00AC4121">
        <w:rPr>
          <w:i/>
        </w:rPr>
        <w:lastRenderedPageBreak/>
        <w:t>Chapter 4, ‘The stock of equipment’</w:t>
      </w:r>
      <w:r w:rsidRPr="0095632E">
        <w:t xml:space="preserve">, employs the taxonomy </w:t>
      </w:r>
      <w:r w:rsidR="00C84A8B">
        <w:t xml:space="preserve">developed </w:t>
      </w:r>
      <w:r w:rsidRPr="0095632E">
        <w:t xml:space="preserve">to describe the vast </w:t>
      </w:r>
      <w:r>
        <w:t xml:space="preserve">variety </w:t>
      </w:r>
      <w:r w:rsidRPr="0095632E">
        <w:t>of equipment that delivers RAC services</w:t>
      </w:r>
      <w:r w:rsidR="00C84A8B">
        <w:t xml:space="preserve"> in some detail, describing all of the major equipment applications, the format and design features of the equipment in each of the major applications and the refrigerant gases predominantly used in each application</w:t>
      </w:r>
      <w:r w:rsidRPr="0095632E">
        <w:t xml:space="preserve">. </w:t>
      </w:r>
    </w:p>
    <w:p w14:paraId="05AF70DE" w14:textId="70D8F087" w:rsidR="006A453A" w:rsidRPr="0095632E" w:rsidRDefault="006A453A" w:rsidP="006A453A">
      <w:r w:rsidRPr="00AC4121">
        <w:rPr>
          <w:i/>
        </w:rPr>
        <w:t>Chapter 5, ‘The bank in 2012’</w:t>
      </w:r>
      <w:r w:rsidRPr="0095632E">
        <w:t xml:space="preserve">, explores the dimensions and characteristics of the refrigerant gases that are essential to </w:t>
      </w:r>
      <w:r w:rsidR="00C94724">
        <w:t>the operation of RAC equipment</w:t>
      </w:r>
      <w:r w:rsidR="00967C95">
        <w:t>, examining</w:t>
      </w:r>
      <w:r w:rsidR="00C94724">
        <w:t xml:space="preserve"> the economic and technological forces that drive the gr</w:t>
      </w:r>
      <w:r w:rsidR="00967C95">
        <w:t xml:space="preserve">owth in the bank of </w:t>
      </w:r>
      <w:r w:rsidR="00E52D0F">
        <w:t>refrigerant</w:t>
      </w:r>
      <w:r w:rsidR="00967C95">
        <w:t xml:space="preserve"> and detailing the gas types most commonly used in the major equipment types.</w:t>
      </w:r>
    </w:p>
    <w:p w14:paraId="3689A9EC" w14:textId="4D90640D" w:rsidR="006A453A" w:rsidRPr="0095632E" w:rsidRDefault="006A453A" w:rsidP="006A453A">
      <w:r w:rsidRPr="00AC4121">
        <w:rPr>
          <w:i/>
        </w:rPr>
        <w:t>Chapter 6, ‘Energy and emissions’</w:t>
      </w:r>
      <w:r w:rsidRPr="0095632E">
        <w:t>, analyses the energy used to deliver RAC services and the greenhouse emissions that result</w:t>
      </w:r>
      <w:r w:rsidR="002C2A4B">
        <w:t xml:space="preserve"> </w:t>
      </w:r>
      <w:r w:rsidR="00E52D0F">
        <w:t xml:space="preserve">from it </w:t>
      </w:r>
      <w:r w:rsidR="002C2A4B">
        <w:t>and compares the outputs from the CHF2 bottom up stock model calculations with a major top down study of energy use in commercial buildings</w:t>
      </w:r>
      <w:r w:rsidR="009D708F">
        <w:t>.</w:t>
      </w:r>
    </w:p>
    <w:p w14:paraId="5A48A231" w14:textId="77777777" w:rsidR="006A453A" w:rsidRPr="0095632E" w:rsidRDefault="006A453A" w:rsidP="006A453A">
      <w:r w:rsidRPr="00AC4121">
        <w:rPr>
          <w:i/>
        </w:rPr>
        <w:t>Chapter 7, ‘Economics and employment’</w:t>
      </w:r>
      <w:r w:rsidRPr="0095632E">
        <w:t xml:space="preserve">, presents estimates of direct spending and employment in the industry. </w:t>
      </w:r>
    </w:p>
    <w:p w14:paraId="2F831B60" w14:textId="385DE242" w:rsidR="006A453A" w:rsidRPr="0095632E" w:rsidRDefault="006A453A" w:rsidP="006A453A">
      <w:r w:rsidRPr="00AC4121">
        <w:rPr>
          <w:i/>
        </w:rPr>
        <w:t>Chapter 8, ‘The dependent economy’</w:t>
      </w:r>
      <w:r w:rsidRPr="0095632E">
        <w:t xml:space="preserve">, looks at some of the elements of the wider economy that </w:t>
      </w:r>
      <w:r w:rsidR="00E52D0F">
        <w:t>are</w:t>
      </w:r>
      <w:r w:rsidRPr="0095632E">
        <w:t xml:space="preserve"> effectively dependent on the delivery of RAC services.</w:t>
      </w:r>
    </w:p>
    <w:p w14:paraId="53BE0917" w14:textId="77777777" w:rsidR="006A453A" w:rsidRPr="0095632E" w:rsidRDefault="006A453A" w:rsidP="006A453A">
      <w:r w:rsidRPr="00AC4121">
        <w:rPr>
          <w:i/>
        </w:rPr>
        <w:t>Chapter 9, ‘CHF1 and CHF2 Comparative measures’</w:t>
      </w:r>
      <w:r w:rsidRPr="0095632E">
        <w:t xml:space="preserve">, provides comparisons, where they can be made, between some of the findings of the original Cold Hard Facts report and this report.  </w:t>
      </w:r>
    </w:p>
    <w:p w14:paraId="219A6063" w14:textId="77777777" w:rsidR="006A453A" w:rsidRDefault="006A453A" w:rsidP="006A453A">
      <w:pPr>
        <w:pStyle w:val="Heading1"/>
        <w:numPr>
          <w:ilvl w:val="0"/>
          <w:numId w:val="0"/>
        </w:numPr>
        <w:spacing w:before="120" w:after="0"/>
        <w:jc w:val="both"/>
        <w:rPr>
          <w:rFonts w:ascii="Times New Roman" w:eastAsiaTheme="minorEastAsia" w:hAnsi="Times New Roman" w:cstheme="minorBidi"/>
          <w:b w:val="0"/>
          <w:bCs w:val="0"/>
          <w:kern w:val="0"/>
          <w:sz w:val="22"/>
          <w:szCs w:val="24"/>
          <w:lang w:val="en-GB"/>
        </w:rPr>
      </w:pPr>
    </w:p>
    <w:p w14:paraId="090FC503" w14:textId="77777777" w:rsidR="00E633DA" w:rsidRDefault="00E633DA">
      <w:pPr>
        <w:spacing w:before="0"/>
        <w:jc w:val="left"/>
        <w:rPr>
          <w:rFonts w:ascii="Calibri" w:eastAsia="Times New Roman" w:hAnsi="Calibri" w:cs="Times New Roman"/>
          <w:b/>
          <w:bCs/>
          <w:kern w:val="32"/>
          <w:sz w:val="32"/>
          <w:szCs w:val="32"/>
          <w:lang w:val="en-US"/>
        </w:rPr>
      </w:pPr>
      <w:r>
        <w:br w:type="page"/>
      </w:r>
    </w:p>
    <w:p w14:paraId="274FC7AA" w14:textId="62F26B6B" w:rsidR="00AF3794" w:rsidRPr="004E5B78" w:rsidRDefault="00AF3794" w:rsidP="00AF3794">
      <w:pPr>
        <w:pStyle w:val="Heading1"/>
      </w:pPr>
      <w:bookmarkStart w:id="8" w:name="_Toc233084135"/>
      <w:r>
        <w:lastRenderedPageBreak/>
        <w:t xml:space="preserve">Taxonomy of </w:t>
      </w:r>
      <w:r w:rsidR="001B0EF1">
        <w:t>t</w:t>
      </w:r>
      <w:r>
        <w:t>echnology</w:t>
      </w:r>
      <w:bookmarkEnd w:id="8"/>
    </w:p>
    <w:p w14:paraId="7F687CB3" w14:textId="77777777" w:rsidR="001D6D59" w:rsidRPr="001D6D59" w:rsidRDefault="001D6D59" w:rsidP="001D6D59">
      <w:pPr>
        <w:rPr>
          <w:szCs w:val="22"/>
        </w:rPr>
      </w:pPr>
      <w:r w:rsidRPr="001D6D59">
        <w:rPr>
          <w:szCs w:val="22"/>
        </w:rPr>
        <w:t>The RAC Industry is comprised of a number of essential elements, without any one of which the industry would not function.</w:t>
      </w:r>
    </w:p>
    <w:p w14:paraId="6684DE8E" w14:textId="5C5E8E3F" w:rsidR="001D6D59" w:rsidRDefault="001D6D59" w:rsidP="001D6D59">
      <w:pPr>
        <w:rPr>
          <w:szCs w:val="22"/>
        </w:rPr>
      </w:pPr>
      <w:r w:rsidRPr="001D6D59">
        <w:rPr>
          <w:szCs w:val="22"/>
        </w:rPr>
        <w:t>At its simplest level the industry relies on the physical goods and materials that deliver the end-user services. These are the stock of equipment, the refrigerant gas contained in th</w:t>
      </w:r>
      <w:r w:rsidR="005F6A7D">
        <w:rPr>
          <w:szCs w:val="22"/>
        </w:rPr>
        <w:t>e</w:t>
      </w:r>
      <w:r w:rsidRPr="001D6D59">
        <w:rPr>
          <w:szCs w:val="22"/>
        </w:rPr>
        <w:t xml:space="preserve"> equipment that acts as a medium to transfer heat, and the electricity that is necessary to drive the compressors and fan</w:t>
      </w:r>
      <w:r w:rsidR="005441AE">
        <w:rPr>
          <w:szCs w:val="22"/>
        </w:rPr>
        <w:t xml:space="preserve"> motor</w:t>
      </w:r>
      <w:r w:rsidRPr="001D6D59">
        <w:rPr>
          <w:szCs w:val="22"/>
        </w:rPr>
        <w:t xml:space="preserve">s that are the two </w:t>
      </w:r>
      <w:r w:rsidR="00B13807">
        <w:rPr>
          <w:szCs w:val="22"/>
        </w:rPr>
        <w:t xml:space="preserve">main </w:t>
      </w:r>
      <w:r w:rsidRPr="001D6D59">
        <w:rPr>
          <w:szCs w:val="22"/>
        </w:rPr>
        <w:t>electromechanical elements of all RAC equipment.</w:t>
      </w:r>
    </w:p>
    <w:p w14:paraId="312EB3BD" w14:textId="6010C5E4" w:rsidR="00283C04" w:rsidRPr="005441AE" w:rsidRDefault="00283C04" w:rsidP="001D6D59">
      <w:pPr>
        <w:rPr>
          <w:rFonts w:cs="Times New Roman"/>
          <w:szCs w:val="22"/>
        </w:rPr>
      </w:pPr>
      <w:r w:rsidRPr="005441AE">
        <w:rPr>
          <w:rFonts w:cs="Times New Roman"/>
          <w:szCs w:val="22"/>
        </w:rPr>
        <w:t>The main gases in use today, and which are discussed in great</w:t>
      </w:r>
      <w:r w:rsidR="00354C3C">
        <w:rPr>
          <w:rFonts w:cs="Times New Roman"/>
          <w:szCs w:val="22"/>
        </w:rPr>
        <w:t>er</w:t>
      </w:r>
      <w:r w:rsidRPr="005441AE">
        <w:rPr>
          <w:rFonts w:cs="Times New Roman"/>
          <w:szCs w:val="22"/>
        </w:rPr>
        <w:t xml:space="preserve"> detail in </w:t>
      </w:r>
      <w:r w:rsidRPr="005441AE">
        <w:rPr>
          <w:rFonts w:cs="Times New Roman"/>
          <w:i/>
          <w:szCs w:val="22"/>
        </w:rPr>
        <w:t>Chapter 5; The Bank in 2012</w:t>
      </w:r>
      <w:r w:rsidRPr="005441AE">
        <w:rPr>
          <w:rFonts w:cs="Times New Roman"/>
          <w:szCs w:val="22"/>
        </w:rPr>
        <w:t>, are:</w:t>
      </w:r>
    </w:p>
    <w:p w14:paraId="7B8649AA" w14:textId="0928CF57" w:rsidR="00283C04" w:rsidRPr="005441AE" w:rsidRDefault="00283C04" w:rsidP="00D05A74">
      <w:pPr>
        <w:pStyle w:val="ListBullet"/>
        <w:numPr>
          <w:ilvl w:val="0"/>
          <w:numId w:val="19"/>
        </w:numPr>
        <w:ind w:left="357" w:hanging="357"/>
        <w:contextualSpacing w:val="0"/>
      </w:pPr>
      <w:r w:rsidRPr="005441AE">
        <w:t>HCFCs (hydrochlorofluorocarbons), once the most common species of refrigerant gas in use and a potent ozone depleting substance as well as having a high global warming potential (GWP)</w:t>
      </w:r>
      <w:r w:rsidR="005441AE">
        <w:t>.</w:t>
      </w:r>
      <w:r w:rsidRPr="005441AE">
        <w:t xml:space="preserve"> HCFCs are being phased out of use under the terms of the international Montreal Protocol on </w:t>
      </w:r>
      <w:r w:rsidR="00354C3C" w:rsidRPr="00354C3C">
        <w:t>Substances that Deplete the Ozone Layer (Montreal Protocol)</w:t>
      </w:r>
      <w:r w:rsidRPr="005441AE">
        <w:t>;</w:t>
      </w:r>
    </w:p>
    <w:p w14:paraId="60FCE76C" w14:textId="425E5122" w:rsidR="00283C04" w:rsidRPr="005441AE" w:rsidRDefault="00283C04" w:rsidP="00D05A74">
      <w:pPr>
        <w:pStyle w:val="ListBullet"/>
        <w:numPr>
          <w:ilvl w:val="0"/>
          <w:numId w:val="19"/>
        </w:numPr>
        <w:ind w:left="357" w:hanging="357"/>
        <w:contextualSpacing w:val="0"/>
      </w:pPr>
      <w:r w:rsidRPr="005441AE">
        <w:t xml:space="preserve">HFCs (hydrofluorocarbons), a rapidly growing newer generation of </w:t>
      </w:r>
      <w:r w:rsidR="00DD4BD5">
        <w:t>S</w:t>
      </w:r>
      <w:r w:rsidRPr="005441AE">
        <w:t xml:space="preserve">ynthetic </w:t>
      </w:r>
      <w:r w:rsidR="00DD4BD5">
        <w:t>G</w:t>
      </w:r>
      <w:r w:rsidRPr="005441AE">
        <w:t xml:space="preserve">reenhouse </w:t>
      </w:r>
      <w:r w:rsidR="00DD4BD5">
        <w:t>G</w:t>
      </w:r>
      <w:r w:rsidRPr="005441AE">
        <w:t>as</w:t>
      </w:r>
      <w:r w:rsidR="00DD4BD5">
        <w:t xml:space="preserve"> (SGG)</w:t>
      </w:r>
      <w:r w:rsidRPr="005441AE">
        <w:t xml:space="preserve"> that do not have the same impacts on the ozone layer as HCFCs but that still have high GWP values;</w:t>
      </w:r>
    </w:p>
    <w:p w14:paraId="6E63A0B1" w14:textId="363D449F" w:rsidR="00283C04" w:rsidRPr="005441AE" w:rsidRDefault="00283C04" w:rsidP="00D05A74">
      <w:pPr>
        <w:pStyle w:val="ListBullet"/>
        <w:numPr>
          <w:ilvl w:val="0"/>
          <w:numId w:val="19"/>
        </w:numPr>
        <w:ind w:left="357" w:hanging="357"/>
        <w:contextualSpacing w:val="0"/>
      </w:pPr>
      <w:r w:rsidRPr="005441AE">
        <w:t xml:space="preserve">Natural </w:t>
      </w:r>
      <w:r w:rsidR="005441AE">
        <w:t>r</w:t>
      </w:r>
      <w:r w:rsidRPr="005441AE">
        <w:t>efrigerants, a group of refrigerants including ammonia</w:t>
      </w:r>
      <w:r w:rsidR="005441AE">
        <w:t xml:space="preserve">, </w:t>
      </w:r>
      <w:r w:rsidRPr="005441AE">
        <w:t>hydrocarbons</w:t>
      </w:r>
      <w:r w:rsidR="005441AE">
        <w:t xml:space="preserve"> and CO</w:t>
      </w:r>
      <w:r w:rsidR="005441AE" w:rsidRPr="005441AE">
        <w:rPr>
          <w:vertAlign w:val="subscript"/>
        </w:rPr>
        <w:t>2</w:t>
      </w:r>
      <w:r w:rsidRPr="005441AE">
        <w:t>, that have low GWP but have other properties, such as flammability</w:t>
      </w:r>
      <w:r w:rsidR="005441AE">
        <w:t xml:space="preserve">, </w:t>
      </w:r>
      <w:r w:rsidRPr="005441AE">
        <w:t>toxicity</w:t>
      </w:r>
      <w:r w:rsidR="005441AE">
        <w:t xml:space="preserve"> and high operating pressures </w:t>
      </w:r>
      <w:r w:rsidRPr="005441AE">
        <w:t xml:space="preserve">that </w:t>
      </w:r>
      <w:r w:rsidR="005441AE">
        <w:t>limit their use in some applications.</w:t>
      </w:r>
      <w:r w:rsidR="005441AE">
        <w:rPr>
          <w:rStyle w:val="FootnoteReference"/>
        </w:rPr>
        <w:footnoteReference w:id="5"/>
      </w:r>
    </w:p>
    <w:p w14:paraId="125ACD6C" w14:textId="76CCAB83" w:rsidR="001D6D59" w:rsidRPr="001D6D59" w:rsidRDefault="001D6D59" w:rsidP="001D6D59">
      <w:pPr>
        <w:rPr>
          <w:szCs w:val="22"/>
        </w:rPr>
      </w:pPr>
      <w:r w:rsidRPr="001D6D59">
        <w:rPr>
          <w:szCs w:val="22"/>
        </w:rPr>
        <w:t>The range of formats in which RAC equipment is manufactured is very wide. However this wide range of formats can be grouped into equipment types</w:t>
      </w:r>
      <w:r w:rsidR="005B322C">
        <w:rPr>
          <w:szCs w:val="22"/>
        </w:rPr>
        <w:t>,</w:t>
      </w:r>
      <w:r w:rsidRPr="001D6D59">
        <w:rPr>
          <w:szCs w:val="22"/>
        </w:rPr>
        <w:t xml:space="preserve"> based on end-uses and </w:t>
      </w:r>
      <w:r w:rsidR="005F6A7D">
        <w:rPr>
          <w:szCs w:val="22"/>
        </w:rPr>
        <w:t xml:space="preserve">on </w:t>
      </w:r>
      <w:r w:rsidRPr="001D6D59">
        <w:rPr>
          <w:szCs w:val="22"/>
        </w:rPr>
        <w:t xml:space="preserve">main design features. </w:t>
      </w:r>
    </w:p>
    <w:p w14:paraId="408767EC" w14:textId="30EB47D3" w:rsidR="001D6D59" w:rsidRPr="001D6D59" w:rsidRDefault="001D6D59" w:rsidP="001D6D59">
      <w:pPr>
        <w:rPr>
          <w:szCs w:val="22"/>
        </w:rPr>
      </w:pPr>
      <w:r w:rsidRPr="001D6D59">
        <w:rPr>
          <w:szCs w:val="22"/>
        </w:rPr>
        <w:t xml:space="preserve">For the purposes of managing the mass of data while attaining reasonable resolution on various equipment types, CHF2 classifies all RAC equipment using a scheme that involves four </w:t>
      </w:r>
      <w:r w:rsidR="005F6A7D">
        <w:rPr>
          <w:szCs w:val="22"/>
        </w:rPr>
        <w:t>broad ‘classes’ as a starting point</w:t>
      </w:r>
      <w:r w:rsidR="00FD0A42">
        <w:rPr>
          <w:szCs w:val="22"/>
        </w:rPr>
        <w:t>,</w:t>
      </w:r>
      <w:r w:rsidRPr="001D6D59">
        <w:rPr>
          <w:szCs w:val="22"/>
        </w:rPr>
        <w:t xml:space="preserve"> </w:t>
      </w:r>
      <w:r w:rsidR="00FD0A42">
        <w:rPr>
          <w:szCs w:val="22"/>
        </w:rPr>
        <w:t xml:space="preserve">made up of eighteen </w:t>
      </w:r>
      <w:r w:rsidRPr="001D6D59">
        <w:rPr>
          <w:szCs w:val="22"/>
        </w:rPr>
        <w:t>‘</w:t>
      </w:r>
      <w:r w:rsidR="00B13807">
        <w:rPr>
          <w:szCs w:val="22"/>
        </w:rPr>
        <w:t>segments</w:t>
      </w:r>
      <w:r w:rsidRPr="001D6D59">
        <w:rPr>
          <w:szCs w:val="22"/>
        </w:rPr>
        <w:t xml:space="preserve">’, which </w:t>
      </w:r>
      <w:r w:rsidR="00FD0A42">
        <w:rPr>
          <w:szCs w:val="22"/>
        </w:rPr>
        <w:t>cover fifty</w:t>
      </w:r>
      <w:r w:rsidR="001C40C8">
        <w:rPr>
          <w:szCs w:val="22"/>
        </w:rPr>
        <w:t xml:space="preserve"> </w:t>
      </w:r>
      <w:r w:rsidR="003E5FF4">
        <w:rPr>
          <w:szCs w:val="22"/>
        </w:rPr>
        <w:t>‘product categories</w:t>
      </w:r>
      <w:r w:rsidRPr="001D6D59">
        <w:rPr>
          <w:szCs w:val="22"/>
        </w:rPr>
        <w:t>’.</w:t>
      </w:r>
    </w:p>
    <w:p w14:paraId="25AAB1B6" w14:textId="710361A0" w:rsidR="001D6D59" w:rsidRPr="001D6D59" w:rsidRDefault="001D6D59" w:rsidP="001D6D59">
      <w:pPr>
        <w:rPr>
          <w:szCs w:val="22"/>
        </w:rPr>
      </w:pPr>
      <w:r w:rsidRPr="001D6D59">
        <w:rPr>
          <w:szCs w:val="22"/>
        </w:rPr>
        <w:t>The classes of RAC equipment</w:t>
      </w:r>
      <w:r w:rsidR="00FD0A42">
        <w:rPr>
          <w:szCs w:val="22"/>
        </w:rPr>
        <w:t xml:space="preserve"> are</w:t>
      </w:r>
      <w:r w:rsidRPr="001D6D59">
        <w:rPr>
          <w:szCs w:val="22"/>
        </w:rPr>
        <w:t>:</w:t>
      </w:r>
    </w:p>
    <w:p w14:paraId="207058F4" w14:textId="5B6724FE" w:rsidR="001D6D59" w:rsidRPr="001D6D59" w:rsidRDefault="001D6D59" w:rsidP="00D05A74">
      <w:pPr>
        <w:pStyle w:val="ListBullet"/>
        <w:numPr>
          <w:ilvl w:val="0"/>
          <w:numId w:val="19"/>
        </w:numPr>
        <w:ind w:left="357" w:hanging="357"/>
        <w:contextualSpacing w:val="0"/>
      </w:pPr>
      <w:r w:rsidRPr="001D6D59">
        <w:rPr>
          <w:b/>
        </w:rPr>
        <w:t>Stationary air conditioning</w:t>
      </w:r>
      <w:r w:rsidRPr="001D6D59">
        <w:t xml:space="preserve">, a broad classification providing comfort conditions and technical services that includes small split air conditioning systems </w:t>
      </w:r>
      <w:r w:rsidR="00B13807">
        <w:t xml:space="preserve">and portable units </w:t>
      </w:r>
      <w:r w:rsidRPr="001D6D59">
        <w:t>up to very large chiller driven systems used for space cooling, with extensive ducted distribution of air, including close temperature control and extremely fine air quality systems in infrastructure, laboratories, hospitals and other specialised environments;</w:t>
      </w:r>
    </w:p>
    <w:p w14:paraId="11114735" w14:textId="560A0D92" w:rsidR="001D6D59" w:rsidRPr="001D6D59" w:rsidRDefault="001D6D59" w:rsidP="00D05A74">
      <w:pPr>
        <w:pStyle w:val="ListBullet"/>
        <w:numPr>
          <w:ilvl w:val="0"/>
          <w:numId w:val="19"/>
        </w:numPr>
        <w:ind w:left="357" w:hanging="357"/>
        <w:contextualSpacing w:val="0"/>
      </w:pPr>
      <w:r w:rsidRPr="001D6D59">
        <w:rPr>
          <w:b/>
        </w:rPr>
        <w:t>Mobile air conditioning</w:t>
      </w:r>
      <w:r w:rsidRPr="001D6D59">
        <w:t>, including air conditioning in private and commercial, registered and unregistered road, rail, marine and aviation transport;</w:t>
      </w:r>
    </w:p>
    <w:p w14:paraId="5EE5896E" w14:textId="68D6240B" w:rsidR="001D6D59" w:rsidRPr="001D6D59" w:rsidRDefault="003A617E" w:rsidP="00D05A74">
      <w:pPr>
        <w:pStyle w:val="ListBullet"/>
        <w:numPr>
          <w:ilvl w:val="0"/>
          <w:numId w:val="19"/>
        </w:numPr>
        <w:ind w:left="357" w:hanging="357"/>
        <w:contextualSpacing w:val="0"/>
      </w:pPr>
      <w:r>
        <w:rPr>
          <w:b/>
        </w:rPr>
        <w:t>Refrigerated cold food chain</w:t>
      </w:r>
      <w:r w:rsidR="001D6D59" w:rsidRPr="001D6D59">
        <w:t>, a fairly broad classification which captures all commercial, process and industrial refrigeration, as the overwhelming majority of these large devices</w:t>
      </w:r>
      <w:r w:rsidR="00B948FC">
        <w:t xml:space="preserve"> are found in this supply chain; and,</w:t>
      </w:r>
    </w:p>
    <w:p w14:paraId="26D61E40" w14:textId="7A3196E7" w:rsidR="001D6D59" w:rsidRPr="001D6D59" w:rsidRDefault="001D6D59" w:rsidP="00D05A74">
      <w:pPr>
        <w:pStyle w:val="ListBullet"/>
        <w:numPr>
          <w:ilvl w:val="0"/>
          <w:numId w:val="19"/>
        </w:numPr>
        <w:ind w:left="357" w:hanging="357"/>
        <w:contextualSpacing w:val="0"/>
      </w:pPr>
      <w:r w:rsidRPr="001D6D59">
        <w:rPr>
          <w:b/>
        </w:rPr>
        <w:t>Domestic refrigeration</w:t>
      </w:r>
      <w:r w:rsidRPr="001D6D59">
        <w:t>, a broad category that ranges from the tiny portable refrigerators found in caravans, the small ‘bar fridges’ found in nearly every hotel room an</w:t>
      </w:r>
      <w:r w:rsidR="00B948FC">
        <w:t>d</w:t>
      </w:r>
      <w:r w:rsidRPr="001D6D59">
        <w:t xml:space="preserve"> workplace, to the ‘tub’ freezer and the sometimes very large double door fridge freezer combinations that are also found employed in the backs of restaurants, takeaways and sandwich shops. </w:t>
      </w:r>
    </w:p>
    <w:p w14:paraId="7F533631" w14:textId="1864EEF5" w:rsidR="001D6D59" w:rsidRPr="001D6D59" w:rsidRDefault="00FD0A42" w:rsidP="001D6D59">
      <w:pPr>
        <w:rPr>
          <w:szCs w:val="22"/>
        </w:rPr>
      </w:pPr>
      <w:r>
        <w:rPr>
          <w:szCs w:val="22"/>
        </w:rPr>
        <w:t>T</w:t>
      </w:r>
      <w:r w:rsidR="001D6D59" w:rsidRPr="001D6D59">
        <w:rPr>
          <w:szCs w:val="22"/>
        </w:rPr>
        <w:t xml:space="preserve">hese four classes are divided into </w:t>
      </w:r>
      <w:r>
        <w:rPr>
          <w:szCs w:val="22"/>
        </w:rPr>
        <w:t xml:space="preserve">the </w:t>
      </w:r>
      <w:r w:rsidR="001D6D59" w:rsidRPr="001D6D59">
        <w:rPr>
          <w:szCs w:val="22"/>
        </w:rPr>
        <w:t>1</w:t>
      </w:r>
      <w:r w:rsidR="001D6D59">
        <w:rPr>
          <w:szCs w:val="22"/>
        </w:rPr>
        <w:t>8</w:t>
      </w:r>
      <w:r w:rsidR="001D6D59" w:rsidRPr="001D6D59">
        <w:rPr>
          <w:szCs w:val="22"/>
        </w:rPr>
        <w:t xml:space="preserve"> technology </w:t>
      </w:r>
      <w:r w:rsidR="003E5FF4">
        <w:rPr>
          <w:szCs w:val="22"/>
        </w:rPr>
        <w:t xml:space="preserve">or application </w:t>
      </w:r>
      <w:r w:rsidR="001D6D59" w:rsidRPr="001D6D59">
        <w:rPr>
          <w:szCs w:val="22"/>
        </w:rPr>
        <w:t>segments</w:t>
      </w:r>
      <w:r>
        <w:rPr>
          <w:szCs w:val="22"/>
        </w:rPr>
        <w:t xml:space="preserve"> and </w:t>
      </w:r>
      <w:r w:rsidR="001D6D59" w:rsidRPr="001D6D59">
        <w:rPr>
          <w:szCs w:val="22"/>
        </w:rPr>
        <w:t>5</w:t>
      </w:r>
      <w:r w:rsidR="001D6D59">
        <w:rPr>
          <w:szCs w:val="22"/>
        </w:rPr>
        <w:t>0</w:t>
      </w:r>
      <w:r w:rsidR="001D6D59" w:rsidRPr="001D6D59">
        <w:rPr>
          <w:szCs w:val="22"/>
        </w:rPr>
        <w:t xml:space="preserve"> product </w:t>
      </w:r>
      <w:r w:rsidR="001347B8">
        <w:rPr>
          <w:szCs w:val="22"/>
        </w:rPr>
        <w:t xml:space="preserve">or equipment </w:t>
      </w:r>
      <w:r w:rsidR="001D6D59" w:rsidRPr="001D6D59">
        <w:rPr>
          <w:szCs w:val="22"/>
        </w:rPr>
        <w:t>categories</w:t>
      </w:r>
      <w:r>
        <w:rPr>
          <w:szCs w:val="22"/>
        </w:rPr>
        <w:t xml:space="preserve"> a</w:t>
      </w:r>
      <w:r w:rsidR="001D6D59" w:rsidRPr="001D6D59">
        <w:rPr>
          <w:szCs w:val="22"/>
        </w:rPr>
        <w:t xml:space="preserve">s set out in </w:t>
      </w:r>
      <w:r w:rsidR="001D6D59" w:rsidRPr="00B37F8A">
        <w:rPr>
          <w:i/>
          <w:szCs w:val="22"/>
        </w:rPr>
        <w:t>Table 2</w:t>
      </w:r>
      <w:r w:rsidR="001D6D59" w:rsidRPr="001D6D59">
        <w:rPr>
          <w:szCs w:val="22"/>
        </w:rPr>
        <w:t xml:space="preserve">. </w:t>
      </w:r>
    </w:p>
    <w:p w14:paraId="7888919A" w14:textId="27EEF754" w:rsidR="00342406" w:rsidRPr="00B37F8A" w:rsidRDefault="00342406" w:rsidP="00E633DA">
      <w:pPr>
        <w:jc w:val="left"/>
        <w:rPr>
          <w:szCs w:val="22"/>
        </w:rPr>
      </w:pPr>
    </w:p>
    <w:p w14:paraId="3DE363D9" w14:textId="77777777" w:rsidR="00DD4BD5" w:rsidRDefault="00DD4BD5">
      <w:pPr>
        <w:spacing w:before="0"/>
        <w:jc w:val="left"/>
        <w:rPr>
          <w:i/>
          <w:szCs w:val="22"/>
        </w:rPr>
      </w:pPr>
      <w:r>
        <w:rPr>
          <w:i/>
          <w:szCs w:val="22"/>
        </w:rPr>
        <w:br w:type="page"/>
      </w:r>
    </w:p>
    <w:p w14:paraId="1F737568" w14:textId="5F64ECF5" w:rsidR="000665BF" w:rsidRPr="00D16B26" w:rsidRDefault="000665BF" w:rsidP="000665BF">
      <w:pPr>
        <w:rPr>
          <w:i/>
          <w:szCs w:val="22"/>
        </w:rPr>
      </w:pPr>
      <w:bookmarkStart w:id="9" w:name="_Toc233084046"/>
      <w:r w:rsidRPr="00D16B26">
        <w:rPr>
          <w:i/>
          <w:szCs w:val="22"/>
        </w:rPr>
        <w:lastRenderedPageBreak/>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2</w:t>
      </w:r>
      <w:r w:rsidRPr="00D16B26">
        <w:rPr>
          <w:i/>
          <w:szCs w:val="22"/>
        </w:rPr>
        <w:fldChar w:fldCharType="end"/>
      </w:r>
      <w:r w:rsidRPr="00D16B26">
        <w:rPr>
          <w:i/>
          <w:szCs w:val="22"/>
        </w:rPr>
        <w:t xml:space="preserve">: </w:t>
      </w:r>
      <w:r w:rsidR="00D16B26" w:rsidRPr="00D16B26">
        <w:rPr>
          <w:i/>
          <w:szCs w:val="22"/>
        </w:rPr>
        <w:t>A taxonomy of RAC technology</w:t>
      </w:r>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850"/>
        <w:gridCol w:w="1134"/>
        <w:gridCol w:w="2268"/>
        <w:gridCol w:w="1418"/>
        <w:gridCol w:w="3118"/>
      </w:tblGrid>
      <w:tr w:rsidR="001E489E" w:rsidRPr="00923150" w14:paraId="032EEABA" w14:textId="77777777" w:rsidTr="006D0D5C">
        <w:trPr>
          <w:trHeight w:val="684"/>
        </w:trPr>
        <w:tc>
          <w:tcPr>
            <w:tcW w:w="851" w:type="dxa"/>
            <w:tcBorders>
              <w:top w:val="single" w:sz="8" w:space="0" w:color="auto"/>
              <w:left w:val="single" w:sz="8" w:space="0" w:color="auto"/>
              <w:bottom w:val="single" w:sz="4" w:space="0" w:color="000000"/>
              <w:right w:val="single" w:sz="4" w:space="0" w:color="FFFFFF"/>
            </w:tcBorders>
            <w:shd w:val="clear" w:color="auto" w:fill="000000"/>
            <w:vAlign w:val="center"/>
          </w:tcPr>
          <w:p w14:paraId="2B6BE648" w14:textId="1C78C881" w:rsidR="003C2A2C" w:rsidRPr="00923150" w:rsidRDefault="003C2A2C" w:rsidP="00081A67">
            <w:pPr>
              <w:spacing w:after="120"/>
            </w:pPr>
            <w:r>
              <w:t>Item</w:t>
            </w:r>
            <w:r w:rsidR="00FD0A42">
              <w:t xml:space="preserve"> </w:t>
            </w:r>
            <w:r w:rsidR="00081A67">
              <w:t>n</w:t>
            </w:r>
            <w:r w:rsidR="00FD0A42">
              <w:t>o</w:t>
            </w:r>
          </w:p>
        </w:tc>
        <w:tc>
          <w:tcPr>
            <w:tcW w:w="850" w:type="dxa"/>
            <w:tcBorders>
              <w:top w:val="single" w:sz="8" w:space="0" w:color="auto"/>
              <w:left w:val="single" w:sz="4" w:space="0" w:color="FFFFFF"/>
              <w:bottom w:val="single" w:sz="4" w:space="0" w:color="000000"/>
              <w:right w:val="single" w:sz="4" w:space="0" w:color="FFFFFF"/>
            </w:tcBorders>
            <w:shd w:val="clear" w:color="auto" w:fill="000000"/>
            <w:vAlign w:val="center"/>
          </w:tcPr>
          <w:p w14:paraId="49F70097" w14:textId="29CF703C" w:rsidR="003C2A2C" w:rsidRDefault="003C2A2C" w:rsidP="003C2A2C">
            <w:pPr>
              <w:spacing w:after="120"/>
              <w:jc w:val="center"/>
            </w:pPr>
            <w:r>
              <w:t>Major class</w:t>
            </w:r>
          </w:p>
        </w:tc>
        <w:tc>
          <w:tcPr>
            <w:tcW w:w="3402" w:type="dxa"/>
            <w:gridSpan w:val="2"/>
            <w:tcBorders>
              <w:top w:val="single" w:sz="8" w:space="0" w:color="auto"/>
              <w:left w:val="single" w:sz="4" w:space="0" w:color="FFFFFF"/>
              <w:bottom w:val="single" w:sz="4" w:space="0" w:color="000000"/>
              <w:right w:val="single" w:sz="4" w:space="0" w:color="FFFFFF"/>
            </w:tcBorders>
            <w:shd w:val="clear" w:color="auto" w:fill="000000"/>
            <w:vAlign w:val="center"/>
          </w:tcPr>
          <w:p w14:paraId="329A48DE" w14:textId="457CEE3D" w:rsidR="003C2A2C" w:rsidRDefault="003C2A2C" w:rsidP="003C2A2C">
            <w:pPr>
              <w:spacing w:after="120"/>
              <w:jc w:val="center"/>
            </w:pPr>
            <w:r>
              <w:t xml:space="preserve">Segments </w:t>
            </w:r>
          </w:p>
        </w:tc>
        <w:tc>
          <w:tcPr>
            <w:tcW w:w="4536" w:type="dxa"/>
            <w:gridSpan w:val="2"/>
            <w:tcBorders>
              <w:top w:val="single" w:sz="8" w:space="0" w:color="auto"/>
              <w:left w:val="single" w:sz="4" w:space="0" w:color="FFFFFF"/>
              <w:bottom w:val="single" w:sz="4" w:space="0" w:color="000000"/>
              <w:right w:val="single" w:sz="8" w:space="0" w:color="auto"/>
            </w:tcBorders>
            <w:shd w:val="clear" w:color="auto" w:fill="000000"/>
            <w:vAlign w:val="center"/>
          </w:tcPr>
          <w:p w14:paraId="4DE5C7CD" w14:textId="43A4DD38" w:rsidR="003C2A2C" w:rsidRPr="00923150" w:rsidRDefault="00761F8A" w:rsidP="003E5FF4">
            <w:pPr>
              <w:spacing w:after="120"/>
              <w:jc w:val="center"/>
            </w:pPr>
            <w:r>
              <w:t>Product</w:t>
            </w:r>
            <w:r w:rsidR="003E5FF4">
              <w:t xml:space="preserve"> categories</w:t>
            </w:r>
          </w:p>
        </w:tc>
      </w:tr>
      <w:tr w:rsidR="003C2A2C" w:rsidRPr="00923150" w14:paraId="0C8B3C5C" w14:textId="77777777" w:rsidTr="001D1518">
        <w:trPr>
          <w:trHeight w:val="456"/>
        </w:trPr>
        <w:tc>
          <w:tcPr>
            <w:tcW w:w="9639" w:type="dxa"/>
            <w:gridSpan w:val="6"/>
            <w:tcBorders>
              <w:top w:val="single" w:sz="4" w:space="0" w:color="000000"/>
            </w:tcBorders>
            <w:shd w:val="clear" w:color="auto" w:fill="CCFFFF"/>
            <w:vAlign w:val="center"/>
          </w:tcPr>
          <w:p w14:paraId="7A4A3975" w14:textId="742A6EC8" w:rsidR="003C2A2C" w:rsidRPr="00923150" w:rsidRDefault="00761F8A" w:rsidP="003C2A2C">
            <w:pPr>
              <w:spacing w:before="60" w:after="60"/>
              <w:jc w:val="center"/>
              <w:rPr>
                <w:sz w:val="20"/>
              </w:rPr>
            </w:pPr>
            <w:r>
              <w:rPr>
                <w:sz w:val="20"/>
              </w:rPr>
              <w:t>STATIONARY AIR CONDITIONING</w:t>
            </w:r>
          </w:p>
        </w:tc>
      </w:tr>
      <w:tr w:rsidR="00644422" w:rsidRPr="00923150" w14:paraId="1F87C58A" w14:textId="77777777" w:rsidTr="001D1518">
        <w:trPr>
          <w:trHeight w:val="456"/>
        </w:trPr>
        <w:tc>
          <w:tcPr>
            <w:tcW w:w="851" w:type="dxa"/>
            <w:tcBorders>
              <w:top w:val="single" w:sz="4" w:space="0" w:color="000000"/>
            </w:tcBorders>
          </w:tcPr>
          <w:p w14:paraId="7A54F787" w14:textId="14D9816C" w:rsidR="00644422" w:rsidRPr="00923150" w:rsidRDefault="00644422" w:rsidP="00215A1A">
            <w:pPr>
              <w:spacing w:before="60" w:after="60"/>
              <w:ind w:left="284" w:hanging="250"/>
              <w:jc w:val="center"/>
              <w:rPr>
                <w:sz w:val="20"/>
              </w:rPr>
            </w:pPr>
            <w:r w:rsidRPr="003F2CDC">
              <w:t>1</w:t>
            </w:r>
          </w:p>
        </w:tc>
        <w:tc>
          <w:tcPr>
            <w:tcW w:w="850" w:type="dxa"/>
            <w:vMerge w:val="restart"/>
            <w:tcBorders>
              <w:top w:val="single" w:sz="4" w:space="0" w:color="000000"/>
            </w:tcBorders>
            <w:textDirection w:val="btLr"/>
            <w:vAlign w:val="center"/>
          </w:tcPr>
          <w:p w14:paraId="28A8EBFB" w14:textId="5CDF942A" w:rsidR="00644422" w:rsidRDefault="00644422" w:rsidP="00644422">
            <w:pPr>
              <w:spacing w:before="60" w:after="60"/>
              <w:ind w:left="113" w:right="113"/>
              <w:jc w:val="center"/>
              <w:rPr>
                <w:sz w:val="20"/>
              </w:rPr>
            </w:pPr>
            <w:r>
              <w:t>Stationary air conditioning (AC)</w:t>
            </w:r>
            <w:r w:rsidRPr="003F2CDC">
              <w:t xml:space="preserve"> </w:t>
            </w:r>
          </w:p>
        </w:tc>
        <w:tc>
          <w:tcPr>
            <w:tcW w:w="1134" w:type="dxa"/>
            <w:tcBorders>
              <w:top w:val="single" w:sz="4" w:space="0" w:color="000000"/>
            </w:tcBorders>
          </w:tcPr>
          <w:p w14:paraId="7371D26C" w14:textId="503DFD97" w:rsidR="00644422" w:rsidRDefault="00644422" w:rsidP="00644422">
            <w:pPr>
              <w:spacing w:before="60" w:after="60"/>
              <w:jc w:val="center"/>
              <w:rPr>
                <w:sz w:val="20"/>
              </w:rPr>
            </w:pPr>
            <w:r w:rsidRPr="003F2CDC">
              <w:t>AC1</w:t>
            </w:r>
          </w:p>
        </w:tc>
        <w:tc>
          <w:tcPr>
            <w:tcW w:w="2268" w:type="dxa"/>
            <w:tcBorders>
              <w:top w:val="single" w:sz="4" w:space="0" w:color="000000"/>
            </w:tcBorders>
          </w:tcPr>
          <w:p w14:paraId="70A27C0E" w14:textId="753668F0" w:rsidR="00644422" w:rsidRDefault="00644422" w:rsidP="003C2A2C">
            <w:pPr>
              <w:spacing w:before="60" w:after="60"/>
              <w:jc w:val="left"/>
              <w:rPr>
                <w:sz w:val="20"/>
              </w:rPr>
            </w:pPr>
            <w:r w:rsidRPr="003F2CDC">
              <w:t>Single split: non-ducted</w:t>
            </w:r>
          </w:p>
        </w:tc>
        <w:tc>
          <w:tcPr>
            <w:tcW w:w="1418" w:type="dxa"/>
            <w:tcBorders>
              <w:top w:val="single" w:sz="4" w:space="0" w:color="000000"/>
            </w:tcBorders>
          </w:tcPr>
          <w:p w14:paraId="247E2AFC" w14:textId="4364AC49" w:rsidR="00644422" w:rsidRPr="008343EF" w:rsidRDefault="00644422" w:rsidP="003C2A2C">
            <w:pPr>
              <w:spacing w:before="60" w:after="60"/>
              <w:jc w:val="center"/>
              <w:rPr>
                <w:sz w:val="20"/>
              </w:rPr>
            </w:pPr>
            <w:r w:rsidRPr="003F2CDC">
              <w:t>AC1-1</w:t>
            </w:r>
          </w:p>
        </w:tc>
        <w:tc>
          <w:tcPr>
            <w:tcW w:w="3118" w:type="dxa"/>
            <w:tcBorders>
              <w:top w:val="single" w:sz="4" w:space="0" w:color="000000"/>
            </w:tcBorders>
          </w:tcPr>
          <w:p w14:paraId="1743CFCE" w14:textId="083231FB" w:rsidR="00644422" w:rsidRPr="00923150" w:rsidRDefault="00644422" w:rsidP="003C2A2C">
            <w:pPr>
              <w:spacing w:before="60" w:after="60"/>
              <w:jc w:val="left"/>
              <w:rPr>
                <w:sz w:val="20"/>
              </w:rPr>
            </w:pPr>
            <w:r w:rsidRPr="003F2CDC">
              <w:t>Single split: non-ducted: 1-phase</w:t>
            </w:r>
          </w:p>
        </w:tc>
      </w:tr>
      <w:tr w:rsidR="00644422" w:rsidRPr="00923150" w14:paraId="0BB2E786" w14:textId="77777777" w:rsidTr="001D1518">
        <w:trPr>
          <w:trHeight w:val="456"/>
        </w:trPr>
        <w:tc>
          <w:tcPr>
            <w:tcW w:w="851" w:type="dxa"/>
            <w:tcBorders>
              <w:top w:val="single" w:sz="4" w:space="0" w:color="000000"/>
            </w:tcBorders>
          </w:tcPr>
          <w:p w14:paraId="36B1FF59" w14:textId="08B42C46" w:rsidR="00644422" w:rsidRPr="00923150" w:rsidRDefault="00644422" w:rsidP="00215A1A">
            <w:pPr>
              <w:spacing w:before="60" w:after="60"/>
              <w:ind w:left="284" w:hanging="250"/>
              <w:jc w:val="center"/>
              <w:rPr>
                <w:sz w:val="20"/>
              </w:rPr>
            </w:pPr>
            <w:r w:rsidRPr="003F2CDC">
              <w:t>2</w:t>
            </w:r>
          </w:p>
        </w:tc>
        <w:tc>
          <w:tcPr>
            <w:tcW w:w="850" w:type="dxa"/>
            <w:vMerge/>
          </w:tcPr>
          <w:p w14:paraId="659DC65B" w14:textId="60207FF2" w:rsidR="00644422" w:rsidRDefault="00644422" w:rsidP="003C2A2C">
            <w:pPr>
              <w:spacing w:before="60" w:after="60"/>
              <w:jc w:val="center"/>
              <w:rPr>
                <w:sz w:val="20"/>
              </w:rPr>
            </w:pPr>
          </w:p>
        </w:tc>
        <w:tc>
          <w:tcPr>
            <w:tcW w:w="1134" w:type="dxa"/>
            <w:tcBorders>
              <w:top w:val="single" w:sz="4" w:space="0" w:color="000000"/>
            </w:tcBorders>
          </w:tcPr>
          <w:p w14:paraId="70CF86C5" w14:textId="155C6364" w:rsidR="00644422" w:rsidRDefault="00644422" w:rsidP="00644422">
            <w:pPr>
              <w:spacing w:before="60" w:after="60"/>
              <w:jc w:val="center"/>
              <w:rPr>
                <w:sz w:val="20"/>
              </w:rPr>
            </w:pPr>
            <w:r w:rsidRPr="003F2CDC">
              <w:t>AC1</w:t>
            </w:r>
          </w:p>
        </w:tc>
        <w:tc>
          <w:tcPr>
            <w:tcW w:w="2268" w:type="dxa"/>
            <w:tcBorders>
              <w:top w:val="single" w:sz="4" w:space="0" w:color="000000"/>
            </w:tcBorders>
          </w:tcPr>
          <w:p w14:paraId="64721B1E" w14:textId="6714672C" w:rsidR="00644422" w:rsidRDefault="00644422" w:rsidP="003C2A2C">
            <w:pPr>
              <w:spacing w:before="60" w:after="60"/>
              <w:jc w:val="left"/>
              <w:rPr>
                <w:sz w:val="20"/>
              </w:rPr>
            </w:pPr>
            <w:r w:rsidRPr="003F2CDC">
              <w:t>Single split: non-ducted</w:t>
            </w:r>
          </w:p>
        </w:tc>
        <w:tc>
          <w:tcPr>
            <w:tcW w:w="1418" w:type="dxa"/>
            <w:tcBorders>
              <w:top w:val="single" w:sz="4" w:space="0" w:color="000000"/>
            </w:tcBorders>
          </w:tcPr>
          <w:p w14:paraId="088728F1" w14:textId="6D18F583" w:rsidR="00644422" w:rsidRPr="008343EF" w:rsidRDefault="00644422" w:rsidP="003C2A2C">
            <w:pPr>
              <w:spacing w:before="60" w:after="60"/>
              <w:jc w:val="center"/>
              <w:rPr>
                <w:sz w:val="20"/>
              </w:rPr>
            </w:pPr>
            <w:r w:rsidRPr="003F2CDC">
              <w:t>AC1-2</w:t>
            </w:r>
          </w:p>
        </w:tc>
        <w:tc>
          <w:tcPr>
            <w:tcW w:w="3118" w:type="dxa"/>
            <w:tcBorders>
              <w:top w:val="single" w:sz="4" w:space="0" w:color="000000"/>
            </w:tcBorders>
          </w:tcPr>
          <w:p w14:paraId="443A4D43" w14:textId="718F984D" w:rsidR="00644422" w:rsidRPr="00923150" w:rsidRDefault="00644422" w:rsidP="003C2A2C">
            <w:pPr>
              <w:spacing w:before="60" w:after="60"/>
              <w:jc w:val="left"/>
              <w:rPr>
                <w:sz w:val="20"/>
              </w:rPr>
            </w:pPr>
            <w:r w:rsidRPr="003F2CDC">
              <w:t>Single split: non-ducted: 3-phase</w:t>
            </w:r>
          </w:p>
        </w:tc>
      </w:tr>
      <w:tr w:rsidR="00644422" w:rsidRPr="00923150" w14:paraId="31E26C96" w14:textId="77777777" w:rsidTr="001D1518">
        <w:trPr>
          <w:trHeight w:val="456"/>
        </w:trPr>
        <w:tc>
          <w:tcPr>
            <w:tcW w:w="851" w:type="dxa"/>
            <w:tcBorders>
              <w:top w:val="single" w:sz="4" w:space="0" w:color="000000"/>
            </w:tcBorders>
          </w:tcPr>
          <w:p w14:paraId="1F8B8B7D" w14:textId="2CD2A99A" w:rsidR="00644422" w:rsidRPr="00923150" w:rsidRDefault="00644422" w:rsidP="00215A1A">
            <w:pPr>
              <w:spacing w:before="60" w:after="60"/>
              <w:ind w:left="284" w:hanging="250"/>
              <w:jc w:val="center"/>
              <w:rPr>
                <w:sz w:val="20"/>
              </w:rPr>
            </w:pPr>
            <w:r w:rsidRPr="003F2CDC">
              <w:t>3</w:t>
            </w:r>
          </w:p>
        </w:tc>
        <w:tc>
          <w:tcPr>
            <w:tcW w:w="850" w:type="dxa"/>
            <w:vMerge/>
          </w:tcPr>
          <w:p w14:paraId="4772F65A" w14:textId="70FD46C5" w:rsidR="00644422" w:rsidRDefault="00644422" w:rsidP="003C2A2C">
            <w:pPr>
              <w:spacing w:before="60" w:after="60"/>
              <w:jc w:val="center"/>
              <w:rPr>
                <w:sz w:val="20"/>
              </w:rPr>
            </w:pPr>
          </w:p>
        </w:tc>
        <w:tc>
          <w:tcPr>
            <w:tcW w:w="1134" w:type="dxa"/>
            <w:tcBorders>
              <w:top w:val="single" w:sz="4" w:space="0" w:color="000000"/>
            </w:tcBorders>
          </w:tcPr>
          <w:p w14:paraId="2061C086" w14:textId="3994D5DD" w:rsidR="00644422" w:rsidRDefault="00644422" w:rsidP="00644422">
            <w:pPr>
              <w:spacing w:before="60" w:after="60"/>
              <w:jc w:val="center"/>
              <w:rPr>
                <w:sz w:val="20"/>
              </w:rPr>
            </w:pPr>
            <w:r w:rsidRPr="003F2CDC">
              <w:t>AC2</w:t>
            </w:r>
          </w:p>
        </w:tc>
        <w:tc>
          <w:tcPr>
            <w:tcW w:w="2268" w:type="dxa"/>
            <w:tcBorders>
              <w:top w:val="single" w:sz="4" w:space="0" w:color="000000"/>
            </w:tcBorders>
          </w:tcPr>
          <w:p w14:paraId="6123A8BF" w14:textId="1DDD4F9C" w:rsidR="00644422" w:rsidRDefault="00644422" w:rsidP="003C2A2C">
            <w:pPr>
              <w:spacing w:before="60" w:after="60"/>
              <w:jc w:val="left"/>
              <w:rPr>
                <w:sz w:val="20"/>
              </w:rPr>
            </w:pPr>
            <w:r w:rsidRPr="003F2CDC">
              <w:t>Single split: ducted</w:t>
            </w:r>
          </w:p>
        </w:tc>
        <w:tc>
          <w:tcPr>
            <w:tcW w:w="1418" w:type="dxa"/>
            <w:tcBorders>
              <w:top w:val="single" w:sz="4" w:space="0" w:color="000000"/>
            </w:tcBorders>
          </w:tcPr>
          <w:p w14:paraId="300D9FF3" w14:textId="4E43E2B8" w:rsidR="00644422" w:rsidRPr="008343EF" w:rsidRDefault="00644422" w:rsidP="003C2A2C">
            <w:pPr>
              <w:spacing w:before="60" w:after="60"/>
              <w:jc w:val="center"/>
              <w:rPr>
                <w:sz w:val="20"/>
              </w:rPr>
            </w:pPr>
            <w:r w:rsidRPr="003F2CDC">
              <w:t>AC2-1</w:t>
            </w:r>
          </w:p>
        </w:tc>
        <w:tc>
          <w:tcPr>
            <w:tcW w:w="3118" w:type="dxa"/>
            <w:tcBorders>
              <w:top w:val="single" w:sz="4" w:space="0" w:color="000000"/>
            </w:tcBorders>
          </w:tcPr>
          <w:p w14:paraId="15BDEAB9" w14:textId="1D5D9EE3" w:rsidR="00644422" w:rsidRPr="00923150" w:rsidRDefault="00644422" w:rsidP="003C2A2C">
            <w:pPr>
              <w:spacing w:before="60" w:after="60"/>
              <w:jc w:val="left"/>
              <w:rPr>
                <w:sz w:val="20"/>
              </w:rPr>
            </w:pPr>
            <w:r w:rsidRPr="003F2CDC">
              <w:t>Single split: ducted: 1-phase</w:t>
            </w:r>
          </w:p>
        </w:tc>
      </w:tr>
      <w:tr w:rsidR="00644422" w:rsidRPr="00923150" w14:paraId="7A7458E9" w14:textId="77777777" w:rsidTr="001D1518">
        <w:trPr>
          <w:trHeight w:val="456"/>
        </w:trPr>
        <w:tc>
          <w:tcPr>
            <w:tcW w:w="851" w:type="dxa"/>
            <w:tcBorders>
              <w:top w:val="single" w:sz="4" w:space="0" w:color="000000"/>
            </w:tcBorders>
          </w:tcPr>
          <w:p w14:paraId="566C84DE" w14:textId="2BA52F7A" w:rsidR="00644422" w:rsidRPr="00923150" w:rsidRDefault="00644422" w:rsidP="00215A1A">
            <w:pPr>
              <w:spacing w:before="60" w:after="60"/>
              <w:ind w:left="284" w:hanging="250"/>
              <w:jc w:val="center"/>
              <w:rPr>
                <w:sz w:val="20"/>
              </w:rPr>
            </w:pPr>
            <w:r w:rsidRPr="003F2CDC">
              <w:t>4</w:t>
            </w:r>
          </w:p>
        </w:tc>
        <w:tc>
          <w:tcPr>
            <w:tcW w:w="850" w:type="dxa"/>
            <w:vMerge/>
          </w:tcPr>
          <w:p w14:paraId="1C321257" w14:textId="694BF5F1" w:rsidR="00644422" w:rsidRDefault="00644422" w:rsidP="003C2A2C">
            <w:pPr>
              <w:spacing w:before="60" w:after="60"/>
              <w:jc w:val="center"/>
              <w:rPr>
                <w:sz w:val="20"/>
              </w:rPr>
            </w:pPr>
          </w:p>
        </w:tc>
        <w:tc>
          <w:tcPr>
            <w:tcW w:w="1134" w:type="dxa"/>
            <w:tcBorders>
              <w:top w:val="single" w:sz="4" w:space="0" w:color="000000"/>
            </w:tcBorders>
          </w:tcPr>
          <w:p w14:paraId="47F65757" w14:textId="02E4D75C" w:rsidR="00644422" w:rsidRDefault="00644422" w:rsidP="00644422">
            <w:pPr>
              <w:spacing w:before="60" w:after="60"/>
              <w:jc w:val="center"/>
              <w:rPr>
                <w:sz w:val="20"/>
              </w:rPr>
            </w:pPr>
            <w:r w:rsidRPr="003F2CDC">
              <w:t>AC2</w:t>
            </w:r>
          </w:p>
        </w:tc>
        <w:tc>
          <w:tcPr>
            <w:tcW w:w="2268" w:type="dxa"/>
            <w:tcBorders>
              <w:top w:val="single" w:sz="4" w:space="0" w:color="000000"/>
            </w:tcBorders>
          </w:tcPr>
          <w:p w14:paraId="5081863D" w14:textId="0222B54E" w:rsidR="00644422" w:rsidRDefault="00644422" w:rsidP="003C2A2C">
            <w:pPr>
              <w:spacing w:before="60" w:after="60"/>
              <w:jc w:val="left"/>
              <w:rPr>
                <w:sz w:val="20"/>
              </w:rPr>
            </w:pPr>
            <w:r w:rsidRPr="003F2CDC">
              <w:t>Single split: ducted</w:t>
            </w:r>
          </w:p>
        </w:tc>
        <w:tc>
          <w:tcPr>
            <w:tcW w:w="1418" w:type="dxa"/>
            <w:tcBorders>
              <w:top w:val="single" w:sz="4" w:space="0" w:color="000000"/>
            </w:tcBorders>
          </w:tcPr>
          <w:p w14:paraId="14079FA4" w14:textId="2DC33B1E" w:rsidR="00644422" w:rsidRPr="008343EF" w:rsidRDefault="00644422" w:rsidP="003C2A2C">
            <w:pPr>
              <w:spacing w:before="60" w:after="60"/>
              <w:jc w:val="center"/>
              <w:rPr>
                <w:sz w:val="20"/>
              </w:rPr>
            </w:pPr>
            <w:r w:rsidRPr="003F2CDC">
              <w:t>AC2-2</w:t>
            </w:r>
          </w:p>
        </w:tc>
        <w:tc>
          <w:tcPr>
            <w:tcW w:w="3118" w:type="dxa"/>
            <w:tcBorders>
              <w:top w:val="single" w:sz="4" w:space="0" w:color="000000"/>
            </w:tcBorders>
          </w:tcPr>
          <w:p w14:paraId="03840304" w14:textId="35BFB921" w:rsidR="00644422" w:rsidRPr="00923150" w:rsidRDefault="00644422" w:rsidP="003C2A2C">
            <w:pPr>
              <w:spacing w:before="60" w:after="60"/>
              <w:jc w:val="left"/>
              <w:rPr>
                <w:sz w:val="20"/>
              </w:rPr>
            </w:pPr>
            <w:r w:rsidRPr="003F2CDC">
              <w:t>Single split: ducted: 3-phase</w:t>
            </w:r>
          </w:p>
        </w:tc>
      </w:tr>
      <w:tr w:rsidR="00644422" w:rsidRPr="00923150" w14:paraId="13B8C938" w14:textId="77777777" w:rsidTr="001D1518">
        <w:trPr>
          <w:trHeight w:val="456"/>
        </w:trPr>
        <w:tc>
          <w:tcPr>
            <w:tcW w:w="851" w:type="dxa"/>
            <w:tcBorders>
              <w:top w:val="single" w:sz="4" w:space="0" w:color="000000"/>
            </w:tcBorders>
          </w:tcPr>
          <w:p w14:paraId="5C83E624" w14:textId="172DE88E" w:rsidR="00644422" w:rsidRPr="00923150" w:rsidRDefault="00644422" w:rsidP="00215A1A">
            <w:pPr>
              <w:spacing w:before="60" w:after="60"/>
              <w:ind w:left="284" w:hanging="250"/>
              <w:jc w:val="center"/>
              <w:rPr>
                <w:sz w:val="20"/>
              </w:rPr>
            </w:pPr>
            <w:r w:rsidRPr="003F2CDC">
              <w:t>5</w:t>
            </w:r>
          </w:p>
        </w:tc>
        <w:tc>
          <w:tcPr>
            <w:tcW w:w="850" w:type="dxa"/>
            <w:vMerge/>
          </w:tcPr>
          <w:p w14:paraId="4B20EAE3" w14:textId="0E41FADE" w:rsidR="00644422" w:rsidRDefault="00644422" w:rsidP="003C2A2C">
            <w:pPr>
              <w:spacing w:before="60" w:after="60"/>
              <w:jc w:val="center"/>
              <w:rPr>
                <w:sz w:val="20"/>
              </w:rPr>
            </w:pPr>
          </w:p>
        </w:tc>
        <w:tc>
          <w:tcPr>
            <w:tcW w:w="1134" w:type="dxa"/>
            <w:tcBorders>
              <w:top w:val="single" w:sz="4" w:space="0" w:color="000000"/>
            </w:tcBorders>
          </w:tcPr>
          <w:p w14:paraId="48DFF150" w14:textId="2CDF5E0C" w:rsidR="00644422" w:rsidRDefault="00644422" w:rsidP="00644422">
            <w:pPr>
              <w:spacing w:before="60" w:after="60"/>
              <w:jc w:val="center"/>
              <w:rPr>
                <w:sz w:val="20"/>
              </w:rPr>
            </w:pPr>
            <w:r w:rsidRPr="003F2CDC">
              <w:t>AC3</w:t>
            </w:r>
          </w:p>
        </w:tc>
        <w:tc>
          <w:tcPr>
            <w:tcW w:w="2268" w:type="dxa"/>
            <w:tcBorders>
              <w:top w:val="single" w:sz="4" w:space="0" w:color="000000"/>
            </w:tcBorders>
          </w:tcPr>
          <w:p w14:paraId="523964A6" w14:textId="49D81C71" w:rsidR="00644422" w:rsidRDefault="00644422" w:rsidP="002F2316">
            <w:pPr>
              <w:spacing w:before="60" w:after="60"/>
              <w:jc w:val="left"/>
              <w:rPr>
                <w:sz w:val="20"/>
              </w:rPr>
            </w:pPr>
            <w:r w:rsidRPr="003F2CDC">
              <w:t>Window/</w:t>
            </w:r>
            <w:r w:rsidR="002F2316">
              <w:t>w</w:t>
            </w:r>
            <w:r w:rsidRPr="003F2CDC">
              <w:t>all</w:t>
            </w:r>
          </w:p>
        </w:tc>
        <w:tc>
          <w:tcPr>
            <w:tcW w:w="1418" w:type="dxa"/>
            <w:tcBorders>
              <w:top w:val="single" w:sz="4" w:space="0" w:color="000000"/>
            </w:tcBorders>
          </w:tcPr>
          <w:p w14:paraId="7ED7254B" w14:textId="5E39BB95" w:rsidR="00644422" w:rsidRPr="008343EF" w:rsidRDefault="00644422" w:rsidP="003C2A2C">
            <w:pPr>
              <w:spacing w:before="60" w:after="60"/>
              <w:jc w:val="center"/>
              <w:rPr>
                <w:sz w:val="20"/>
              </w:rPr>
            </w:pPr>
            <w:r w:rsidRPr="003F2CDC">
              <w:t>AC3</w:t>
            </w:r>
          </w:p>
        </w:tc>
        <w:tc>
          <w:tcPr>
            <w:tcW w:w="3118" w:type="dxa"/>
            <w:tcBorders>
              <w:top w:val="single" w:sz="4" w:space="0" w:color="000000"/>
            </w:tcBorders>
          </w:tcPr>
          <w:p w14:paraId="1EBEAB27" w14:textId="67DE2AE7" w:rsidR="00644422" w:rsidRPr="00923150" w:rsidRDefault="00644422" w:rsidP="003C2A2C">
            <w:pPr>
              <w:spacing w:before="60" w:after="60"/>
              <w:jc w:val="left"/>
              <w:rPr>
                <w:sz w:val="20"/>
              </w:rPr>
            </w:pPr>
            <w:r w:rsidRPr="003F2CDC">
              <w:t xml:space="preserve">Non-Ducted: Unitary 0-10 kWr </w:t>
            </w:r>
          </w:p>
        </w:tc>
      </w:tr>
      <w:tr w:rsidR="00644422" w:rsidRPr="00923150" w14:paraId="553AB091" w14:textId="77777777" w:rsidTr="001D1518">
        <w:trPr>
          <w:trHeight w:val="456"/>
        </w:trPr>
        <w:tc>
          <w:tcPr>
            <w:tcW w:w="851" w:type="dxa"/>
            <w:tcBorders>
              <w:top w:val="single" w:sz="4" w:space="0" w:color="000000"/>
            </w:tcBorders>
          </w:tcPr>
          <w:p w14:paraId="330C18D9" w14:textId="5120CFB6" w:rsidR="00644422" w:rsidRPr="00923150" w:rsidRDefault="00644422" w:rsidP="00215A1A">
            <w:pPr>
              <w:spacing w:before="60" w:after="60"/>
              <w:ind w:left="284" w:hanging="250"/>
              <w:jc w:val="center"/>
              <w:rPr>
                <w:sz w:val="20"/>
              </w:rPr>
            </w:pPr>
            <w:r w:rsidRPr="003F2CDC">
              <w:t>6</w:t>
            </w:r>
          </w:p>
        </w:tc>
        <w:tc>
          <w:tcPr>
            <w:tcW w:w="850" w:type="dxa"/>
            <w:vMerge/>
          </w:tcPr>
          <w:p w14:paraId="72221CD0" w14:textId="03EFFCD0" w:rsidR="00644422" w:rsidRDefault="00644422" w:rsidP="003C2A2C">
            <w:pPr>
              <w:spacing w:before="60" w:after="60"/>
              <w:jc w:val="center"/>
              <w:rPr>
                <w:sz w:val="20"/>
              </w:rPr>
            </w:pPr>
          </w:p>
        </w:tc>
        <w:tc>
          <w:tcPr>
            <w:tcW w:w="1134" w:type="dxa"/>
            <w:tcBorders>
              <w:top w:val="single" w:sz="4" w:space="0" w:color="000000"/>
            </w:tcBorders>
          </w:tcPr>
          <w:p w14:paraId="21B84B8E" w14:textId="762E37F2" w:rsidR="00644422" w:rsidRDefault="00644422" w:rsidP="00644422">
            <w:pPr>
              <w:spacing w:before="60" w:after="60"/>
              <w:jc w:val="center"/>
              <w:rPr>
                <w:sz w:val="20"/>
              </w:rPr>
            </w:pPr>
            <w:r w:rsidRPr="003F2CDC">
              <w:t>AC4</w:t>
            </w:r>
          </w:p>
        </w:tc>
        <w:tc>
          <w:tcPr>
            <w:tcW w:w="2268" w:type="dxa"/>
            <w:tcBorders>
              <w:top w:val="single" w:sz="4" w:space="0" w:color="000000"/>
            </w:tcBorders>
          </w:tcPr>
          <w:p w14:paraId="363740F5" w14:textId="662542F0" w:rsidR="00644422" w:rsidRDefault="00644422" w:rsidP="003C2A2C">
            <w:pPr>
              <w:spacing w:before="60" w:after="60"/>
              <w:jc w:val="left"/>
              <w:rPr>
                <w:sz w:val="20"/>
              </w:rPr>
            </w:pPr>
            <w:r w:rsidRPr="003F2CDC">
              <w:t>Portable AC</w:t>
            </w:r>
          </w:p>
        </w:tc>
        <w:tc>
          <w:tcPr>
            <w:tcW w:w="1418" w:type="dxa"/>
            <w:tcBorders>
              <w:top w:val="single" w:sz="4" w:space="0" w:color="000000"/>
            </w:tcBorders>
          </w:tcPr>
          <w:p w14:paraId="00C3BD97" w14:textId="3E85CD20" w:rsidR="00644422" w:rsidRPr="008343EF" w:rsidRDefault="00644422" w:rsidP="003C2A2C">
            <w:pPr>
              <w:spacing w:before="60" w:after="60"/>
              <w:jc w:val="center"/>
              <w:rPr>
                <w:sz w:val="20"/>
              </w:rPr>
            </w:pPr>
            <w:r w:rsidRPr="003F2CDC">
              <w:t>AC4</w:t>
            </w:r>
          </w:p>
        </w:tc>
        <w:tc>
          <w:tcPr>
            <w:tcW w:w="3118" w:type="dxa"/>
            <w:tcBorders>
              <w:top w:val="single" w:sz="4" w:space="0" w:color="000000"/>
            </w:tcBorders>
          </w:tcPr>
          <w:p w14:paraId="704D0160" w14:textId="2E1B1998" w:rsidR="00644422" w:rsidRPr="00923150" w:rsidRDefault="00644422" w:rsidP="003C2A2C">
            <w:pPr>
              <w:spacing w:before="60" w:after="60"/>
              <w:jc w:val="left"/>
              <w:rPr>
                <w:sz w:val="20"/>
              </w:rPr>
            </w:pPr>
            <w:r w:rsidRPr="003F2CDC">
              <w:t>Portable AC 0-10 kWr</w:t>
            </w:r>
          </w:p>
        </w:tc>
      </w:tr>
      <w:tr w:rsidR="00644422" w:rsidRPr="00923150" w14:paraId="0FD6DFC1" w14:textId="77777777" w:rsidTr="001D1518">
        <w:trPr>
          <w:trHeight w:val="456"/>
        </w:trPr>
        <w:tc>
          <w:tcPr>
            <w:tcW w:w="851" w:type="dxa"/>
            <w:tcBorders>
              <w:top w:val="single" w:sz="4" w:space="0" w:color="000000"/>
            </w:tcBorders>
          </w:tcPr>
          <w:p w14:paraId="4794973F" w14:textId="60B1B54F" w:rsidR="00644422" w:rsidRPr="00923150" w:rsidRDefault="00644422" w:rsidP="00215A1A">
            <w:pPr>
              <w:spacing w:before="60" w:after="60"/>
              <w:ind w:left="284" w:hanging="250"/>
              <w:jc w:val="center"/>
              <w:rPr>
                <w:sz w:val="20"/>
              </w:rPr>
            </w:pPr>
            <w:r w:rsidRPr="003F2CDC">
              <w:t>7</w:t>
            </w:r>
          </w:p>
        </w:tc>
        <w:tc>
          <w:tcPr>
            <w:tcW w:w="850" w:type="dxa"/>
            <w:vMerge/>
          </w:tcPr>
          <w:p w14:paraId="2A7B2D4C" w14:textId="133E6889" w:rsidR="00644422" w:rsidRDefault="00644422" w:rsidP="003C2A2C">
            <w:pPr>
              <w:spacing w:before="60" w:after="60"/>
              <w:jc w:val="center"/>
              <w:rPr>
                <w:sz w:val="20"/>
              </w:rPr>
            </w:pPr>
          </w:p>
        </w:tc>
        <w:tc>
          <w:tcPr>
            <w:tcW w:w="1134" w:type="dxa"/>
            <w:tcBorders>
              <w:top w:val="single" w:sz="4" w:space="0" w:color="000000"/>
            </w:tcBorders>
          </w:tcPr>
          <w:p w14:paraId="5285752E" w14:textId="31435FDE" w:rsidR="00644422" w:rsidRDefault="00644422" w:rsidP="00644422">
            <w:pPr>
              <w:spacing w:before="60" w:after="60"/>
              <w:jc w:val="center"/>
              <w:rPr>
                <w:sz w:val="20"/>
              </w:rPr>
            </w:pPr>
            <w:r w:rsidRPr="003F2CDC">
              <w:t>AC5</w:t>
            </w:r>
          </w:p>
        </w:tc>
        <w:tc>
          <w:tcPr>
            <w:tcW w:w="2268" w:type="dxa"/>
            <w:tcBorders>
              <w:top w:val="single" w:sz="4" w:space="0" w:color="000000"/>
            </w:tcBorders>
          </w:tcPr>
          <w:p w14:paraId="64ED44DE" w14:textId="00C19042" w:rsidR="00644422" w:rsidRDefault="00644422" w:rsidP="003C2A2C">
            <w:pPr>
              <w:spacing w:before="60" w:after="60"/>
              <w:jc w:val="left"/>
              <w:rPr>
                <w:sz w:val="20"/>
              </w:rPr>
            </w:pPr>
            <w:r w:rsidRPr="003F2CDC">
              <w:t>Chillers</w:t>
            </w:r>
          </w:p>
        </w:tc>
        <w:tc>
          <w:tcPr>
            <w:tcW w:w="1418" w:type="dxa"/>
            <w:tcBorders>
              <w:top w:val="single" w:sz="4" w:space="0" w:color="000000"/>
            </w:tcBorders>
          </w:tcPr>
          <w:p w14:paraId="7D77ECB5" w14:textId="1CC7E7D4" w:rsidR="00644422" w:rsidRPr="008343EF" w:rsidRDefault="00644422" w:rsidP="003C2A2C">
            <w:pPr>
              <w:spacing w:before="60" w:after="60"/>
              <w:jc w:val="center"/>
              <w:rPr>
                <w:sz w:val="20"/>
              </w:rPr>
            </w:pPr>
            <w:r w:rsidRPr="003F2CDC">
              <w:t>AC5-1</w:t>
            </w:r>
          </w:p>
        </w:tc>
        <w:tc>
          <w:tcPr>
            <w:tcW w:w="3118" w:type="dxa"/>
            <w:tcBorders>
              <w:top w:val="single" w:sz="4" w:space="0" w:color="000000"/>
            </w:tcBorders>
          </w:tcPr>
          <w:p w14:paraId="7CC0E9D1" w14:textId="3C157E2B" w:rsidR="00644422" w:rsidRPr="00923150" w:rsidRDefault="00644422" w:rsidP="003C2A2C">
            <w:pPr>
              <w:spacing w:before="60" w:after="60"/>
              <w:jc w:val="left"/>
              <w:rPr>
                <w:sz w:val="20"/>
              </w:rPr>
            </w:pPr>
            <w:r w:rsidRPr="003F2CDC">
              <w:t>&lt;500 kWr</w:t>
            </w:r>
          </w:p>
        </w:tc>
      </w:tr>
      <w:tr w:rsidR="00644422" w:rsidRPr="00923150" w14:paraId="564FA242" w14:textId="77777777" w:rsidTr="001D1518">
        <w:trPr>
          <w:trHeight w:val="456"/>
        </w:trPr>
        <w:tc>
          <w:tcPr>
            <w:tcW w:w="851" w:type="dxa"/>
            <w:tcBorders>
              <w:top w:val="single" w:sz="4" w:space="0" w:color="000000"/>
            </w:tcBorders>
          </w:tcPr>
          <w:p w14:paraId="4152A716" w14:textId="1F9607E9" w:rsidR="00644422" w:rsidRPr="00923150" w:rsidRDefault="00644422" w:rsidP="00215A1A">
            <w:pPr>
              <w:spacing w:before="60" w:after="60"/>
              <w:ind w:left="284" w:hanging="250"/>
              <w:jc w:val="center"/>
              <w:rPr>
                <w:sz w:val="20"/>
              </w:rPr>
            </w:pPr>
            <w:r w:rsidRPr="003F2CDC">
              <w:t>8</w:t>
            </w:r>
          </w:p>
        </w:tc>
        <w:tc>
          <w:tcPr>
            <w:tcW w:w="850" w:type="dxa"/>
            <w:vMerge/>
          </w:tcPr>
          <w:p w14:paraId="1AE0C4C5" w14:textId="4E5BCC2E" w:rsidR="00644422" w:rsidRDefault="00644422" w:rsidP="003C2A2C">
            <w:pPr>
              <w:spacing w:before="60" w:after="60"/>
              <w:jc w:val="center"/>
              <w:rPr>
                <w:sz w:val="20"/>
              </w:rPr>
            </w:pPr>
          </w:p>
        </w:tc>
        <w:tc>
          <w:tcPr>
            <w:tcW w:w="1134" w:type="dxa"/>
            <w:tcBorders>
              <w:top w:val="single" w:sz="4" w:space="0" w:color="000000"/>
            </w:tcBorders>
          </w:tcPr>
          <w:p w14:paraId="3BE981DF" w14:textId="4CEBD030" w:rsidR="00644422" w:rsidRDefault="00644422" w:rsidP="00644422">
            <w:pPr>
              <w:spacing w:before="60" w:after="60"/>
              <w:jc w:val="center"/>
              <w:rPr>
                <w:sz w:val="20"/>
              </w:rPr>
            </w:pPr>
            <w:r w:rsidRPr="003F2CDC">
              <w:t>AC5</w:t>
            </w:r>
          </w:p>
        </w:tc>
        <w:tc>
          <w:tcPr>
            <w:tcW w:w="2268" w:type="dxa"/>
            <w:tcBorders>
              <w:top w:val="single" w:sz="4" w:space="0" w:color="000000"/>
            </w:tcBorders>
          </w:tcPr>
          <w:p w14:paraId="08282CB8" w14:textId="1B3307E3" w:rsidR="00644422" w:rsidRDefault="00644422" w:rsidP="003C2A2C">
            <w:pPr>
              <w:spacing w:before="60" w:after="60"/>
              <w:jc w:val="left"/>
              <w:rPr>
                <w:sz w:val="20"/>
              </w:rPr>
            </w:pPr>
            <w:r w:rsidRPr="003F2CDC">
              <w:t>Chillers</w:t>
            </w:r>
          </w:p>
        </w:tc>
        <w:tc>
          <w:tcPr>
            <w:tcW w:w="1418" w:type="dxa"/>
            <w:tcBorders>
              <w:top w:val="single" w:sz="4" w:space="0" w:color="000000"/>
            </w:tcBorders>
          </w:tcPr>
          <w:p w14:paraId="0848471E" w14:textId="121208FF" w:rsidR="00644422" w:rsidRPr="008343EF" w:rsidRDefault="00644422" w:rsidP="003C2A2C">
            <w:pPr>
              <w:spacing w:before="60" w:after="60"/>
              <w:jc w:val="center"/>
              <w:rPr>
                <w:sz w:val="20"/>
              </w:rPr>
            </w:pPr>
            <w:r w:rsidRPr="003F2CDC">
              <w:t>AC5-2</w:t>
            </w:r>
          </w:p>
        </w:tc>
        <w:tc>
          <w:tcPr>
            <w:tcW w:w="3118" w:type="dxa"/>
            <w:tcBorders>
              <w:top w:val="single" w:sz="4" w:space="0" w:color="000000"/>
            </w:tcBorders>
          </w:tcPr>
          <w:p w14:paraId="57DD0D2F" w14:textId="58EFDEA0" w:rsidR="00644422" w:rsidRPr="00923150" w:rsidRDefault="00644422" w:rsidP="003C2A2C">
            <w:pPr>
              <w:spacing w:before="60" w:after="60"/>
              <w:jc w:val="left"/>
              <w:rPr>
                <w:sz w:val="20"/>
              </w:rPr>
            </w:pPr>
            <w:r w:rsidRPr="003F2CDC">
              <w:t>&gt;500 &amp; &lt;1000 kWr</w:t>
            </w:r>
          </w:p>
        </w:tc>
      </w:tr>
      <w:tr w:rsidR="00644422" w:rsidRPr="00923150" w14:paraId="70C08523" w14:textId="77777777" w:rsidTr="001D1518">
        <w:trPr>
          <w:trHeight w:val="456"/>
        </w:trPr>
        <w:tc>
          <w:tcPr>
            <w:tcW w:w="851" w:type="dxa"/>
            <w:tcBorders>
              <w:top w:val="single" w:sz="4" w:space="0" w:color="000000"/>
            </w:tcBorders>
          </w:tcPr>
          <w:p w14:paraId="4810A42E" w14:textId="053C7E9D" w:rsidR="00644422" w:rsidRPr="00923150" w:rsidRDefault="00644422" w:rsidP="00215A1A">
            <w:pPr>
              <w:spacing w:before="60" w:after="60"/>
              <w:ind w:left="284" w:hanging="250"/>
              <w:jc w:val="center"/>
              <w:rPr>
                <w:sz w:val="20"/>
              </w:rPr>
            </w:pPr>
            <w:r w:rsidRPr="003F2CDC">
              <w:t>9</w:t>
            </w:r>
          </w:p>
        </w:tc>
        <w:tc>
          <w:tcPr>
            <w:tcW w:w="850" w:type="dxa"/>
            <w:vMerge/>
          </w:tcPr>
          <w:p w14:paraId="41774942" w14:textId="6A2DD503" w:rsidR="00644422" w:rsidRDefault="00644422" w:rsidP="003C2A2C">
            <w:pPr>
              <w:spacing w:before="60" w:after="60"/>
              <w:jc w:val="center"/>
              <w:rPr>
                <w:sz w:val="20"/>
              </w:rPr>
            </w:pPr>
          </w:p>
        </w:tc>
        <w:tc>
          <w:tcPr>
            <w:tcW w:w="1134" w:type="dxa"/>
            <w:tcBorders>
              <w:top w:val="single" w:sz="4" w:space="0" w:color="000000"/>
            </w:tcBorders>
          </w:tcPr>
          <w:p w14:paraId="18424CEF" w14:textId="5CF61F49" w:rsidR="00644422" w:rsidRDefault="00644422" w:rsidP="00644422">
            <w:pPr>
              <w:spacing w:before="60" w:after="60"/>
              <w:jc w:val="center"/>
              <w:rPr>
                <w:sz w:val="20"/>
              </w:rPr>
            </w:pPr>
            <w:r w:rsidRPr="003F2CDC">
              <w:t>AC5</w:t>
            </w:r>
          </w:p>
        </w:tc>
        <w:tc>
          <w:tcPr>
            <w:tcW w:w="2268" w:type="dxa"/>
            <w:tcBorders>
              <w:top w:val="single" w:sz="4" w:space="0" w:color="000000"/>
            </w:tcBorders>
          </w:tcPr>
          <w:p w14:paraId="428E2C24" w14:textId="51320DAF" w:rsidR="00644422" w:rsidRDefault="00644422" w:rsidP="003C2A2C">
            <w:pPr>
              <w:spacing w:before="60" w:after="60"/>
              <w:jc w:val="left"/>
              <w:rPr>
                <w:sz w:val="20"/>
              </w:rPr>
            </w:pPr>
            <w:r w:rsidRPr="003F2CDC">
              <w:t>Chillers</w:t>
            </w:r>
          </w:p>
        </w:tc>
        <w:tc>
          <w:tcPr>
            <w:tcW w:w="1418" w:type="dxa"/>
            <w:tcBorders>
              <w:top w:val="single" w:sz="4" w:space="0" w:color="000000"/>
            </w:tcBorders>
          </w:tcPr>
          <w:p w14:paraId="63402736" w14:textId="33D6E0C3" w:rsidR="00644422" w:rsidRPr="008343EF" w:rsidRDefault="00644422" w:rsidP="003C2A2C">
            <w:pPr>
              <w:spacing w:before="60" w:after="60"/>
              <w:jc w:val="center"/>
              <w:rPr>
                <w:sz w:val="20"/>
              </w:rPr>
            </w:pPr>
            <w:r w:rsidRPr="003F2CDC">
              <w:t>AC5-3</w:t>
            </w:r>
          </w:p>
        </w:tc>
        <w:tc>
          <w:tcPr>
            <w:tcW w:w="3118" w:type="dxa"/>
            <w:tcBorders>
              <w:top w:val="single" w:sz="4" w:space="0" w:color="000000"/>
            </w:tcBorders>
          </w:tcPr>
          <w:p w14:paraId="2F2D1D0F" w14:textId="55797B25" w:rsidR="00644422" w:rsidRPr="00923150" w:rsidRDefault="00644422" w:rsidP="003C2A2C">
            <w:pPr>
              <w:spacing w:before="60" w:after="60"/>
              <w:jc w:val="left"/>
              <w:rPr>
                <w:sz w:val="20"/>
              </w:rPr>
            </w:pPr>
            <w:r w:rsidRPr="003F2CDC">
              <w:t>&gt;1000 kWr</w:t>
            </w:r>
          </w:p>
        </w:tc>
      </w:tr>
      <w:tr w:rsidR="00644422" w:rsidRPr="00923150" w14:paraId="4466D34C" w14:textId="77777777" w:rsidTr="001D1518">
        <w:trPr>
          <w:trHeight w:val="456"/>
        </w:trPr>
        <w:tc>
          <w:tcPr>
            <w:tcW w:w="851" w:type="dxa"/>
            <w:tcBorders>
              <w:top w:val="single" w:sz="4" w:space="0" w:color="000000"/>
            </w:tcBorders>
          </w:tcPr>
          <w:p w14:paraId="24C094DD" w14:textId="30762045" w:rsidR="00644422" w:rsidRPr="00923150" w:rsidRDefault="00644422" w:rsidP="00215A1A">
            <w:pPr>
              <w:spacing w:before="60" w:after="60"/>
              <w:ind w:left="284" w:hanging="250"/>
              <w:jc w:val="center"/>
              <w:rPr>
                <w:sz w:val="20"/>
              </w:rPr>
            </w:pPr>
            <w:r w:rsidRPr="003F2CDC">
              <w:t>10</w:t>
            </w:r>
          </w:p>
        </w:tc>
        <w:tc>
          <w:tcPr>
            <w:tcW w:w="850" w:type="dxa"/>
            <w:vMerge/>
          </w:tcPr>
          <w:p w14:paraId="0B1BB396" w14:textId="5D62AE40" w:rsidR="00644422" w:rsidRDefault="00644422" w:rsidP="003C2A2C">
            <w:pPr>
              <w:spacing w:before="60" w:after="60"/>
              <w:jc w:val="center"/>
              <w:rPr>
                <w:sz w:val="20"/>
              </w:rPr>
            </w:pPr>
          </w:p>
        </w:tc>
        <w:tc>
          <w:tcPr>
            <w:tcW w:w="1134" w:type="dxa"/>
            <w:tcBorders>
              <w:top w:val="single" w:sz="4" w:space="0" w:color="000000"/>
            </w:tcBorders>
          </w:tcPr>
          <w:p w14:paraId="40C5380A" w14:textId="2F5E0173" w:rsidR="00644422" w:rsidRDefault="00644422" w:rsidP="00644422">
            <w:pPr>
              <w:spacing w:before="60" w:after="60"/>
              <w:jc w:val="center"/>
              <w:rPr>
                <w:sz w:val="20"/>
              </w:rPr>
            </w:pPr>
            <w:r w:rsidRPr="003F2CDC">
              <w:t>AC6</w:t>
            </w:r>
          </w:p>
        </w:tc>
        <w:tc>
          <w:tcPr>
            <w:tcW w:w="2268" w:type="dxa"/>
            <w:tcBorders>
              <w:top w:val="single" w:sz="4" w:space="0" w:color="000000"/>
            </w:tcBorders>
          </w:tcPr>
          <w:p w14:paraId="6903BA76" w14:textId="446A7085" w:rsidR="00644422" w:rsidRDefault="00644422" w:rsidP="003C2A2C">
            <w:pPr>
              <w:spacing w:before="60" w:after="60"/>
              <w:jc w:val="left"/>
              <w:rPr>
                <w:sz w:val="20"/>
              </w:rPr>
            </w:pPr>
            <w:r w:rsidRPr="003F2CDC">
              <w:t>Light commercial</w:t>
            </w:r>
          </w:p>
        </w:tc>
        <w:tc>
          <w:tcPr>
            <w:tcW w:w="1418" w:type="dxa"/>
            <w:tcBorders>
              <w:top w:val="single" w:sz="4" w:space="0" w:color="000000"/>
            </w:tcBorders>
          </w:tcPr>
          <w:p w14:paraId="4F15311C" w14:textId="426B6CB1" w:rsidR="00644422" w:rsidRPr="008343EF" w:rsidRDefault="00644422" w:rsidP="003C2A2C">
            <w:pPr>
              <w:spacing w:before="60" w:after="60"/>
              <w:jc w:val="center"/>
              <w:rPr>
                <w:sz w:val="20"/>
              </w:rPr>
            </w:pPr>
            <w:r w:rsidRPr="003F2CDC">
              <w:t>AC6-1</w:t>
            </w:r>
          </w:p>
        </w:tc>
        <w:tc>
          <w:tcPr>
            <w:tcW w:w="3118" w:type="dxa"/>
            <w:tcBorders>
              <w:top w:val="single" w:sz="4" w:space="0" w:color="000000"/>
            </w:tcBorders>
          </w:tcPr>
          <w:p w14:paraId="7B09DCC1" w14:textId="2E359BFE" w:rsidR="00644422" w:rsidRPr="00923150" w:rsidRDefault="00644422" w:rsidP="003C2A2C">
            <w:pPr>
              <w:spacing w:before="60" w:after="60"/>
              <w:jc w:val="left"/>
              <w:rPr>
                <w:sz w:val="20"/>
              </w:rPr>
            </w:pPr>
            <w:r w:rsidRPr="003F2CDC">
              <w:t>RT Packaged systems</w:t>
            </w:r>
          </w:p>
        </w:tc>
      </w:tr>
      <w:tr w:rsidR="00644422" w:rsidRPr="00923150" w14:paraId="2F86A934" w14:textId="77777777" w:rsidTr="001D1518">
        <w:trPr>
          <w:trHeight w:val="456"/>
        </w:trPr>
        <w:tc>
          <w:tcPr>
            <w:tcW w:w="851" w:type="dxa"/>
            <w:tcBorders>
              <w:top w:val="single" w:sz="4" w:space="0" w:color="000000"/>
            </w:tcBorders>
          </w:tcPr>
          <w:p w14:paraId="37C4D5C3" w14:textId="59AE2302" w:rsidR="00644422" w:rsidRPr="00923150" w:rsidRDefault="00644422" w:rsidP="00215A1A">
            <w:pPr>
              <w:spacing w:before="60" w:after="60"/>
              <w:ind w:left="284" w:hanging="250"/>
              <w:jc w:val="center"/>
              <w:rPr>
                <w:sz w:val="20"/>
              </w:rPr>
            </w:pPr>
            <w:r w:rsidRPr="003F2CDC">
              <w:t>11</w:t>
            </w:r>
          </w:p>
        </w:tc>
        <w:tc>
          <w:tcPr>
            <w:tcW w:w="850" w:type="dxa"/>
            <w:vMerge/>
          </w:tcPr>
          <w:p w14:paraId="15497ACD" w14:textId="2F532B39" w:rsidR="00644422" w:rsidRDefault="00644422" w:rsidP="003C2A2C">
            <w:pPr>
              <w:spacing w:before="60" w:after="60"/>
              <w:jc w:val="center"/>
              <w:rPr>
                <w:sz w:val="20"/>
              </w:rPr>
            </w:pPr>
          </w:p>
        </w:tc>
        <w:tc>
          <w:tcPr>
            <w:tcW w:w="1134" w:type="dxa"/>
            <w:tcBorders>
              <w:top w:val="single" w:sz="4" w:space="0" w:color="000000"/>
            </w:tcBorders>
          </w:tcPr>
          <w:p w14:paraId="3EF8BF99" w14:textId="0270495D" w:rsidR="00644422" w:rsidRDefault="00644422" w:rsidP="00644422">
            <w:pPr>
              <w:spacing w:before="60" w:after="60"/>
              <w:jc w:val="center"/>
              <w:rPr>
                <w:sz w:val="20"/>
              </w:rPr>
            </w:pPr>
            <w:r w:rsidRPr="003F2CDC">
              <w:t>AC6</w:t>
            </w:r>
          </w:p>
        </w:tc>
        <w:tc>
          <w:tcPr>
            <w:tcW w:w="2268" w:type="dxa"/>
            <w:tcBorders>
              <w:top w:val="single" w:sz="4" w:space="0" w:color="000000"/>
            </w:tcBorders>
          </w:tcPr>
          <w:p w14:paraId="67DB221A" w14:textId="302C76B2" w:rsidR="00644422" w:rsidRDefault="00644422" w:rsidP="003C2A2C">
            <w:pPr>
              <w:spacing w:before="60" w:after="60"/>
              <w:jc w:val="left"/>
              <w:rPr>
                <w:sz w:val="20"/>
              </w:rPr>
            </w:pPr>
            <w:r w:rsidRPr="003F2CDC">
              <w:t>Light commercial</w:t>
            </w:r>
          </w:p>
        </w:tc>
        <w:tc>
          <w:tcPr>
            <w:tcW w:w="1418" w:type="dxa"/>
            <w:tcBorders>
              <w:top w:val="single" w:sz="4" w:space="0" w:color="000000"/>
            </w:tcBorders>
          </w:tcPr>
          <w:p w14:paraId="5CB83143" w14:textId="1679E753" w:rsidR="00644422" w:rsidRPr="008343EF" w:rsidRDefault="00644422" w:rsidP="003C2A2C">
            <w:pPr>
              <w:spacing w:before="60" w:after="60"/>
              <w:jc w:val="center"/>
              <w:rPr>
                <w:sz w:val="20"/>
              </w:rPr>
            </w:pPr>
            <w:r w:rsidRPr="003F2CDC">
              <w:t>AC6-2</w:t>
            </w:r>
          </w:p>
        </w:tc>
        <w:tc>
          <w:tcPr>
            <w:tcW w:w="3118" w:type="dxa"/>
            <w:tcBorders>
              <w:top w:val="single" w:sz="4" w:space="0" w:color="000000"/>
            </w:tcBorders>
          </w:tcPr>
          <w:p w14:paraId="2146ADCF" w14:textId="5DAC2867" w:rsidR="00644422" w:rsidRPr="00923150" w:rsidRDefault="00644422" w:rsidP="003C2A2C">
            <w:pPr>
              <w:spacing w:before="60" w:after="60"/>
              <w:jc w:val="left"/>
              <w:rPr>
                <w:sz w:val="20"/>
              </w:rPr>
            </w:pPr>
            <w:r w:rsidRPr="003F2CDC">
              <w:t>Multi split/VRF</w:t>
            </w:r>
          </w:p>
        </w:tc>
      </w:tr>
      <w:tr w:rsidR="00644422" w:rsidRPr="00923150" w14:paraId="63A89D86" w14:textId="77777777" w:rsidTr="001D1518">
        <w:trPr>
          <w:trHeight w:val="456"/>
        </w:trPr>
        <w:tc>
          <w:tcPr>
            <w:tcW w:w="851" w:type="dxa"/>
            <w:tcBorders>
              <w:top w:val="single" w:sz="4" w:space="0" w:color="000000"/>
            </w:tcBorders>
          </w:tcPr>
          <w:p w14:paraId="5C1602E9" w14:textId="3096DBAC" w:rsidR="00644422" w:rsidRPr="00923150" w:rsidRDefault="00644422" w:rsidP="00215A1A">
            <w:pPr>
              <w:spacing w:before="60" w:after="60"/>
              <w:ind w:left="284" w:hanging="250"/>
              <w:jc w:val="center"/>
              <w:rPr>
                <w:sz w:val="20"/>
              </w:rPr>
            </w:pPr>
            <w:r w:rsidRPr="003F2CDC">
              <w:t>12</w:t>
            </w:r>
          </w:p>
        </w:tc>
        <w:tc>
          <w:tcPr>
            <w:tcW w:w="850" w:type="dxa"/>
            <w:vMerge/>
          </w:tcPr>
          <w:p w14:paraId="537A8860" w14:textId="19CC7FA3" w:rsidR="00644422" w:rsidRDefault="00644422" w:rsidP="003C2A2C">
            <w:pPr>
              <w:spacing w:before="60" w:after="60"/>
              <w:jc w:val="center"/>
              <w:rPr>
                <w:sz w:val="20"/>
              </w:rPr>
            </w:pPr>
          </w:p>
        </w:tc>
        <w:tc>
          <w:tcPr>
            <w:tcW w:w="1134" w:type="dxa"/>
            <w:tcBorders>
              <w:top w:val="single" w:sz="4" w:space="0" w:color="000000"/>
            </w:tcBorders>
          </w:tcPr>
          <w:p w14:paraId="1ECE9BA6" w14:textId="5527F755" w:rsidR="00644422" w:rsidRDefault="00644422" w:rsidP="00644422">
            <w:pPr>
              <w:spacing w:before="60" w:after="60"/>
              <w:jc w:val="center"/>
              <w:rPr>
                <w:sz w:val="20"/>
              </w:rPr>
            </w:pPr>
            <w:r w:rsidRPr="003F2CDC">
              <w:t>AC6</w:t>
            </w:r>
          </w:p>
        </w:tc>
        <w:tc>
          <w:tcPr>
            <w:tcW w:w="2268" w:type="dxa"/>
            <w:tcBorders>
              <w:top w:val="single" w:sz="4" w:space="0" w:color="000000"/>
            </w:tcBorders>
          </w:tcPr>
          <w:p w14:paraId="773601CC" w14:textId="690EB383" w:rsidR="00644422" w:rsidRDefault="00644422" w:rsidP="003C2A2C">
            <w:pPr>
              <w:spacing w:before="60" w:after="60"/>
              <w:jc w:val="left"/>
              <w:rPr>
                <w:sz w:val="20"/>
              </w:rPr>
            </w:pPr>
            <w:r w:rsidRPr="003F2CDC">
              <w:t>Light commercial</w:t>
            </w:r>
          </w:p>
        </w:tc>
        <w:tc>
          <w:tcPr>
            <w:tcW w:w="1418" w:type="dxa"/>
            <w:tcBorders>
              <w:top w:val="single" w:sz="4" w:space="0" w:color="000000"/>
            </w:tcBorders>
          </w:tcPr>
          <w:p w14:paraId="6DEFEEC9" w14:textId="670A7B40" w:rsidR="00644422" w:rsidRPr="008343EF" w:rsidRDefault="00644422" w:rsidP="003C2A2C">
            <w:pPr>
              <w:spacing w:before="60" w:after="60"/>
              <w:jc w:val="center"/>
              <w:rPr>
                <w:sz w:val="20"/>
              </w:rPr>
            </w:pPr>
            <w:r w:rsidRPr="003F2CDC">
              <w:t>AC6-3</w:t>
            </w:r>
          </w:p>
        </w:tc>
        <w:tc>
          <w:tcPr>
            <w:tcW w:w="3118" w:type="dxa"/>
            <w:tcBorders>
              <w:top w:val="single" w:sz="4" w:space="0" w:color="000000"/>
            </w:tcBorders>
          </w:tcPr>
          <w:p w14:paraId="28A882A4" w14:textId="18272CE8" w:rsidR="00644422" w:rsidRPr="00923150" w:rsidRDefault="00644422" w:rsidP="003C2A2C">
            <w:pPr>
              <w:spacing w:before="60" w:after="60"/>
              <w:jc w:val="left"/>
              <w:rPr>
                <w:sz w:val="20"/>
              </w:rPr>
            </w:pPr>
            <w:r w:rsidRPr="003F2CDC">
              <w:t>Close control</w:t>
            </w:r>
          </w:p>
        </w:tc>
      </w:tr>
      <w:tr w:rsidR="00644422" w:rsidRPr="00923150" w14:paraId="27D5B3A5" w14:textId="77777777" w:rsidTr="001D1518">
        <w:trPr>
          <w:trHeight w:val="456"/>
        </w:trPr>
        <w:tc>
          <w:tcPr>
            <w:tcW w:w="851" w:type="dxa"/>
          </w:tcPr>
          <w:p w14:paraId="36045C17" w14:textId="31F26DEA" w:rsidR="00644422" w:rsidRDefault="00644422" w:rsidP="00215A1A">
            <w:pPr>
              <w:spacing w:before="60" w:after="60"/>
              <w:ind w:left="284" w:hanging="250"/>
              <w:jc w:val="center"/>
              <w:rPr>
                <w:sz w:val="20"/>
              </w:rPr>
            </w:pPr>
            <w:r w:rsidRPr="003F2CDC">
              <w:t>13</w:t>
            </w:r>
          </w:p>
        </w:tc>
        <w:tc>
          <w:tcPr>
            <w:tcW w:w="850" w:type="dxa"/>
            <w:vMerge/>
          </w:tcPr>
          <w:p w14:paraId="604DAE4D" w14:textId="072F0924" w:rsidR="00644422" w:rsidRDefault="00644422" w:rsidP="003C2A2C">
            <w:pPr>
              <w:spacing w:before="60" w:after="60"/>
              <w:jc w:val="center"/>
              <w:rPr>
                <w:sz w:val="20"/>
              </w:rPr>
            </w:pPr>
          </w:p>
        </w:tc>
        <w:tc>
          <w:tcPr>
            <w:tcW w:w="1134" w:type="dxa"/>
          </w:tcPr>
          <w:p w14:paraId="1F24B8E9" w14:textId="0FB6459F" w:rsidR="00644422" w:rsidRDefault="00644422" w:rsidP="00644422">
            <w:pPr>
              <w:spacing w:before="60" w:after="60"/>
              <w:jc w:val="center"/>
              <w:rPr>
                <w:sz w:val="20"/>
              </w:rPr>
            </w:pPr>
            <w:r w:rsidRPr="003F2CDC">
              <w:t>AC6</w:t>
            </w:r>
          </w:p>
        </w:tc>
        <w:tc>
          <w:tcPr>
            <w:tcW w:w="2268" w:type="dxa"/>
          </w:tcPr>
          <w:p w14:paraId="5ED67C90" w14:textId="489149E1" w:rsidR="00644422" w:rsidRDefault="00644422" w:rsidP="003C2A2C">
            <w:pPr>
              <w:spacing w:before="60" w:after="60"/>
              <w:jc w:val="left"/>
              <w:rPr>
                <w:sz w:val="20"/>
              </w:rPr>
            </w:pPr>
            <w:r w:rsidRPr="003F2CDC">
              <w:t>Light commercial</w:t>
            </w:r>
          </w:p>
        </w:tc>
        <w:tc>
          <w:tcPr>
            <w:tcW w:w="1418" w:type="dxa"/>
          </w:tcPr>
          <w:p w14:paraId="657589CF" w14:textId="088734E8" w:rsidR="00644422" w:rsidRDefault="00644422" w:rsidP="003C2A2C">
            <w:pPr>
              <w:spacing w:before="60" w:after="60"/>
              <w:jc w:val="center"/>
              <w:rPr>
                <w:sz w:val="20"/>
              </w:rPr>
            </w:pPr>
            <w:r w:rsidRPr="003F2CDC">
              <w:t>AC6-4</w:t>
            </w:r>
          </w:p>
        </w:tc>
        <w:tc>
          <w:tcPr>
            <w:tcW w:w="3118" w:type="dxa"/>
          </w:tcPr>
          <w:p w14:paraId="6934C0CF" w14:textId="46056A25" w:rsidR="00644422" w:rsidRDefault="00644422" w:rsidP="003C2A2C">
            <w:pPr>
              <w:spacing w:before="60" w:after="60"/>
              <w:jc w:val="left"/>
              <w:rPr>
                <w:sz w:val="20"/>
              </w:rPr>
            </w:pPr>
            <w:r w:rsidRPr="003F2CDC">
              <w:t>HW heat pump: commercial</w:t>
            </w:r>
          </w:p>
        </w:tc>
      </w:tr>
      <w:tr w:rsidR="00644422" w:rsidRPr="00923150" w14:paraId="4B611114" w14:textId="77777777" w:rsidTr="001D1518">
        <w:trPr>
          <w:trHeight w:val="456"/>
        </w:trPr>
        <w:tc>
          <w:tcPr>
            <w:tcW w:w="851" w:type="dxa"/>
          </w:tcPr>
          <w:p w14:paraId="4C5990BD" w14:textId="58C5DA51" w:rsidR="00644422" w:rsidRDefault="00644422" w:rsidP="00215A1A">
            <w:pPr>
              <w:spacing w:before="60" w:after="60"/>
              <w:ind w:left="284" w:hanging="250"/>
              <w:jc w:val="center"/>
              <w:rPr>
                <w:sz w:val="20"/>
              </w:rPr>
            </w:pPr>
            <w:r w:rsidRPr="003F2CDC">
              <w:t>14</w:t>
            </w:r>
          </w:p>
        </w:tc>
        <w:tc>
          <w:tcPr>
            <w:tcW w:w="850" w:type="dxa"/>
            <w:vMerge/>
          </w:tcPr>
          <w:p w14:paraId="23128DA9" w14:textId="2A25584C" w:rsidR="00644422" w:rsidRDefault="00644422" w:rsidP="003C2A2C">
            <w:pPr>
              <w:spacing w:before="60" w:after="60"/>
              <w:jc w:val="center"/>
              <w:rPr>
                <w:sz w:val="20"/>
              </w:rPr>
            </w:pPr>
          </w:p>
        </w:tc>
        <w:tc>
          <w:tcPr>
            <w:tcW w:w="1134" w:type="dxa"/>
          </w:tcPr>
          <w:p w14:paraId="19D14E8F" w14:textId="690A4608" w:rsidR="00644422" w:rsidRDefault="00644422" w:rsidP="00644422">
            <w:pPr>
              <w:spacing w:before="60" w:after="60"/>
              <w:jc w:val="center"/>
              <w:rPr>
                <w:sz w:val="20"/>
              </w:rPr>
            </w:pPr>
            <w:r w:rsidRPr="003F2CDC">
              <w:t>AC6</w:t>
            </w:r>
          </w:p>
        </w:tc>
        <w:tc>
          <w:tcPr>
            <w:tcW w:w="2268" w:type="dxa"/>
          </w:tcPr>
          <w:p w14:paraId="0DBF8657" w14:textId="4F90EEA0" w:rsidR="00644422" w:rsidRDefault="00644422" w:rsidP="003C2A2C">
            <w:pPr>
              <w:spacing w:before="60" w:after="60"/>
              <w:jc w:val="left"/>
              <w:rPr>
                <w:sz w:val="20"/>
              </w:rPr>
            </w:pPr>
            <w:r w:rsidRPr="003F2CDC">
              <w:t>Light commercial</w:t>
            </w:r>
          </w:p>
        </w:tc>
        <w:tc>
          <w:tcPr>
            <w:tcW w:w="1418" w:type="dxa"/>
          </w:tcPr>
          <w:p w14:paraId="0791688A" w14:textId="7040BBFE" w:rsidR="00644422" w:rsidRDefault="00644422" w:rsidP="003C2A2C">
            <w:pPr>
              <w:spacing w:before="60" w:after="60"/>
              <w:jc w:val="center"/>
              <w:rPr>
                <w:sz w:val="20"/>
              </w:rPr>
            </w:pPr>
            <w:r w:rsidRPr="003F2CDC">
              <w:t>AC6-5</w:t>
            </w:r>
          </w:p>
        </w:tc>
        <w:tc>
          <w:tcPr>
            <w:tcW w:w="3118" w:type="dxa"/>
          </w:tcPr>
          <w:p w14:paraId="70641AB2" w14:textId="7E79034B" w:rsidR="00644422" w:rsidRDefault="00644422" w:rsidP="003C2A2C">
            <w:pPr>
              <w:spacing w:before="60" w:after="60"/>
              <w:jc w:val="left"/>
              <w:rPr>
                <w:sz w:val="20"/>
              </w:rPr>
            </w:pPr>
            <w:r w:rsidRPr="003F2CDC">
              <w:t>Pool heat pump</w:t>
            </w:r>
          </w:p>
        </w:tc>
      </w:tr>
      <w:tr w:rsidR="00644422" w:rsidRPr="00923150" w14:paraId="063EADED" w14:textId="77777777" w:rsidTr="001D1518">
        <w:trPr>
          <w:trHeight w:val="456"/>
        </w:trPr>
        <w:tc>
          <w:tcPr>
            <w:tcW w:w="851" w:type="dxa"/>
          </w:tcPr>
          <w:p w14:paraId="65D91430" w14:textId="0380568D" w:rsidR="00644422" w:rsidRDefault="00644422" w:rsidP="00215A1A">
            <w:pPr>
              <w:spacing w:before="60" w:after="60"/>
              <w:ind w:left="284" w:hanging="250"/>
              <w:jc w:val="center"/>
              <w:rPr>
                <w:sz w:val="20"/>
              </w:rPr>
            </w:pPr>
            <w:r w:rsidRPr="003F2CDC">
              <w:t>15</w:t>
            </w:r>
          </w:p>
        </w:tc>
        <w:tc>
          <w:tcPr>
            <w:tcW w:w="850" w:type="dxa"/>
            <w:vMerge/>
          </w:tcPr>
          <w:p w14:paraId="53E8732B" w14:textId="72F498DB" w:rsidR="00644422" w:rsidRDefault="00644422" w:rsidP="003C2A2C">
            <w:pPr>
              <w:spacing w:before="60" w:after="60"/>
              <w:jc w:val="center"/>
              <w:rPr>
                <w:sz w:val="20"/>
              </w:rPr>
            </w:pPr>
          </w:p>
        </w:tc>
        <w:tc>
          <w:tcPr>
            <w:tcW w:w="1134" w:type="dxa"/>
          </w:tcPr>
          <w:p w14:paraId="17970A85" w14:textId="7310E990" w:rsidR="00644422" w:rsidRDefault="00644422" w:rsidP="00644422">
            <w:pPr>
              <w:spacing w:before="60" w:after="60"/>
              <w:jc w:val="center"/>
              <w:rPr>
                <w:sz w:val="20"/>
              </w:rPr>
            </w:pPr>
            <w:r w:rsidRPr="003F2CDC">
              <w:t>AC7</w:t>
            </w:r>
          </w:p>
        </w:tc>
        <w:tc>
          <w:tcPr>
            <w:tcW w:w="2268" w:type="dxa"/>
          </w:tcPr>
          <w:p w14:paraId="187B5840" w14:textId="6ADD23DC" w:rsidR="00644422" w:rsidRDefault="00644422" w:rsidP="003C2A2C">
            <w:pPr>
              <w:spacing w:before="60" w:after="60"/>
              <w:jc w:val="left"/>
              <w:rPr>
                <w:sz w:val="20"/>
              </w:rPr>
            </w:pPr>
            <w:r w:rsidRPr="003F2CDC">
              <w:t>HW Heatpumps</w:t>
            </w:r>
          </w:p>
        </w:tc>
        <w:tc>
          <w:tcPr>
            <w:tcW w:w="1418" w:type="dxa"/>
          </w:tcPr>
          <w:p w14:paraId="4EF5511D" w14:textId="40B59426" w:rsidR="00644422" w:rsidRDefault="00644422" w:rsidP="003C2A2C">
            <w:pPr>
              <w:spacing w:before="60" w:after="60"/>
              <w:jc w:val="center"/>
              <w:rPr>
                <w:sz w:val="20"/>
              </w:rPr>
            </w:pPr>
            <w:r w:rsidRPr="003F2CDC">
              <w:t>AC7</w:t>
            </w:r>
          </w:p>
        </w:tc>
        <w:tc>
          <w:tcPr>
            <w:tcW w:w="3118" w:type="dxa"/>
          </w:tcPr>
          <w:p w14:paraId="3435926A" w14:textId="11015EEF" w:rsidR="00644422" w:rsidRDefault="00644422" w:rsidP="003C2A2C">
            <w:pPr>
              <w:spacing w:before="60" w:after="60"/>
              <w:jc w:val="left"/>
              <w:rPr>
                <w:sz w:val="20"/>
              </w:rPr>
            </w:pPr>
            <w:r w:rsidRPr="003F2CDC">
              <w:t>HW heat pump: domestic</w:t>
            </w:r>
          </w:p>
        </w:tc>
      </w:tr>
      <w:tr w:rsidR="00644422" w:rsidRPr="00923150" w14:paraId="6A5F6C83" w14:textId="77777777" w:rsidTr="001D1518">
        <w:trPr>
          <w:trHeight w:val="456"/>
        </w:trPr>
        <w:tc>
          <w:tcPr>
            <w:tcW w:w="9639" w:type="dxa"/>
            <w:gridSpan w:val="6"/>
            <w:tcBorders>
              <w:top w:val="single" w:sz="4" w:space="0" w:color="000000"/>
            </w:tcBorders>
            <w:shd w:val="clear" w:color="auto" w:fill="CCFFFF"/>
            <w:vAlign w:val="center"/>
          </w:tcPr>
          <w:p w14:paraId="7CD3F4B3" w14:textId="06EE93AA" w:rsidR="00644422" w:rsidRPr="00923150" w:rsidRDefault="00644422" w:rsidP="00215A1A">
            <w:pPr>
              <w:spacing w:before="60" w:after="60"/>
              <w:ind w:hanging="250"/>
              <w:jc w:val="center"/>
              <w:rPr>
                <w:sz w:val="20"/>
              </w:rPr>
            </w:pPr>
            <w:r>
              <w:rPr>
                <w:sz w:val="20"/>
              </w:rPr>
              <w:t>MOBILE AIR CONDITIONING</w:t>
            </w:r>
          </w:p>
        </w:tc>
      </w:tr>
      <w:tr w:rsidR="00644422" w:rsidRPr="00923150" w14:paraId="021C1EAB" w14:textId="77777777" w:rsidTr="001D1518">
        <w:trPr>
          <w:trHeight w:val="456"/>
        </w:trPr>
        <w:tc>
          <w:tcPr>
            <w:tcW w:w="851" w:type="dxa"/>
          </w:tcPr>
          <w:p w14:paraId="2DA3002A" w14:textId="50937F4A" w:rsidR="00644422" w:rsidRDefault="00644422" w:rsidP="00215A1A">
            <w:pPr>
              <w:spacing w:before="60" w:after="60"/>
              <w:ind w:left="284" w:hanging="250"/>
              <w:jc w:val="center"/>
              <w:rPr>
                <w:sz w:val="20"/>
              </w:rPr>
            </w:pPr>
            <w:r w:rsidRPr="00A035BA">
              <w:t>16</w:t>
            </w:r>
          </w:p>
        </w:tc>
        <w:tc>
          <w:tcPr>
            <w:tcW w:w="850" w:type="dxa"/>
            <w:vMerge w:val="restart"/>
            <w:textDirection w:val="btLr"/>
            <w:vAlign w:val="center"/>
          </w:tcPr>
          <w:p w14:paraId="614A2565" w14:textId="464F9A47" w:rsidR="00644422" w:rsidRDefault="00644422" w:rsidP="004A109D">
            <w:pPr>
              <w:spacing w:before="60" w:after="60"/>
              <w:ind w:left="113" w:right="113"/>
              <w:jc w:val="center"/>
              <w:rPr>
                <w:sz w:val="20"/>
              </w:rPr>
            </w:pPr>
            <w:r w:rsidRPr="00A035BA">
              <w:t>Mobile air conditioning</w:t>
            </w:r>
            <w:r>
              <w:t xml:space="preserve"> (MAC)</w:t>
            </w:r>
          </w:p>
        </w:tc>
        <w:tc>
          <w:tcPr>
            <w:tcW w:w="1134" w:type="dxa"/>
          </w:tcPr>
          <w:p w14:paraId="7489813C" w14:textId="08651C7C" w:rsidR="00644422" w:rsidRDefault="00644422" w:rsidP="003C2A2C">
            <w:pPr>
              <w:spacing w:before="60" w:after="60"/>
              <w:jc w:val="center"/>
              <w:rPr>
                <w:sz w:val="20"/>
              </w:rPr>
            </w:pPr>
            <w:r w:rsidRPr="00A035BA">
              <w:t>MAC1</w:t>
            </w:r>
          </w:p>
        </w:tc>
        <w:tc>
          <w:tcPr>
            <w:tcW w:w="2268" w:type="dxa"/>
          </w:tcPr>
          <w:p w14:paraId="5A2FCA10" w14:textId="2A027606" w:rsidR="00644422" w:rsidRDefault="00644422" w:rsidP="003C2A2C">
            <w:pPr>
              <w:spacing w:before="60" w:after="60"/>
              <w:jc w:val="left"/>
              <w:rPr>
                <w:sz w:val="20"/>
              </w:rPr>
            </w:pPr>
            <w:r w:rsidRPr="00A035BA">
              <w:t>Registered vehicles &lt;3.5 GMV</w:t>
            </w:r>
          </w:p>
        </w:tc>
        <w:tc>
          <w:tcPr>
            <w:tcW w:w="1418" w:type="dxa"/>
          </w:tcPr>
          <w:p w14:paraId="7667BDF9" w14:textId="3B7687C4" w:rsidR="00644422" w:rsidRDefault="00644422" w:rsidP="003C2A2C">
            <w:pPr>
              <w:spacing w:before="60" w:after="60"/>
              <w:jc w:val="center"/>
              <w:rPr>
                <w:sz w:val="20"/>
              </w:rPr>
            </w:pPr>
            <w:r w:rsidRPr="00A035BA">
              <w:t>MAC1-1</w:t>
            </w:r>
          </w:p>
        </w:tc>
        <w:tc>
          <w:tcPr>
            <w:tcW w:w="3118" w:type="dxa"/>
          </w:tcPr>
          <w:p w14:paraId="04EFE475" w14:textId="4D433DE6" w:rsidR="00644422" w:rsidRDefault="00644422" w:rsidP="003C2A2C">
            <w:pPr>
              <w:spacing w:before="60" w:after="60"/>
              <w:jc w:val="left"/>
              <w:rPr>
                <w:sz w:val="20"/>
              </w:rPr>
            </w:pPr>
            <w:r w:rsidRPr="00A035BA">
              <w:t>Passenger vehicles</w:t>
            </w:r>
          </w:p>
        </w:tc>
      </w:tr>
      <w:tr w:rsidR="00644422" w:rsidRPr="00923150" w14:paraId="413047CD" w14:textId="77777777" w:rsidTr="001D1518">
        <w:trPr>
          <w:trHeight w:val="456"/>
        </w:trPr>
        <w:tc>
          <w:tcPr>
            <w:tcW w:w="851" w:type="dxa"/>
          </w:tcPr>
          <w:p w14:paraId="167A5A60" w14:textId="27AA7646" w:rsidR="00644422" w:rsidRDefault="00644422" w:rsidP="00215A1A">
            <w:pPr>
              <w:spacing w:before="60" w:after="60"/>
              <w:ind w:left="284" w:hanging="250"/>
              <w:jc w:val="center"/>
              <w:rPr>
                <w:sz w:val="20"/>
              </w:rPr>
            </w:pPr>
            <w:r w:rsidRPr="00A035BA">
              <w:t>17</w:t>
            </w:r>
          </w:p>
        </w:tc>
        <w:tc>
          <w:tcPr>
            <w:tcW w:w="850" w:type="dxa"/>
            <w:vMerge/>
          </w:tcPr>
          <w:p w14:paraId="6EE9D72F" w14:textId="6D92A719" w:rsidR="00644422" w:rsidRDefault="00644422" w:rsidP="003C2A2C">
            <w:pPr>
              <w:spacing w:before="60" w:after="60"/>
              <w:jc w:val="center"/>
              <w:rPr>
                <w:sz w:val="20"/>
              </w:rPr>
            </w:pPr>
          </w:p>
        </w:tc>
        <w:tc>
          <w:tcPr>
            <w:tcW w:w="1134" w:type="dxa"/>
          </w:tcPr>
          <w:p w14:paraId="1BF11CC3" w14:textId="7F203E3C" w:rsidR="00644422" w:rsidRDefault="00644422" w:rsidP="003C2A2C">
            <w:pPr>
              <w:spacing w:before="60" w:after="60"/>
              <w:jc w:val="center"/>
              <w:rPr>
                <w:sz w:val="20"/>
              </w:rPr>
            </w:pPr>
            <w:r w:rsidRPr="00A035BA">
              <w:t>MAC1</w:t>
            </w:r>
          </w:p>
        </w:tc>
        <w:tc>
          <w:tcPr>
            <w:tcW w:w="2268" w:type="dxa"/>
          </w:tcPr>
          <w:p w14:paraId="0BE933E5" w14:textId="16E5D98A" w:rsidR="00644422" w:rsidRDefault="00644422" w:rsidP="003C2A2C">
            <w:pPr>
              <w:spacing w:before="60" w:after="60"/>
              <w:jc w:val="left"/>
              <w:rPr>
                <w:sz w:val="20"/>
              </w:rPr>
            </w:pPr>
            <w:r w:rsidRPr="00A035BA">
              <w:t>Registered vehicles &lt;3.5 GMV</w:t>
            </w:r>
          </w:p>
        </w:tc>
        <w:tc>
          <w:tcPr>
            <w:tcW w:w="1418" w:type="dxa"/>
          </w:tcPr>
          <w:p w14:paraId="0C787D82" w14:textId="0FC1F087" w:rsidR="00644422" w:rsidRDefault="00644422" w:rsidP="003C2A2C">
            <w:pPr>
              <w:spacing w:before="60" w:after="60"/>
              <w:jc w:val="center"/>
              <w:rPr>
                <w:sz w:val="20"/>
              </w:rPr>
            </w:pPr>
            <w:r w:rsidRPr="00A035BA">
              <w:t>MAC1-2</w:t>
            </w:r>
          </w:p>
        </w:tc>
        <w:tc>
          <w:tcPr>
            <w:tcW w:w="3118" w:type="dxa"/>
          </w:tcPr>
          <w:p w14:paraId="0573A93D" w14:textId="1E352D82" w:rsidR="00644422" w:rsidRDefault="00644422" w:rsidP="003C2A2C">
            <w:pPr>
              <w:spacing w:before="60" w:after="60"/>
              <w:jc w:val="left"/>
              <w:rPr>
                <w:sz w:val="20"/>
              </w:rPr>
            </w:pPr>
            <w:r w:rsidRPr="00A035BA">
              <w:t>Light commercial vehicles</w:t>
            </w:r>
          </w:p>
        </w:tc>
      </w:tr>
      <w:tr w:rsidR="00644422" w:rsidRPr="00923150" w14:paraId="3F7CC80F" w14:textId="77777777" w:rsidTr="001D1518">
        <w:trPr>
          <w:trHeight w:val="456"/>
        </w:trPr>
        <w:tc>
          <w:tcPr>
            <w:tcW w:w="851" w:type="dxa"/>
          </w:tcPr>
          <w:p w14:paraId="743F579D" w14:textId="791F8C1F" w:rsidR="00644422" w:rsidRDefault="00644422" w:rsidP="00215A1A">
            <w:pPr>
              <w:spacing w:before="60" w:after="60"/>
              <w:ind w:left="284" w:hanging="250"/>
              <w:jc w:val="center"/>
              <w:rPr>
                <w:sz w:val="20"/>
              </w:rPr>
            </w:pPr>
            <w:r w:rsidRPr="00A035BA">
              <w:t>18</w:t>
            </w:r>
          </w:p>
        </w:tc>
        <w:tc>
          <w:tcPr>
            <w:tcW w:w="850" w:type="dxa"/>
            <w:vMerge/>
          </w:tcPr>
          <w:p w14:paraId="3D112190" w14:textId="1A3853CE" w:rsidR="00644422" w:rsidRDefault="00644422" w:rsidP="003C2A2C">
            <w:pPr>
              <w:spacing w:before="60" w:after="60"/>
              <w:jc w:val="center"/>
              <w:rPr>
                <w:sz w:val="20"/>
              </w:rPr>
            </w:pPr>
          </w:p>
        </w:tc>
        <w:tc>
          <w:tcPr>
            <w:tcW w:w="1134" w:type="dxa"/>
          </w:tcPr>
          <w:p w14:paraId="55417125" w14:textId="61C4DDF3" w:rsidR="00644422" w:rsidRDefault="00644422" w:rsidP="003C2A2C">
            <w:pPr>
              <w:spacing w:before="60" w:after="60"/>
              <w:jc w:val="center"/>
              <w:rPr>
                <w:sz w:val="20"/>
              </w:rPr>
            </w:pPr>
            <w:r w:rsidRPr="00A035BA">
              <w:t>MAC2</w:t>
            </w:r>
          </w:p>
        </w:tc>
        <w:tc>
          <w:tcPr>
            <w:tcW w:w="2268" w:type="dxa"/>
          </w:tcPr>
          <w:p w14:paraId="4A9E7E7E" w14:textId="58839150" w:rsidR="00644422" w:rsidRDefault="00644422" w:rsidP="003C2A2C">
            <w:pPr>
              <w:spacing w:before="60" w:after="60"/>
              <w:jc w:val="left"/>
              <w:rPr>
                <w:sz w:val="20"/>
              </w:rPr>
            </w:pPr>
            <w:r w:rsidRPr="00A035BA">
              <w:t>Registered vehicles ≥3.5 GMV</w:t>
            </w:r>
          </w:p>
        </w:tc>
        <w:tc>
          <w:tcPr>
            <w:tcW w:w="1418" w:type="dxa"/>
          </w:tcPr>
          <w:p w14:paraId="3D6790C0" w14:textId="4A6A8254" w:rsidR="00644422" w:rsidRDefault="00644422" w:rsidP="003C2A2C">
            <w:pPr>
              <w:spacing w:before="60" w:after="60"/>
              <w:jc w:val="center"/>
              <w:rPr>
                <w:sz w:val="20"/>
              </w:rPr>
            </w:pPr>
            <w:r w:rsidRPr="00A035BA">
              <w:t>MAC2-1</w:t>
            </w:r>
          </w:p>
        </w:tc>
        <w:tc>
          <w:tcPr>
            <w:tcW w:w="3118" w:type="dxa"/>
          </w:tcPr>
          <w:p w14:paraId="4928DB95" w14:textId="7316A94E" w:rsidR="00644422" w:rsidRDefault="00644422" w:rsidP="003C2A2C">
            <w:pPr>
              <w:spacing w:before="60" w:after="60"/>
              <w:jc w:val="left"/>
              <w:rPr>
                <w:sz w:val="20"/>
              </w:rPr>
            </w:pPr>
            <w:r w:rsidRPr="00A035BA">
              <w:t>Rigid truck and other</w:t>
            </w:r>
          </w:p>
        </w:tc>
      </w:tr>
      <w:tr w:rsidR="00644422" w:rsidRPr="00923150" w14:paraId="268C2E60" w14:textId="77777777" w:rsidTr="001D1518">
        <w:trPr>
          <w:trHeight w:val="456"/>
        </w:trPr>
        <w:tc>
          <w:tcPr>
            <w:tcW w:w="851" w:type="dxa"/>
          </w:tcPr>
          <w:p w14:paraId="3113B4A0" w14:textId="4769F88A" w:rsidR="00644422" w:rsidRDefault="00644422" w:rsidP="00215A1A">
            <w:pPr>
              <w:spacing w:before="60" w:after="60"/>
              <w:ind w:left="284" w:hanging="250"/>
              <w:jc w:val="center"/>
              <w:rPr>
                <w:sz w:val="20"/>
              </w:rPr>
            </w:pPr>
            <w:r w:rsidRPr="00A035BA">
              <w:t>19</w:t>
            </w:r>
          </w:p>
        </w:tc>
        <w:tc>
          <w:tcPr>
            <w:tcW w:w="850" w:type="dxa"/>
            <w:vMerge/>
          </w:tcPr>
          <w:p w14:paraId="5C053B69" w14:textId="28E392F8" w:rsidR="00644422" w:rsidRDefault="00644422" w:rsidP="003C2A2C">
            <w:pPr>
              <w:spacing w:before="60" w:after="60"/>
              <w:jc w:val="center"/>
              <w:rPr>
                <w:sz w:val="20"/>
              </w:rPr>
            </w:pPr>
          </w:p>
        </w:tc>
        <w:tc>
          <w:tcPr>
            <w:tcW w:w="1134" w:type="dxa"/>
          </w:tcPr>
          <w:p w14:paraId="4FC50A74" w14:textId="59FB353D" w:rsidR="00644422" w:rsidRDefault="00644422" w:rsidP="003C2A2C">
            <w:pPr>
              <w:spacing w:before="60" w:after="60"/>
              <w:jc w:val="center"/>
              <w:rPr>
                <w:sz w:val="20"/>
              </w:rPr>
            </w:pPr>
            <w:r w:rsidRPr="00A035BA">
              <w:t>MAC2</w:t>
            </w:r>
          </w:p>
        </w:tc>
        <w:tc>
          <w:tcPr>
            <w:tcW w:w="2268" w:type="dxa"/>
          </w:tcPr>
          <w:p w14:paraId="552EDFC7" w14:textId="61C49F00" w:rsidR="00644422" w:rsidRDefault="00644422" w:rsidP="003C2A2C">
            <w:pPr>
              <w:spacing w:before="60" w:after="60"/>
              <w:jc w:val="left"/>
              <w:rPr>
                <w:sz w:val="20"/>
              </w:rPr>
            </w:pPr>
            <w:r w:rsidRPr="00A035BA">
              <w:t>Registered vehicles ≥3.5 GMV</w:t>
            </w:r>
          </w:p>
        </w:tc>
        <w:tc>
          <w:tcPr>
            <w:tcW w:w="1418" w:type="dxa"/>
          </w:tcPr>
          <w:p w14:paraId="024BB4C1" w14:textId="1D9818F9" w:rsidR="00644422" w:rsidRDefault="00644422" w:rsidP="003C2A2C">
            <w:pPr>
              <w:spacing w:before="60" w:after="60"/>
              <w:jc w:val="center"/>
              <w:rPr>
                <w:sz w:val="20"/>
              </w:rPr>
            </w:pPr>
            <w:r w:rsidRPr="00A035BA">
              <w:t>MAC2-2</w:t>
            </w:r>
          </w:p>
        </w:tc>
        <w:tc>
          <w:tcPr>
            <w:tcW w:w="3118" w:type="dxa"/>
          </w:tcPr>
          <w:p w14:paraId="2D621353" w14:textId="6F02C705" w:rsidR="00644422" w:rsidRDefault="00644422" w:rsidP="003C2A2C">
            <w:pPr>
              <w:spacing w:before="60" w:after="60"/>
              <w:jc w:val="left"/>
              <w:rPr>
                <w:sz w:val="20"/>
              </w:rPr>
            </w:pPr>
            <w:r w:rsidRPr="00A035BA">
              <w:t>Truck: articulated</w:t>
            </w:r>
          </w:p>
        </w:tc>
      </w:tr>
      <w:tr w:rsidR="00644422" w:rsidRPr="00923150" w14:paraId="50F01697" w14:textId="77777777" w:rsidTr="001D1518">
        <w:trPr>
          <w:trHeight w:val="456"/>
        </w:trPr>
        <w:tc>
          <w:tcPr>
            <w:tcW w:w="851" w:type="dxa"/>
          </w:tcPr>
          <w:p w14:paraId="6ADBCD79" w14:textId="5899FE5B" w:rsidR="00644422" w:rsidRDefault="00644422" w:rsidP="00215A1A">
            <w:pPr>
              <w:spacing w:before="60" w:after="60"/>
              <w:ind w:left="284" w:hanging="250"/>
              <w:jc w:val="center"/>
              <w:rPr>
                <w:sz w:val="20"/>
              </w:rPr>
            </w:pPr>
            <w:r w:rsidRPr="00A035BA">
              <w:t>20</w:t>
            </w:r>
          </w:p>
        </w:tc>
        <w:tc>
          <w:tcPr>
            <w:tcW w:w="850" w:type="dxa"/>
            <w:vMerge/>
          </w:tcPr>
          <w:p w14:paraId="0D66886E" w14:textId="714D0DAF" w:rsidR="00644422" w:rsidRDefault="00644422" w:rsidP="003C2A2C">
            <w:pPr>
              <w:spacing w:before="60" w:after="60"/>
              <w:jc w:val="center"/>
              <w:rPr>
                <w:sz w:val="20"/>
              </w:rPr>
            </w:pPr>
          </w:p>
        </w:tc>
        <w:tc>
          <w:tcPr>
            <w:tcW w:w="1134" w:type="dxa"/>
          </w:tcPr>
          <w:p w14:paraId="318CA5F9" w14:textId="033DAB7F" w:rsidR="00644422" w:rsidRDefault="00644422" w:rsidP="003C2A2C">
            <w:pPr>
              <w:spacing w:before="60" w:after="60"/>
              <w:jc w:val="center"/>
              <w:rPr>
                <w:sz w:val="20"/>
              </w:rPr>
            </w:pPr>
            <w:r w:rsidRPr="00A035BA">
              <w:t>MAC2</w:t>
            </w:r>
          </w:p>
        </w:tc>
        <w:tc>
          <w:tcPr>
            <w:tcW w:w="2268" w:type="dxa"/>
          </w:tcPr>
          <w:p w14:paraId="7BC81C44" w14:textId="555390F9" w:rsidR="00644422" w:rsidRDefault="00644422" w:rsidP="003C2A2C">
            <w:pPr>
              <w:spacing w:before="60" w:after="60"/>
              <w:jc w:val="left"/>
              <w:rPr>
                <w:sz w:val="20"/>
              </w:rPr>
            </w:pPr>
            <w:r w:rsidRPr="00A035BA">
              <w:t>Registered vehicles ≥3.5 GMV</w:t>
            </w:r>
          </w:p>
        </w:tc>
        <w:tc>
          <w:tcPr>
            <w:tcW w:w="1418" w:type="dxa"/>
          </w:tcPr>
          <w:p w14:paraId="46F1629A" w14:textId="08355830" w:rsidR="00644422" w:rsidRDefault="00644422" w:rsidP="003C2A2C">
            <w:pPr>
              <w:spacing w:before="60" w:after="60"/>
              <w:jc w:val="center"/>
              <w:rPr>
                <w:sz w:val="20"/>
              </w:rPr>
            </w:pPr>
            <w:r w:rsidRPr="00A035BA">
              <w:t>MAC2-3</w:t>
            </w:r>
          </w:p>
        </w:tc>
        <w:tc>
          <w:tcPr>
            <w:tcW w:w="3118" w:type="dxa"/>
          </w:tcPr>
          <w:p w14:paraId="35607833" w14:textId="0184D786" w:rsidR="00644422" w:rsidRDefault="00644422" w:rsidP="003C2A2C">
            <w:pPr>
              <w:spacing w:before="60" w:after="60"/>
              <w:jc w:val="left"/>
              <w:rPr>
                <w:sz w:val="20"/>
              </w:rPr>
            </w:pPr>
            <w:r w:rsidRPr="00A035BA">
              <w:t>Commuter buses</w:t>
            </w:r>
          </w:p>
        </w:tc>
      </w:tr>
      <w:tr w:rsidR="00644422" w:rsidRPr="00923150" w14:paraId="54F3FE13" w14:textId="77777777" w:rsidTr="001D1518">
        <w:trPr>
          <w:trHeight w:val="456"/>
        </w:trPr>
        <w:tc>
          <w:tcPr>
            <w:tcW w:w="851" w:type="dxa"/>
          </w:tcPr>
          <w:p w14:paraId="3D5B6C6B" w14:textId="604CD7FD" w:rsidR="00644422" w:rsidRDefault="00644422" w:rsidP="00215A1A">
            <w:pPr>
              <w:spacing w:before="60" w:after="60"/>
              <w:ind w:left="284" w:hanging="250"/>
              <w:jc w:val="center"/>
              <w:rPr>
                <w:sz w:val="20"/>
              </w:rPr>
            </w:pPr>
            <w:r w:rsidRPr="00A035BA">
              <w:t>21</w:t>
            </w:r>
          </w:p>
        </w:tc>
        <w:tc>
          <w:tcPr>
            <w:tcW w:w="850" w:type="dxa"/>
            <w:vMerge/>
          </w:tcPr>
          <w:p w14:paraId="775B2B4C" w14:textId="4CEEBC2B" w:rsidR="00644422" w:rsidRDefault="00644422" w:rsidP="003C2A2C">
            <w:pPr>
              <w:spacing w:before="60" w:after="60"/>
              <w:jc w:val="center"/>
              <w:rPr>
                <w:sz w:val="20"/>
              </w:rPr>
            </w:pPr>
          </w:p>
        </w:tc>
        <w:tc>
          <w:tcPr>
            <w:tcW w:w="1134" w:type="dxa"/>
          </w:tcPr>
          <w:p w14:paraId="7F98E80F" w14:textId="41461390" w:rsidR="00644422" w:rsidRDefault="00644422" w:rsidP="003C2A2C">
            <w:pPr>
              <w:spacing w:before="60" w:after="60"/>
              <w:jc w:val="center"/>
              <w:rPr>
                <w:sz w:val="20"/>
              </w:rPr>
            </w:pPr>
            <w:r w:rsidRPr="00A035BA">
              <w:t>MAC2</w:t>
            </w:r>
          </w:p>
        </w:tc>
        <w:tc>
          <w:tcPr>
            <w:tcW w:w="2268" w:type="dxa"/>
          </w:tcPr>
          <w:p w14:paraId="280B858E" w14:textId="3DF433D2" w:rsidR="00644422" w:rsidRDefault="00644422" w:rsidP="003C2A2C">
            <w:pPr>
              <w:spacing w:before="60" w:after="60"/>
              <w:jc w:val="left"/>
              <w:rPr>
                <w:sz w:val="20"/>
              </w:rPr>
            </w:pPr>
            <w:r w:rsidRPr="00A035BA">
              <w:t>Registered vehicles ≥3.5 GMV</w:t>
            </w:r>
          </w:p>
        </w:tc>
        <w:tc>
          <w:tcPr>
            <w:tcW w:w="1418" w:type="dxa"/>
          </w:tcPr>
          <w:p w14:paraId="5D0F6709" w14:textId="4BE908E4" w:rsidR="00644422" w:rsidRDefault="00644422" w:rsidP="003C2A2C">
            <w:pPr>
              <w:spacing w:before="60" w:after="60"/>
              <w:jc w:val="center"/>
              <w:rPr>
                <w:sz w:val="20"/>
              </w:rPr>
            </w:pPr>
            <w:r w:rsidRPr="00A035BA">
              <w:t>MAC2-4</w:t>
            </w:r>
          </w:p>
        </w:tc>
        <w:tc>
          <w:tcPr>
            <w:tcW w:w="3118" w:type="dxa"/>
          </w:tcPr>
          <w:p w14:paraId="32F0A4EE" w14:textId="4606E7DF" w:rsidR="00644422" w:rsidRDefault="00644422" w:rsidP="003C2A2C">
            <w:pPr>
              <w:spacing w:before="60" w:after="60"/>
              <w:jc w:val="left"/>
              <w:rPr>
                <w:sz w:val="20"/>
              </w:rPr>
            </w:pPr>
            <w:r w:rsidRPr="00A035BA">
              <w:t>Buses (&gt; 7m)</w:t>
            </w:r>
          </w:p>
        </w:tc>
      </w:tr>
      <w:tr w:rsidR="00644422" w:rsidRPr="00923150" w14:paraId="018783A4" w14:textId="77777777" w:rsidTr="001D1518">
        <w:trPr>
          <w:trHeight w:val="456"/>
        </w:trPr>
        <w:tc>
          <w:tcPr>
            <w:tcW w:w="851" w:type="dxa"/>
          </w:tcPr>
          <w:p w14:paraId="2F6700E9" w14:textId="11FA3613" w:rsidR="00644422" w:rsidRDefault="00644422" w:rsidP="00215A1A">
            <w:pPr>
              <w:spacing w:before="60" w:after="60"/>
              <w:ind w:left="284" w:hanging="284"/>
              <w:jc w:val="center"/>
              <w:rPr>
                <w:sz w:val="20"/>
              </w:rPr>
            </w:pPr>
            <w:r w:rsidRPr="00A035BA">
              <w:t>22</w:t>
            </w:r>
          </w:p>
        </w:tc>
        <w:tc>
          <w:tcPr>
            <w:tcW w:w="850" w:type="dxa"/>
            <w:vMerge/>
          </w:tcPr>
          <w:p w14:paraId="1D9AB49A" w14:textId="78ABE5C4" w:rsidR="00644422" w:rsidRDefault="00644422" w:rsidP="003C2A2C">
            <w:pPr>
              <w:spacing w:before="60" w:after="60"/>
              <w:jc w:val="center"/>
              <w:rPr>
                <w:sz w:val="20"/>
              </w:rPr>
            </w:pPr>
          </w:p>
        </w:tc>
        <w:tc>
          <w:tcPr>
            <w:tcW w:w="1134" w:type="dxa"/>
          </w:tcPr>
          <w:p w14:paraId="530F3623" w14:textId="5FDE7BB0" w:rsidR="00644422" w:rsidRDefault="00644422" w:rsidP="003C2A2C">
            <w:pPr>
              <w:spacing w:before="60" w:after="60"/>
              <w:jc w:val="center"/>
              <w:rPr>
                <w:sz w:val="20"/>
              </w:rPr>
            </w:pPr>
            <w:r w:rsidRPr="00A035BA">
              <w:t>MAC3</w:t>
            </w:r>
          </w:p>
        </w:tc>
        <w:tc>
          <w:tcPr>
            <w:tcW w:w="2268" w:type="dxa"/>
          </w:tcPr>
          <w:p w14:paraId="099CAD6B" w14:textId="753BE94C" w:rsidR="00644422" w:rsidRDefault="00644422" w:rsidP="003C2A2C">
            <w:pPr>
              <w:spacing w:before="60" w:after="60"/>
              <w:jc w:val="left"/>
              <w:rPr>
                <w:sz w:val="20"/>
              </w:rPr>
            </w:pPr>
            <w:r w:rsidRPr="00A035BA">
              <w:t>Rail</w:t>
            </w:r>
          </w:p>
        </w:tc>
        <w:tc>
          <w:tcPr>
            <w:tcW w:w="1418" w:type="dxa"/>
          </w:tcPr>
          <w:p w14:paraId="5AB58709" w14:textId="16720B10" w:rsidR="00644422" w:rsidRDefault="00644422" w:rsidP="003C2A2C">
            <w:pPr>
              <w:spacing w:before="60" w:after="60"/>
              <w:jc w:val="center"/>
              <w:rPr>
                <w:sz w:val="20"/>
              </w:rPr>
            </w:pPr>
            <w:r w:rsidRPr="00A035BA">
              <w:t>MAC3-1</w:t>
            </w:r>
          </w:p>
        </w:tc>
        <w:tc>
          <w:tcPr>
            <w:tcW w:w="3118" w:type="dxa"/>
          </w:tcPr>
          <w:p w14:paraId="010A41B6" w14:textId="301F216E" w:rsidR="00644422" w:rsidRDefault="00644422" w:rsidP="003C2A2C">
            <w:pPr>
              <w:spacing w:before="60" w:after="60"/>
              <w:jc w:val="left"/>
              <w:rPr>
                <w:sz w:val="20"/>
              </w:rPr>
            </w:pPr>
            <w:r w:rsidRPr="00A035BA">
              <w:t xml:space="preserve">Passenger rail </w:t>
            </w:r>
          </w:p>
        </w:tc>
      </w:tr>
      <w:tr w:rsidR="00644422" w:rsidRPr="00923150" w14:paraId="40C9CDF2" w14:textId="77777777" w:rsidTr="001D1518">
        <w:trPr>
          <w:trHeight w:val="456"/>
        </w:trPr>
        <w:tc>
          <w:tcPr>
            <w:tcW w:w="851" w:type="dxa"/>
          </w:tcPr>
          <w:p w14:paraId="46D1D79C" w14:textId="355250C7" w:rsidR="00644422" w:rsidRDefault="00644422" w:rsidP="00215A1A">
            <w:pPr>
              <w:spacing w:before="60" w:after="60"/>
              <w:ind w:left="284" w:hanging="250"/>
              <w:jc w:val="center"/>
              <w:rPr>
                <w:sz w:val="20"/>
              </w:rPr>
            </w:pPr>
            <w:r w:rsidRPr="00A035BA">
              <w:lastRenderedPageBreak/>
              <w:t>23</w:t>
            </w:r>
          </w:p>
        </w:tc>
        <w:tc>
          <w:tcPr>
            <w:tcW w:w="850" w:type="dxa"/>
            <w:vMerge/>
          </w:tcPr>
          <w:p w14:paraId="7B496760" w14:textId="2AEB16F8" w:rsidR="00644422" w:rsidRDefault="00644422" w:rsidP="003C2A2C">
            <w:pPr>
              <w:spacing w:before="60" w:after="60"/>
              <w:jc w:val="center"/>
              <w:rPr>
                <w:sz w:val="20"/>
              </w:rPr>
            </w:pPr>
          </w:p>
        </w:tc>
        <w:tc>
          <w:tcPr>
            <w:tcW w:w="1134" w:type="dxa"/>
          </w:tcPr>
          <w:p w14:paraId="4A0FCE74" w14:textId="22270B5B" w:rsidR="00644422" w:rsidRDefault="00644422" w:rsidP="003C2A2C">
            <w:pPr>
              <w:spacing w:before="60" w:after="60"/>
              <w:jc w:val="center"/>
              <w:rPr>
                <w:sz w:val="20"/>
              </w:rPr>
            </w:pPr>
            <w:r w:rsidRPr="00A035BA">
              <w:t>MAC3</w:t>
            </w:r>
          </w:p>
        </w:tc>
        <w:tc>
          <w:tcPr>
            <w:tcW w:w="2268" w:type="dxa"/>
          </w:tcPr>
          <w:p w14:paraId="5B70064A" w14:textId="35A1D5EA" w:rsidR="00644422" w:rsidRDefault="00644422" w:rsidP="003C2A2C">
            <w:pPr>
              <w:spacing w:before="60" w:after="60"/>
              <w:jc w:val="left"/>
              <w:rPr>
                <w:sz w:val="20"/>
              </w:rPr>
            </w:pPr>
            <w:r w:rsidRPr="00A035BA">
              <w:t>Rail</w:t>
            </w:r>
          </w:p>
        </w:tc>
        <w:tc>
          <w:tcPr>
            <w:tcW w:w="1418" w:type="dxa"/>
          </w:tcPr>
          <w:p w14:paraId="73AE3007" w14:textId="60EE1A50" w:rsidR="00644422" w:rsidRDefault="00644422" w:rsidP="003C2A2C">
            <w:pPr>
              <w:spacing w:before="60" w:after="60"/>
              <w:jc w:val="center"/>
              <w:rPr>
                <w:sz w:val="20"/>
              </w:rPr>
            </w:pPr>
            <w:r w:rsidRPr="00A035BA">
              <w:t>MAC3-2</w:t>
            </w:r>
          </w:p>
        </w:tc>
        <w:tc>
          <w:tcPr>
            <w:tcW w:w="3118" w:type="dxa"/>
          </w:tcPr>
          <w:p w14:paraId="7C757300" w14:textId="29746A19" w:rsidR="00644422" w:rsidRDefault="00644422" w:rsidP="003C2A2C">
            <w:pPr>
              <w:spacing w:before="60" w:after="60"/>
              <w:jc w:val="left"/>
              <w:rPr>
                <w:sz w:val="20"/>
              </w:rPr>
            </w:pPr>
            <w:r w:rsidRPr="00A035BA">
              <w:t>Locomotive</w:t>
            </w:r>
          </w:p>
        </w:tc>
      </w:tr>
      <w:tr w:rsidR="00644422" w:rsidRPr="00923150" w14:paraId="181DCF8F" w14:textId="77777777" w:rsidTr="001D1518">
        <w:trPr>
          <w:trHeight w:val="456"/>
        </w:trPr>
        <w:tc>
          <w:tcPr>
            <w:tcW w:w="851" w:type="dxa"/>
          </w:tcPr>
          <w:p w14:paraId="18EE9C00" w14:textId="7216FE4C" w:rsidR="00644422" w:rsidRDefault="00644422" w:rsidP="00215A1A">
            <w:pPr>
              <w:spacing w:before="60" w:after="60"/>
              <w:ind w:left="284" w:hanging="250"/>
              <w:jc w:val="center"/>
              <w:rPr>
                <w:sz w:val="20"/>
              </w:rPr>
            </w:pPr>
            <w:r w:rsidRPr="00A035BA">
              <w:t>24</w:t>
            </w:r>
          </w:p>
        </w:tc>
        <w:tc>
          <w:tcPr>
            <w:tcW w:w="850" w:type="dxa"/>
            <w:vMerge/>
          </w:tcPr>
          <w:p w14:paraId="14E372BC" w14:textId="7E67FC3B" w:rsidR="00644422" w:rsidRDefault="00644422" w:rsidP="003C2A2C">
            <w:pPr>
              <w:spacing w:before="60" w:after="60"/>
              <w:jc w:val="center"/>
              <w:rPr>
                <w:sz w:val="20"/>
              </w:rPr>
            </w:pPr>
          </w:p>
        </w:tc>
        <w:tc>
          <w:tcPr>
            <w:tcW w:w="1134" w:type="dxa"/>
          </w:tcPr>
          <w:p w14:paraId="74B55BC1" w14:textId="724D74D3" w:rsidR="00644422" w:rsidRDefault="00644422" w:rsidP="003C2A2C">
            <w:pPr>
              <w:spacing w:before="60" w:after="60"/>
              <w:jc w:val="center"/>
              <w:rPr>
                <w:sz w:val="20"/>
              </w:rPr>
            </w:pPr>
            <w:r w:rsidRPr="00A035BA">
              <w:t>MAC4</w:t>
            </w:r>
          </w:p>
        </w:tc>
        <w:tc>
          <w:tcPr>
            <w:tcW w:w="2268" w:type="dxa"/>
          </w:tcPr>
          <w:p w14:paraId="6C8DE390" w14:textId="2087BE49" w:rsidR="00644422" w:rsidRDefault="00644422" w:rsidP="003C2A2C">
            <w:pPr>
              <w:spacing w:before="60" w:after="60"/>
              <w:jc w:val="left"/>
              <w:rPr>
                <w:sz w:val="20"/>
              </w:rPr>
            </w:pPr>
            <w:r w:rsidRPr="00A035BA">
              <w:t>Vehicles: other</w:t>
            </w:r>
          </w:p>
        </w:tc>
        <w:tc>
          <w:tcPr>
            <w:tcW w:w="1418" w:type="dxa"/>
          </w:tcPr>
          <w:p w14:paraId="1A5FED3F" w14:textId="129BC546" w:rsidR="00644422" w:rsidRDefault="00644422" w:rsidP="003C2A2C">
            <w:pPr>
              <w:spacing w:before="60" w:after="60"/>
              <w:jc w:val="center"/>
              <w:rPr>
                <w:sz w:val="20"/>
              </w:rPr>
            </w:pPr>
            <w:r w:rsidRPr="00A035BA">
              <w:t>MAC4</w:t>
            </w:r>
          </w:p>
        </w:tc>
        <w:tc>
          <w:tcPr>
            <w:tcW w:w="3118" w:type="dxa"/>
          </w:tcPr>
          <w:p w14:paraId="6D1D4CF2" w14:textId="7CEBBE3B" w:rsidR="00644422" w:rsidRDefault="00644422" w:rsidP="003C2A2C">
            <w:pPr>
              <w:spacing w:before="60" w:after="60"/>
              <w:jc w:val="left"/>
              <w:rPr>
                <w:sz w:val="20"/>
              </w:rPr>
            </w:pPr>
            <w:r w:rsidRPr="00A035BA">
              <w:t xml:space="preserve">Off-road, defence and other (boat, etc.) </w:t>
            </w:r>
          </w:p>
        </w:tc>
      </w:tr>
      <w:tr w:rsidR="00644422" w:rsidRPr="00923150" w14:paraId="423CD027" w14:textId="77777777" w:rsidTr="001D1518">
        <w:trPr>
          <w:trHeight w:val="456"/>
        </w:trPr>
        <w:tc>
          <w:tcPr>
            <w:tcW w:w="9639" w:type="dxa"/>
            <w:gridSpan w:val="6"/>
            <w:tcBorders>
              <w:top w:val="single" w:sz="4" w:space="0" w:color="000000"/>
            </w:tcBorders>
            <w:shd w:val="clear" w:color="auto" w:fill="CCFFFF"/>
            <w:vAlign w:val="center"/>
          </w:tcPr>
          <w:p w14:paraId="49A4617D" w14:textId="4CDB4C2F" w:rsidR="00644422" w:rsidRPr="00923150" w:rsidRDefault="00644422" w:rsidP="00436674">
            <w:pPr>
              <w:spacing w:before="60" w:after="60"/>
              <w:jc w:val="center"/>
              <w:rPr>
                <w:sz w:val="20"/>
              </w:rPr>
            </w:pPr>
            <w:r>
              <w:rPr>
                <w:sz w:val="20"/>
              </w:rPr>
              <w:t>DOMESTIC REFRIGERATION</w:t>
            </w:r>
          </w:p>
        </w:tc>
      </w:tr>
      <w:tr w:rsidR="00644422" w:rsidRPr="00923150" w14:paraId="0FCA0B75" w14:textId="77777777" w:rsidTr="001D1518">
        <w:trPr>
          <w:trHeight w:val="456"/>
        </w:trPr>
        <w:tc>
          <w:tcPr>
            <w:tcW w:w="851" w:type="dxa"/>
          </w:tcPr>
          <w:p w14:paraId="07F53E4B" w14:textId="44EE6EEF" w:rsidR="00644422" w:rsidRDefault="00644422" w:rsidP="00215A1A">
            <w:pPr>
              <w:spacing w:before="60" w:after="60"/>
              <w:ind w:left="284" w:hanging="250"/>
              <w:jc w:val="center"/>
              <w:rPr>
                <w:sz w:val="20"/>
              </w:rPr>
            </w:pPr>
            <w:r w:rsidRPr="00832C68">
              <w:t>25</w:t>
            </w:r>
          </w:p>
        </w:tc>
        <w:tc>
          <w:tcPr>
            <w:tcW w:w="850" w:type="dxa"/>
            <w:vMerge w:val="restart"/>
            <w:textDirection w:val="btLr"/>
            <w:vAlign w:val="center"/>
          </w:tcPr>
          <w:p w14:paraId="6663772B" w14:textId="0C1BB523" w:rsidR="00644422" w:rsidRDefault="00644422" w:rsidP="004A109D">
            <w:pPr>
              <w:spacing w:before="60" w:after="60"/>
              <w:ind w:left="113" w:right="113"/>
              <w:jc w:val="center"/>
              <w:rPr>
                <w:sz w:val="20"/>
              </w:rPr>
            </w:pPr>
            <w:r>
              <w:t>Domestic refrigeration (DR)</w:t>
            </w:r>
          </w:p>
        </w:tc>
        <w:tc>
          <w:tcPr>
            <w:tcW w:w="1134" w:type="dxa"/>
          </w:tcPr>
          <w:p w14:paraId="10DFA81B" w14:textId="2E42B6B8" w:rsidR="00644422" w:rsidRDefault="00644422" w:rsidP="003C2A2C">
            <w:pPr>
              <w:spacing w:before="60" w:after="60"/>
              <w:jc w:val="center"/>
              <w:rPr>
                <w:sz w:val="20"/>
              </w:rPr>
            </w:pPr>
            <w:r w:rsidRPr="00832C68">
              <w:t>DR1</w:t>
            </w:r>
          </w:p>
        </w:tc>
        <w:tc>
          <w:tcPr>
            <w:tcW w:w="2268" w:type="dxa"/>
          </w:tcPr>
          <w:p w14:paraId="6F40D478" w14:textId="50688CEE" w:rsidR="00644422" w:rsidRDefault="00644422" w:rsidP="003C2A2C">
            <w:pPr>
              <w:spacing w:before="60" w:after="60"/>
              <w:jc w:val="left"/>
              <w:rPr>
                <w:sz w:val="20"/>
              </w:rPr>
            </w:pPr>
            <w:r w:rsidRPr="00832C68">
              <w:t>Refrigerators and freezers</w:t>
            </w:r>
          </w:p>
        </w:tc>
        <w:tc>
          <w:tcPr>
            <w:tcW w:w="1418" w:type="dxa"/>
          </w:tcPr>
          <w:p w14:paraId="2523F66F" w14:textId="55F3695E" w:rsidR="00644422" w:rsidRDefault="00644422" w:rsidP="003C2A2C">
            <w:pPr>
              <w:spacing w:before="60" w:after="60"/>
              <w:jc w:val="center"/>
              <w:rPr>
                <w:sz w:val="20"/>
              </w:rPr>
            </w:pPr>
            <w:r w:rsidRPr="00832C68">
              <w:t>DR1-1</w:t>
            </w:r>
          </w:p>
        </w:tc>
        <w:tc>
          <w:tcPr>
            <w:tcW w:w="3118" w:type="dxa"/>
          </w:tcPr>
          <w:p w14:paraId="6FB1B718" w14:textId="761E0BFE" w:rsidR="00644422" w:rsidRDefault="00644422" w:rsidP="003C2A2C">
            <w:pPr>
              <w:spacing w:before="60" w:after="60"/>
              <w:jc w:val="left"/>
              <w:rPr>
                <w:sz w:val="20"/>
              </w:rPr>
            </w:pPr>
            <w:r w:rsidRPr="00832C68">
              <w:t>Domestic refrigerators</w:t>
            </w:r>
          </w:p>
        </w:tc>
      </w:tr>
      <w:tr w:rsidR="004A109D" w:rsidRPr="00923150" w14:paraId="17EAAFB6" w14:textId="77777777" w:rsidTr="001D1518">
        <w:trPr>
          <w:trHeight w:val="456"/>
        </w:trPr>
        <w:tc>
          <w:tcPr>
            <w:tcW w:w="851" w:type="dxa"/>
          </w:tcPr>
          <w:p w14:paraId="5526452B" w14:textId="79BF0F19" w:rsidR="004A109D" w:rsidRDefault="004A109D" w:rsidP="00215A1A">
            <w:pPr>
              <w:spacing w:before="60" w:after="60"/>
              <w:ind w:left="284" w:hanging="250"/>
              <w:jc w:val="center"/>
              <w:rPr>
                <w:sz w:val="20"/>
              </w:rPr>
            </w:pPr>
            <w:r w:rsidRPr="00832C68">
              <w:t>26</w:t>
            </w:r>
          </w:p>
        </w:tc>
        <w:tc>
          <w:tcPr>
            <w:tcW w:w="850" w:type="dxa"/>
            <w:vMerge/>
          </w:tcPr>
          <w:p w14:paraId="38386F45" w14:textId="4C03F39C" w:rsidR="004A109D" w:rsidRDefault="004A109D" w:rsidP="003C2A2C">
            <w:pPr>
              <w:spacing w:before="60" w:after="60"/>
              <w:jc w:val="center"/>
              <w:rPr>
                <w:sz w:val="20"/>
              </w:rPr>
            </w:pPr>
          </w:p>
        </w:tc>
        <w:tc>
          <w:tcPr>
            <w:tcW w:w="1134" w:type="dxa"/>
          </w:tcPr>
          <w:p w14:paraId="68116C13" w14:textId="277E7CE5" w:rsidR="004A109D" w:rsidRDefault="004A109D" w:rsidP="003C2A2C">
            <w:pPr>
              <w:spacing w:before="60" w:after="60"/>
              <w:jc w:val="center"/>
              <w:rPr>
                <w:sz w:val="20"/>
              </w:rPr>
            </w:pPr>
            <w:r w:rsidRPr="00832C68">
              <w:t>DR1</w:t>
            </w:r>
          </w:p>
        </w:tc>
        <w:tc>
          <w:tcPr>
            <w:tcW w:w="2268" w:type="dxa"/>
          </w:tcPr>
          <w:p w14:paraId="7F6C1613" w14:textId="62B607DA" w:rsidR="004A109D" w:rsidRDefault="004A109D" w:rsidP="003C2A2C">
            <w:pPr>
              <w:spacing w:before="60" w:after="60"/>
              <w:jc w:val="left"/>
              <w:rPr>
                <w:sz w:val="20"/>
              </w:rPr>
            </w:pPr>
            <w:r w:rsidRPr="00832C68">
              <w:t>Refrigerators and freezers</w:t>
            </w:r>
          </w:p>
        </w:tc>
        <w:tc>
          <w:tcPr>
            <w:tcW w:w="1418" w:type="dxa"/>
          </w:tcPr>
          <w:p w14:paraId="7097DCCC" w14:textId="0815915D" w:rsidR="004A109D" w:rsidRDefault="004A109D" w:rsidP="003C2A2C">
            <w:pPr>
              <w:spacing w:before="60" w:after="60"/>
              <w:jc w:val="center"/>
              <w:rPr>
                <w:sz w:val="20"/>
              </w:rPr>
            </w:pPr>
            <w:r w:rsidRPr="00832C68">
              <w:t>DR1-2</w:t>
            </w:r>
          </w:p>
        </w:tc>
        <w:tc>
          <w:tcPr>
            <w:tcW w:w="3118" w:type="dxa"/>
          </w:tcPr>
          <w:p w14:paraId="0CFE6EBB" w14:textId="3E764792" w:rsidR="004A109D" w:rsidRDefault="004A109D" w:rsidP="003C2A2C">
            <w:pPr>
              <w:spacing w:before="60" w:after="60"/>
              <w:jc w:val="left"/>
              <w:rPr>
                <w:sz w:val="20"/>
              </w:rPr>
            </w:pPr>
            <w:r w:rsidRPr="00832C68">
              <w:t>Domestic freezers</w:t>
            </w:r>
          </w:p>
        </w:tc>
      </w:tr>
      <w:tr w:rsidR="004A109D" w:rsidRPr="00923150" w14:paraId="6E10ABB6" w14:textId="77777777" w:rsidTr="001D1518">
        <w:trPr>
          <w:trHeight w:val="456"/>
        </w:trPr>
        <w:tc>
          <w:tcPr>
            <w:tcW w:w="851" w:type="dxa"/>
          </w:tcPr>
          <w:p w14:paraId="2163A04D" w14:textId="5AA47B03" w:rsidR="004A109D" w:rsidRDefault="004A109D" w:rsidP="00215A1A">
            <w:pPr>
              <w:spacing w:before="60" w:after="60"/>
              <w:ind w:left="284" w:hanging="250"/>
              <w:jc w:val="center"/>
              <w:rPr>
                <w:sz w:val="20"/>
              </w:rPr>
            </w:pPr>
            <w:r w:rsidRPr="00832C68">
              <w:t>27</w:t>
            </w:r>
          </w:p>
        </w:tc>
        <w:tc>
          <w:tcPr>
            <w:tcW w:w="850" w:type="dxa"/>
            <w:vMerge/>
          </w:tcPr>
          <w:p w14:paraId="060972E2" w14:textId="64FE3629" w:rsidR="004A109D" w:rsidRDefault="004A109D" w:rsidP="003C2A2C">
            <w:pPr>
              <w:spacing w:before="60" w:after="60"/>
              <w:jc w:val="center"/>
              <w:rPr>
                <w:sz w:val="20"/>
              </w:rPr>
            </w:pPr>
          </w:p>
        </w:tc>
        <w:tc>
          <w:tcPr>
            <w:tcW w:w="1134" w:type="dxa"/>
          </w:tcPr>
          <w:p w14:paraId="3388F177" w14:textId="2A353398" w:rsidR="004A109D" w:rsidRDefault="004A109D" w:rsidP="003C2A2C">
            <w:pPr>
              <w:spacing w:before="60" w:after="60"/>
              <w:jc w:val="center"/>
              <w:rPr>
                <w:sz w:val="20"/>
              </w:rPr>
            </w:pPr>
            <w:r w:rsidRPr="00832C68">
              <w:t>DR2</w:t>
            </w:r>
          </w:p>
        </w:tc>
        <w:tc>
          <w:tcPr>
            <w:tcW w:w="2268" w:type="dxa"/>
          </w:tcPr>
          <w:p w14:paraId="27A41FE6" w14:textId="007D51FF" w:rsidR="004A109D" w:rsidRDefault="004A109D" w:rsidP="003C2A2C">
            <w:pPr>
              <w:spacing w:before="60" w:after="60"/>
              <w:jc w:val="left"/>
              <w:rPr>
                <w:sz w:val="20"/>
              </w:rPr>
            </w:pPr>
            <w:r w:rsidRPr="00832C68">
              <w:t>Portable and vehicle refrig</w:t>
            </w:r>
            <w:r w:rsidR="002A30C0">
              <w:t>eration</w:t>
            </w:r>
          </w:p>
        </w:tc>
        <w:tc>
          <w:tcPr>
            <w:tcW w:w="1418" w:type="dxa"/>
          </w:tcPr>
          <w:p w14:paraId="5E6880D6" w14:textId="37FF3CDF" w:rsidR="004A109D" w:rsidRDefault="004A109D" w:rsidP="003C2A2C">
            <w:pPr>
              <w:spacing w:before="60" w:after="60"/>
              <w:jc w:val="center"/>
              <w:rPr>
                <w:sz w:val="20"/>
              </w:rPr>
            </w:pPr>
            <w:r w:rsidRPr="00832C68">
              <w:t>DR2-1</w:t>
            </w:r>
          </w:p>
        </w:tc>
        <w:tc>
          <w:tcPr>
            <w:tcW w:w="3118" w:type="dxa"/>
          </w:tcPr>
          <w:p w14:paraId="6A237A1D" w14:textId="1BD41D53" w:rsidR="004A109D" w:rsidRDefault="004A109D" w:rsidP="003C2A2C">
            <w:pPr>
              <w:spacing w:before="60" w:after="60"/>
              <w:jc w:val="left"/>
              <w:rPr>
                <w:sz w:val="20"/>
              </w:rPr>
            </w:pPr>
            <w:r w:rsidRPr="00832C68">
              <w:t>Portable and vehicle refrig</w:t>
            </w:r>
            <w:r w:rsidR="002A30C0">
              <w:t>eration</w:t>
            </w:r>
          </w:p>
        </w:tc>
      </w:tr>
      <w:tr w:rsidR="004A109D" w:rsidRPr="00923150" w14:paraId="41B08CD1" w14:textId="77777777" w:rsidTr="001D1518">
        <w:trPr>
          <w:trHeight w:val="456"/>
        </w:trPr>
        <w:tc>
          <w:tcPr>
            <w:tcW w:w="851" w:type="dxa"/>
          </w:tcPr>
          <w:p w14:paraId="109844A7" w14:textId="045EA604" w:rsidR="004A109D" w:rsidRDefault="004A109D" w:rsidP="00215A1A">
            <w:pPr>
              <w:spacing w:before="60" w:after="60"/>
              <w:ind w:left="284" w:hanging="250"/>
              <w:jc w:val="center"/>
              <w:rPr>
                <w:sz w:val="20"/>
              </w:rPr>
            </w:pPr>
            <w:r w:rsidRPr="00832C68">
              <w:t>28</w:t>
            </w:r>
          </w:p>
        </w:tc>
        <w:tc>
          <w:tcPr>
            <w:tcW w:w="850" w:type="dxa"/>
            <w:vMerge/>
          </w:tcPr>
          <w:p w14:paraId="3C8E84EC" w14:textId="74357482" w:rsidR="004A109D" w:rsidRDefault="004A109D" w:rsidP="003C2A2C">
            <w:pPr>
              <w:spacing w:before="60" w:after="60"/>
              <w:jc w:val="center"/>
              <w:rPr>
                <w:sz w:val="20"/>
              </w:rPr>
            </w:pPr>
          </w:p>
        </w:tc>
        <w:tc>
          <w:tcPr>
            <w:tcW w:w="1134" w:type="dxa"/>
          </w:tcPr>
          <w:p w14:paraId="428E2BCC" w14:textId="50458B33" w:rsidR="004A109D" w:rsidRDefault="004A109D" w:rsidP="003C2A2C">
            <w:pPr>
              <w:spacing w:before="60" w:after="60"/>
              <w:jc w:val="center"/>
              <w:rPr>
                <w:sz w:val="20"/>
              </w:rPr>
            </w:pPr>
            <w:r w:rsidRPr="00832C68">
              <w:t>DR2</w:t>
            </w:r>
          </w:p>
        </w:tc>
        <w:tc>
          <w:tcPr>
            <w:tcW w:w="2268" w:type="dxa"/>
          </w:tcPr>
          <w:p w14:paraId="633317AF" w14:textId="51CE006D" w:rsidR="004A109D" w:rsidRDefault="004A109D" w:rsidP="002A30C0">
            <w:pPr>
              <w:spacing w:before="60" w:after="60"/>
              <w:jc w:val="left"/>
              <w:rPr>
                <w:sz w:val="20"/>
              </w:rPr>
            </w:pPr>
            <w:r w:rsidRPr="00832C68">
              <w:t>Portable and vehicle refrig</w:t>
            </w:r>
            <w:r w:rsidR="002A30C0">
              <w:t>eration</w:t>
            </w:r>
          </w:p>
        </w:tc>
        <w:tc>
          <w:tcPr>
            <w:tcW w:w="1418" w:type="dxa"/>
          </w:tcPr>
          <w:p w14:paraId="3A2087F7" w14:textId="3F4A95B9" w:rsidR="004A109D" w:rsidRDefault="004A109D" w:rsidP="003C2A2C">
            <w:pPr>
              <w:spacing w:before="60" w:after="60"/>
              <w:jc w:val="center"/>
              <w:rPr>
                <w:sz w:val="20"/>
              </w:rPr>
            </w:pPr>
            <w:r w:rsidRPr="00832C68">
              <w:t>DR2-2</w:t>
            </w:r>
          </w:p>
        </w:tc>
        <w:tc>
          <w:tcPr>
            <w:tcW w:w="3118" w:type="dxa"/>
          </w:tcPr>
          <w:p w14:paraId="0D0CDE15" w14:textId="2B5EA237" w:rsidR="004A109D" w:rsidRDefault="004A109D" w:rsidP="003C2A2C">
            <w:pPr>
              <w:spacing w:before="60" w:after="60"/>
              <w:jc w:val="left"/>
              <w:rPr>
                <w:sz w:val="20"/>
              </w:rPr>
            </w:pPr>
            <w:r w:rsidRPr="00832C68">
              <w:t>Vehicle refrigeration</w:t>
            </w:r>
          </w:p>
        </w:tc>
      </w:tr>
      <w:tr w:rsidR="004A109D" w:rsidRPr="00923150" w14:paraId="48D87572" w14:textId="77777777" w:rsidTr="001D1518">
        <w:trPr>
          <w:trHeight w:val="456"/>
        </w:trPr>
        <w:tc>
          <w:tcPr>
            <w:tcW w:w="9639" w:type="dxa"/>
            <w:gridSpan w:val="6"/>
            <w:tcBorders>
              <w:top w:val="single" w:sz="4" w:space="0" w:color="000000"/>
            </w:tcBorders>
            <w:shd w:val="clear" w:color="auto" w:fill="CCFFFF"/>
            <w:vAlign w:val="center"/>
          </w:tcPr>
          <w:p w14:paraId="511FB7BC" w14:textId="345D4169" w:rsidR="004A109D" w:rsidRPr="00923150" w:rsidRDefault="004A109D" w:rsidP="00436674">
            <w:pPr>
              <w:spacing w:before="60" w:after="60"/>
              <w:jc w:val="center"/>
              <w:rPr>
                <w:sz w:val="20"/>
              </w:rPr>
            </w:pPr>
            <w:r>
              <w:rPr>
                <w:sz w:val="20"/>
              </w:rPr>
              <w:t>REFRIGERATED COLD FOOD CHAIN</w:t>
            </w:r>
          </w:p>
        </w:tc>
      </w:tr>
      <w:tr w:rsidR="004A109D" w:rsidRPr="00923150" w14:paraId="62DF50F6" w14:textId="77777777" w:rsidTr="001D1518">
        <w:trPr>
          <w:trHeight w:val="456"/>
        </w:trPr>
        <w:tc>
          <w:tcPr>
            <w:tcW w:w="851" w:type="dxa"/>
          </w:tcPr>
          <w:p w14:paraId="3A4C6960" w14:textId="181F28DE" w:rsidR="004A109D" w:rsidRDefault="004A109D" w:rsidP="00215A1A">
            <w:pPr>
              <w:spacing w:before="60" w:after="60"/>
              <w:ind w:left="284" w:hanging="284"/>
              <w:jc w:val="center"/>
              <w:rPr>
                <w:sz w:val="20"/>
              </w:rPr>
            </w:pPr>
            <w:r w:rsidRPr="00B06CA9">
              <w:t>29</w:t>
            </w:r>
          </w:p>
        </w:tc>
        <w:tc>
          <w:tcPr>
            <w:tcW w:w="850" w:type="dxa"/>
            <w:vMerge w:val="restart"/>
            <w:textDirection w:val="btLr"/>
          </w:tcPr>
          <w:p w14:paraId="4279470E" w14:textId="184355F8" w:rsidR="004A109D" w:rsidRDefault="004A109D" w:rsidP="00644422">
            <w:pPr>
              <w:spacing w:before="60" w:after="60"/>
              <w:ind w:left="113" w:right="113"/>
              <w:jc w:val="center"/>
              <w:rPr>
                <w:sz w:val="20"/>
              </w:rPr>
            </w:pPr>
            <w:r w:rsidRPr="00B06CA9">
              <w:t>Refrigerated cold food chain</w:t>
            </w:r>
            <w:r>
              <w:t xml:space="preserve"> (RCFC)</w:t>
            </w:r>
            <w:r w:rsidRPr="00B06CA9">
              <w:t xml:space="preserve"> </w:t>
            </w:r>
          </w:p>
          <w:p w14:paraId="41A7C09F" w14:textId="77777777" w:rsidR="004A109D" w:rsidRDefault="004A109D" w:rsidP="00644422">
            <w:pPr>
              <w:spacing w:before="60" w:after="60"/>
              <w:ind w:left="113" w:right="113"/>
              <w:jc w:val="center"/>
              <w:rPr>
                <w:sz w:val="20"/>
              </w:rPr>
            </w:pPr>
            <w:r w:rsidRPr="00B06CA9">
              <w:t xml:space="preserve"> </w:t>
            </w:r>
          </w:p>
          <w:p w14:paraId="5B957A1D" w14:textId="77777777" w:rsidR="004A109D" w:rsidRDefault="004A109D" w:rsidP="00644422">
            <w:pPr>
              <w:spacing w:before="60" w:after="60"/>
              <w:ind w:left="113" w:right="113"/>
              <w:jc w:val="center"/>
              <w:rPr>
                <w:sz w:val="20"/>
              </w:rPr>
            </w:pPr>
            <w:r w:rsidRPr="00B06CA9">
              <w:t xml:space="preserve"> </w:t>
            </w:r>
          </w:p>
          <w:p w14:paraId="107A8906" w14:textId="77777777" w:rsidR="004A109D" w:rsidRDefault="004A109D" w:rsidP="00644422">
            <w:pPr>
              <w:spacing w:before="60" w:after="60"/>
              <w:ind w:left="113" w:right="113"/>
              <w:jc w:val="center"/>
              <w:rPr>
                <w:sz w:val="20"/>
              </w:rPr>
            </w:pPr>
            <w:r w:rsidRPr="00B06CA9">
              <w:t xml:space="preserve"> </w:t>
            </w:r>
          </w:p>
          <w:p w14:paraId="47E76087" w14:textId="77777777" w:rsidR="004A109D" w:rsidRDefault="004A109D" w:rsidP="00644422">
            <w:pPr>
              <w:spacing w:before="60" w:after="60"/>
              <w:ind w:left="113" w:right="113"/>
              <w:jc w:val="center"/>
              <w:rPr>
                <w:sz w:val="20"/>
              </w:rPr>
            </w:pPr>
            <w:r w:rsidRPr="00B06CA9">
              <w:t xml:space="preserve"> </w:t>
            </w:r>
          </w:p>
          <w:p w14:paraId="126F0179" w14:textId="77777777" w:rsidR="004A109D" w:rsidRDefault="004A109D" w:rsidP="00644422">
            <w:pPr>
              <w:spacing w:before="60" w:after="60"/>
              <w:ind w:left="113" w:right="113"/>
              <w:jc w:val="center"/>
              <w:rPr>
                <w:sz w:val="20"/>
              </w:rPr>
            </w:pPr>
            <w:r w:rsidRPr="00B06CA9">
              <w:t xml:space="preserve"> </w:t>
            </w:r>
          </w:p>
          <w:p w14:paraId="47983E0C" w14:textId="77777777" w:rsidR="004A109D" w:rsidRDefault="004A109D" w:rsidP="00644422">
            <w:pPr>
              <w:spacing w:before="60" w:after="60"/>
              <w:ind w:left="113" w:right="113"/>
              <w:jc w:val="center"/>
              <w:rPr>
                <w:sz w:val="20"/>
              </w:rPr>
            </w:pPr>
            <w:r w:rsidRPr="00B06CA9">
              <w:t xml:space="preserve"> </w:t>
            </w:r>
          </w:p>
          <w:p w14:paraId="369129F4" w14:textId="77777777" w:rsidR="004A109D" w:rsidRDefault="004A109D" w:rsidP="00644422">
            <w:pPr>
              <w:spacing w:before="60" w:after="60"/>
              <w:ind w:left="113" w:right="113"/>
              <w:jc w:val="center"/>
              <w:rPr>
                <w:sz w:val="20"/>
              </w:rPr>
            </w:pPr>
            <w:r w:rsidRPr="00B06CA9">
              <w:t xml:space="preserve"> </w:t>
            </w:r>
          </w:p>
          <w:p w14:paraId="2073531B" w14:textId="7A033613" w:rsidR="004A109D" w:rsidRDefault="004A109D" w:rsidP="005861F1">
            <w:pPr>
              <w:spacing w:before="60" w:after="60"/>
              <w:ind w:left="113" w:right="113"/>
              <w:jc w:val="center"/>
              <w:rPr>
                <w:sz w:val="20"/>
              </w:rPr>
            </w:pPr>
            <w:r w:rsidRPr="00B06CA9">
              <w:t xml:space="preserve"> </w:t>
            </w:r>
          </w:p>
        </w:tc>
        <w:tc>
          <w:tcPr>
            <w:tcW w:w="1134" w:type="dxa"/>
          </w:tcPr>
          <w:p w14:paraId="0347F460" w14:textId="01457CC1" w:rsidR="004A109D" w:rsidRDefault="004A109D" w:rsidP="003C2A2C">
            <w:pPr>
              <w:spacing w:before="60" w:after="60"/>
              <w:jc w:val="center"/>
              <w:rPr>
                <w:sz w:val="20"/>
              </w:rPr>
            </w:pPr>
            <w:r w:rsidRPr="00B06CA9">
              <w:t>RCFC1</w:t>
            </w:r>
          </w:p>
        </w:tc>
        <w:tc>
          <w:tcPr>
            <w:tcW w:w="2268" w:type="dxa"/>
          </w:tcPr>
          <w:p w14:paraId="7A76B7E0" w14:textId="61CF99AE" w:rsidR="004A109D" w:rsidRDefault="004A109D" w:rsidP="003C2A2C">
            <w:pPr>
              <w:spacing w:before="60" w:after="60"/>
              <w:jc w:val="left"/>
              <w:rPr>
                <w:sz w:val="20"/>
              </w:rPr>
            </w:pPr>
            <w:r w:rsidRPr="00B06CA9">
              <w:t>Unitary equipment</w:t>
            </w:r>
          </w:p>
        </w:tc>
        <w:tc>
          <w:tcPr>
            <w:tcW w:w="1418" w:type="dxa"/>
          </w:tcPr>
          <w:p w14:paraId="377904A3" w14:textId="7447906F" w:rsidR="004A109D" w:rsidRDefault="004A109D" w:rsidP="003C2A2C">
            <w:pPr>
              <w:spacing w:before="60" w:after="60"/>
              <w:jc w:val="center"/>
              <w:rPr>
                <w:sz w:val="20"/>
              </w:rPr>
            </w:pPr>
            <w:r w:rsidRPr="00B06CA9">
              <w:t>RCFC1-1</w:t>
            </w:r>
          </w:p>
        </w:tc>
        <w:tc>
          <w:tcPr>
            <w:tcW w:w="3118" w:type="dxa"/>
          </w:tcPr>
          <w:p w14:paraId="38B3C026" w14:textId="787CF106" w:rsidR="004A109D" w:rsidRDefault="004A109D" w:rsidP="003C2A2C">
            <w:pPr>
              <w:spacing w:before="60" w:after="60"/>
              <w:jc w:val="left"/>
              <w:rPr>
                <w:sz w:val="20"/>
              </w:rPr>
            </w:pPr>
            <w:r w:rsidRPr="00B06CA9">
              <w:t>Refrigeration cabinets</w:t>
            </w:r>
          </w:p>
        </w:tc>
      </w:tr>
      <w:tr w:rsidR="004A109D" w:rsidRPr="00923150" w14:paraId="6F72427B" w14:textId="77777777" w:rsidTr="001D1518">
        <w:trPr>
          <w:trHeight w:val="456"/>
        </w:trPr>
        <w:tc>
          <w:tcPr>
            <w:tcW w:w="851" w:type="dxa"/>
          </w:tcPr>
          <w:p w14:paraId="2C31E16F" w14:textId="6C377960" w:rsidR="004A109D" w:rsidRDefault="004A109D" w:rsidP="00215A1A">
            <w:pPr>
              <w:spacing w:before="60" w:after="60"/>
              <w:ind w:left="284" w:hanging="284"/>
              <w:jc w:val="center"/>
              <w:rPr>
                <w:sz w:val="20"/>
              </w:rPr>
            </w:pPr>
            <w:r w:rsidRPr="00B06CA9">
              <w:t>30</w:t>
            </w:r>
          </w:p>
        </w:tc>
        <w:tc>
          <w:tcPr>
            <w:tcW w:w="850" w:type="dxa"/>
            <w:vMerge/>
          </w:tcPr>
          <w:p w14:paraId="10A220AA" w14:textId="766CCABF" w:rsidR="004A109D" w:rsidRDefault="004A109D" w:rsidP="003C2A2C">
            <w:pPr>
              <w:spacing w:before="60" w:after="60"/>
              <w:jc w:val="center"/>
              <w:rPr>
                <w:sz w:val="20"/>
              </w:rPr>
            </w:pPr>
          </w:p>
        </w:tc>
        <w:tc>
          <w:tcPr>
            <w:tcW w:w="1134" w:type="dxa"/>
          </w:tcPr>
          <w:p w14:paraId="36CBDC38" w14:textId="3C8F6B29" w:rsidR="004A109D" w:rsidRDefault="004A109D" w:rsidP="003C2A2C">
            <w:pPr>
              <w:spacing w:before="60" w:after="60"/>
              <w:jc w:val="center"/>
              <w:rPr>
                <w:sz w:val="20"/>
              </w:rPr>
            </w:pPr>
            <w:r w:rsidRPr="00B06CA9">
              <w:t>RCFC1</w:t>
            </w:r>
          </w:p>
        </w:tc>
        <w:tc>
          <w:tcPr>
            <w:tcW w:w="2268" w:type="dxa"/>
          </w:tcPr>
          <w:p w14:paraId="45CC2E9A" w14:textId="06B0A339" w:rsidR="004A109D" w:rsidRDefault="004A109D" w:rsidP="003C2A2C">
            <w:pPr>
              <w:spacing w:before="60" w:after="60"/>
              <w:jc w:val="left"/>
              <w:rPr>
                <w:sz w:val="20"/>
              </w:rPr>
            </w:pPr>
            <w:r w:rsidRPr="00B06CA9">
              <w:t>Unitary equipment</w:t>
            </w:r>
          </w:p>
        </w:tc>
        <w:tc>
          <w:tcPr>
            <w:tcW w:w="1418" w:type="dxa"/>
          </w:tcPr>
          <w:p w14:paraId="4524B71E" w14:textId="3DEBCEE5" w:rsidR="004A109D" w:rsidRDefault="004A109D" w:rsidP="003C2A2C">
            <w:pPr>
              <w:spacing w:before="60" w:after="60"/>
              <w:jc w:val="center"/>
              <w:rPr>
                <w:sz w:val="20"/>
              </w:rPr>
            </w:pPr>
            <w:r w:rsidRPr="00B06CA9">
              <w:t>RCFC1-2</w:t>
            </w:r>
          </w:p>
        </w:tc>
        <w:tc>
          <w:tcPr>
            <w:tcW w:w="3118" w:type="dxa"/>
          </w:tcPr>
          <w:p w14:paraId="2C91C654" w14:textId="1A6CF352" w:rsidR="004A109D" w:rsidRDefault="004A109D" w:rsidP="003C2A2C">
            <w:pPr>
              <w:spacing w:before="60" w:after="60"/>
              <w:jc w:val="left"/>
              <w:rPr>
                <w:sz w:val="20"/>
              </w:rPr>
            </w:pPr>
            <w:r w:rsidRPr="00B06CA9">
              <w:t>Refrigeration beverage vending machines</w:t>
            </w:r>
          </w:p>
        </w:tc>
      </w:tr>
      <w:tr w:rsidR="004A109D" w:rsidRPr="00923150" w14:paraId="51E39122" w14:textId="77777777" w:rsidTr="001D1518">
        <w:trPr>
          <w:trHeight w:val="456"/>
        </w:trPr>
        <w:tc>
          <w:tcPr>
            <w:tcW w:w="851" w:type="dxa"/>
          </w:tcPr>
          <w:p w14:paraId="5BA03070" w14:textId="60BF593E" w:rsidR="004A109D" w:rsidRDefault="004A109D" w:rsidP="00215A1A">
            <w:pPr>
              <w:spacing w:before="60" w:after="60"/>
              <w:ind w:left="284" w:hanging="284"/>
              <w:jc w:val="center"/>
              <w:rPr>
                <w:sz w:val="20"/>
              </w:rPr>
            </w:pPr>
            <w:r w:rsidRPr="00B06CA9">
              <w:t>31</w:t>
            </w:r>
          </w:p>
        </w:tc>
        <w:tc>
          <w:tcPr>
            <w:tcW w:w="850" w:type="dxa"/>
            <w:vMerge/>
          </w:tcPr>
          <w:p w14:paraId="2B6F1B38" w14:textId="744FB75A" w:rsidR="004A109D" w:rsidRDefault="004A109D" w:rsidP="003C2A2C">
            <w:pPr>
              <w:spacing w:before="60" w:after="60"/>
              <w:jc w:val="center"/>
              <w:rPr>
                <w:sz w:val="20"/>
              </w:rPr>
            </w:pPr>
          </w:p>
        </w:tc>
        <w:tc>
          <w:tcPr>
            <w:tcW w:w="1134" w:type="dxa"/>
          </w:tcPr>
          <w:p w14:paraId="607407B6" w14:textId="355BF8C0" w:rsidR="004A109D" w:rsidRDefault="004A109D" w:rsidP="003C2A2C">
            <w:pPr>
              <w:spacing w:before="60" w:after="60"/>
              <w:jc w:val="center"/>
              <w:rPr>
                <w:sz w:val="20"/>
              </w:rPr>
            </w:pPr>
            <w:r w:rsidRPr="00B06CA9">
              <w:t>RCFC1</w:t>
            </w:r>
          </w:p>
        </w:tc>
        <w:tc>
          <w:tcPr>
            <w:tcW w:w="2268" w:type="dxa"/>
          </w:tcPr>
          <w:p w14:paraId="5E58BF2F" w14:textId="768F370A" w:rsidR="004A109D" w:rsidRDefault="004A109D" w:rsidP="003C2A2C">
            <w:pPr>
              <w:spacing w:before="60" w:after="60"/>
              <w:jc w:val="left"/>
              <w:rPr>
                <w:sz w:val="20"/>
              </w:rPr>
            </w:pPr>
            <w:r w:rsidRPr="00B06CA9">
              <w:t>Unitary equipment</w:t>
            </w:r>
          </w:p>
        </w:tc>
        <w:tc>
          <w:tcPr>
            <w:tcW w:w="1418" w:type="dxa"/>
          </w:tcPr>
          <w:p w14:paraId="0DAB67C3" w14:textId="3EA145C3" w:rsidR="004A109D" w:rsidRDefault="004A109D" w:rsidP="003C2A2C">
            <w:pPr>
              <w:spacing w:before="60" w:after="60"/>
              <w:jc w:val="center"/>
              <w:rPr>
                <w:sz w:val="20"/>
              </w:rPr>
            </w:pPr>
            <w:r w:rsidRPr="00B06CA9">
              <w:t>RCFC1-3</w:t>
            </w:r>
          </w:p>
        </w:tc>
        <w:tc>
          <w:tcPr>
            <w:tcW w:w="3118" w:type="dxa"/>
          </w:tcPr>
          <w:p w14:paraId="03B856B8" w14:textId="4BFE1E22" w:rsidR="004A109D" w:rsidRDefault="004A109D" w:rsidP="003C2A2C">
            <w:pPr>
              <w:spacing w:before="60" w:after="60"/>
              <w:jc w:val="left"/>
              <w:rPr>
                <w:sz w:val="20"/>
              </w:rPr>
            </w:pPr>
            <w:r w:rsidRPr="00B06CA9">
              <w:t>Ice makers</w:t>
            </w:r>
          </w:p>
        </w:tc>
      </w:tr>
      <w:tr w:rsidR="004A109D" w:rsidRPr="00923150" w14:paraId="35E7D7FC" w14:textId="77777777" w:rsidTr="001D1518">
        <w:trPr>
          <w:trHeight w:val="456"/>
        </w:trPr>
        <w:tc>
          <w:tcPr>
            <w:tcW w:w="851" w:type="dxa"/>
          </w:tcPr>
          <w:p w14:paraId="22439959" w14:textId="6ED6E573" w:rsidR="004A109D" w:rsidRDefault="004A109D" w:rsidP="00215A1A">
            <w:pPr>
              <w:spacing w:before="60" w:after="60"/>
              <w:ind w:left="284" w:hanging="284"/>
              <w:jc w:val="center"/>
              <w:rPr>
                <w:sz w:val="20"/>
              </w:rPr>
            </w:pPr>
            <w:r w:rsidRPr="00B06CA9">
              <w:t>32</w:t>
            </w:r>
          </w:p>
        </w:tc>
        <w:tc>
          <w:tcPr>
            <w:tcW w:w="850" w:type="dxa"/>
            <w:vMerge/>
          </w:tcPr>
          <w:p w14:paraId="165EB690" w14:textId="4183C9F7" w:rsidR="004A109D" w:rsidRDefault="004A109D" w:rsidP="003C2A2C">
            <w:pPr>
              <w:spacing w:before="60" w:after="60"/>
              <w:jc w:val="center"/>
              <w:rPr>
                <w:sz w:val="20"/>
              </w:rPr>
            </w:pPr>
          </w:p>
        </w:tc>
        <w:tc>
          <w:tcPr>
            <w:tcW w:w="1134" w:type="dxa"/>
          </w:tcPr>
          <w:p w14:paraId="4A8E73E0" w14:textId="1A1BBB93" w:rsidR="004A109D" w:rsidRDefault="004A109D" w:rsidP="003C2A2C">
            <w:pPr>
              <w:spacing w:before="60" w:after="60"/>
              <w:jc w:val="center"/>
              <w:rPr>
                <w:sz w:val="20"/>
              </w:rPr>
            </w:pPr>
            <w:r w:rsidRPr="00B06CA9">
              <w:t>RCFC1</w:t>
            </w:r>
          </w:p>
        </w:tc>
        <w:tc>
          <w:tcPr>
            <w:tcW w:w="2268" w:type="dxa"/>
          </w:tcPr>
          <w:p w14:paraId="56002FBE" w14:textId="1B7C5714" w:rsidR="004A109D" w:rsidRDefault="004A109D" w:rsidP="003C2A2C">
            <w:pPr>
              <w:spacing w:before="60" w:after="60"/>
              <w:jc w:val="left"/>
              <w:rPr>
                <w:sz w:val="20"/>
              </w:rPr>
            </w:pPr>
            <w:r w:rsidRPr="00B06CA9">
              <w:t>Unitary equipment</w:t>
            </w:r>
          </w:p>
        </w:tc>
        <w:tc>
          <w:tcPr>
            <w:tcW w:w="1418" w:type="dxa"/>
          </w:tcPr>
          <w:p w14:paraId="60345DEB" w14:textId="355A68C1" w:rsidR="004A109D" w:rsidRDefault="004A109D" w:rsidP="003C2A2C">
            <w:pPr>
              <w:spacing w:before="60" w:after="60"/>
              <w:jc w:val="center"/>
              <w:rPr>
                <w:sz w:val="20"/>
              </w:rPr>
            </w:pPr>
            <w:r w:rsidRPr="00B06CA9">
              <w:t>RCFC1-4</w:t>
            </w:r>
          </w:p>
        </w:tc>
        <w:tc>
          <w:tcPr>
            <w:tcW w:w="3118" w:type="dxa"/>
          </w:tcPr>
          <w:p w14:paraId="5403EEAA" w14:textId="68717B85" w:rsidR="004A109D" w:rsidRDefault="004A109D" w:rsidP="003C2A2C">
            <w:pPr>
              <w:spacing w:before="60" w:after="60"/>
              <w:jc w:val="left"/>
              <w:rPr>
                <w:sz w:val="20"/>
              </w:rPr>
            </w:pPr>
            <w:r w:rsidRPr="00B06CA9">
              <w:t>Walk-in coolrooms: small</w:t>
            </w:r>
          </w:p>
        </w:tc>
      </w:tr>
      <w:tr w:rsidR="004A109D" w:rsidRPr="00923150" w14:paraId="666B9F31" w14:textId="77777777" w:rsidTr="001D1518">
        <w:trPr>
          <w:trHeight w:val="456"/>
        </w:trPr>
        <w:tc>
          <w:tcPr>
            <w:tcW w:w="851" w:type="dxa"/>
          </w:tcPr>
          <w:p w14:paraId="1A55AB6D" w14:textId="649C7B20" w:rsidR="004A109D" w:rsidRDefault="004A109D" w:rsidP="00215A1A">
            <w:pPr>
              <w:spacing w:before="60" w:after="60"/>
              <w:ind w:left="284" w:hanging="284"/>
              <w:jc w:val="center"/>
              <w:rPr>
                <w:sz w:val="20"/>
              </w:rPr>
            </w:pPr>
            <w:r w:rsidRPr="00B06CA9">
              <w:t>33</w:t>
            </w:r>
          </w:p>
        </w:tc>
        <w:tc>
          <w:tcPr>
            <w:tcW w:w="850" w:type="dxa"/>
            <w:vMerge/>
          </w:tcPr>
          <w:p w14:paraId="639E3602" w14:textId="0BC1763E" w:rsidR="004A109D" w:rsidRDefault="004A109D" w:rsidP="003C2A2C">
            <w:pPr>
              <w:spacing w:before="60" w:after="60"/>
              <w:jc w:val="center"/>
              <w:rPr>
                <w:sz w:val="20"/>
              </w:rPr>
            </w:pPr>
          </w:p>
        </w:tc>
        <w:tc>
          <w:tcPr>
            <w:tcW w:w="1134" w:type="dxa"/>
          </w:tcPr>
          <w:p w14:paraId="478ADA85" w14:textId="74134A29" w:rsidR="004A109D" w:rsidRDefault="004A109D" w:rsidP="003C2A2C">
            <w:pPr>
              <w:spacing w:before="60" w:after="60"/>
              <w:jc w:val="center"/>
              <w:rPr>
                <w:sz w:val="20"/>
              </w:rPr>
            </w:pPr>
            <w:r w:rsidRPr="00B06CA9">
              <w:t>RCFC1</w:t>
            </w:r>
          </w:p>
        </w:tc>
        <w:tc>
          <w:tcPr>
            <w:tcW w:w="2268" w:type="dxa"/>
          </w:tcPr>
          <w:p w14:paraId="34EDFA75" w14:textId="605B2F9E" w:rsidR="004A109D" w:rsidRDefault="004A109D" w:rsidP="003C2A2C">
            <w:pPr>
              <w:spacing w:before="60" w:after="60"/>
              <w:jc w:val="left"/>
              <w:rPr>
                <w:sz w:val="20"/>
              </w:rPr>
            </w:pPr>
            <w:r w:rsidRPr="00B06CA9">
              <w:t>Unitary equipment</w:t>
            </w:r>
          </w:p>
        </w:tc>
        <w:tc>
          <w:tcPr>
            <w:tcW w:w="1418" w:type="dxa"/>
          </w:tcPr>
          <w:p w14:paraId="28AE21B0" w14:textId="0C137F15" w:rsidR="004A109D" w:rsidRDefault="004A109D" w:rsidP="003C2A2C">
            <w:pPr>
              <w:spacing w:before="60" w:after="60"/>
              <w:jc w:val="center"/>
              <w:rPr>
                <w:sz w:val="20"/>
              </w:rPr>
            </w:pPr>
            <w:r w:rsidRPr="00B06CA9">
              <w:t>RCFC1-5</w:t>
            </w:r>
          </w:p>
        </w:tc>
        <w:tc>
          <w:tcPr>
            <w:tcW w:w="3118" w:type="dxa"/>
          </w:tcPr>
          <w:p w14:paraId="3B4F25D8" w14:textId="62FEF356" w:rsidR="004A109D" w:rsidRDefault="004A109D" w:rsidP="003C2A2C">
            <w:pPr>
              <w:spacing w:before="60" w:after="60"/>
              <w:jc w:val="left"/>
              <w:rPr>
                <w:sz w:val="20"/>
              </w:rPr>
            </w:pPr>
            <w:r w:rsidRPr="00B06CA9">
              <w:t>Walk-in coolrooms: medium</w:t>
            </w:r>
          </w:p>
        </w:tc>
      </w:tr>
      <w:tr w:rsidR="004A109D" w:rsidRPr="00923150" w14:paraId="24D2FB5D" w14:textId="77777777" w:rsidTr="001D1518">
        <w:trPr>
          <w:trHeight w:val="456"/>
        </w:trPr>
        <w:tc>
          <w:tcPr>
            <w:tcW w:w="851" w:type="dxa"/>
          </w:tcPr>
          <w:p w14:paraId="49C6FED4" w14:textId="69CA189C" w:rsidR="004A109D" w:rsidRDefault="004A109D" w:rsidP="00215A1A">
            <w:pPr>
              <w:spacing w:before="60" w:after="60"/>
              <w:ind w:left="284" w:hanging="284"/>
              <w:jc w:val="center"/>
              <w:rPr>
                <w:sz w:val="20"/>
              </w:rPr>
            </w:pPr>
            <w:r w:rsidRPr="00B06CA9">
              <w:t>34</w:t>
            </w:r>
          </w:p>
        </w:tc>
        <w:tc>
          <w:tcPr>
            <w:tcW w:w="850" w:type="dxa"/>
            <w:vMerge/>
          </w:tcPr>
          <w:p w14:paraId="722AF7A9" w14:textId="1FAF37EC" w:rsidR="004A109D" w:rsidRDefault="004A109D" w:rsidP="003C2A2C">
            <w:pPr>
              <w:spacing w:before="60" w:after="60"/>
              <w:jc w:val="center"/>
              <w:rPr>
                <w:sz w:val="20"/>
              </w:rPr>
            </w:pPr>
          </w:p>
        </w:tc>
        <w:tc>
          <w:tcPr>
            <w:tcW w:w="1134" w:type="dxa"/>
          </w:tcPr>
          <w:p w14:paraId="756BF6C4" w14:textId="5A01259C" w:rsidR="004A109D" w:rsidRDefault="004A109D" w:rsidP="003C2A2C">
            <w:pPr>
              <w:spacing w:before="60" w:after="60"/>
              <w:jc w:val="center"/>
              <w:rPr>
                <w:sz w:val="20"/>
              </w:rPr>
            </w:pPr>
            <w:r w:rsidRPr="00B06CA9">
              <w:t>RCFC1</w:t>
            </w:r>
          </w:p>
        </w:tc>
        <w:tc>
          <w:tcPr>
            <w:tcW w:w="2268" w:type="dxa"/>
          </w:tcPr>
          <w:p w14:paraId="49E6BE74" w14:textId="7750246C" w:rsidR="004A109D" w:rsidRDefault="004A109D" w:rsidP="003C2A2C">
            <w:pPr>
              <w:spacing w:before="60" w:after="60"/>
              <w:jc w:val="left"/>
              <w:rPr>
                <w:sz w:val="20"/>
              </w:rPr>
            </w:pPr>
            <w:r w:rsidRPr="00B06CA9">
              <w:t>Unitary equipment</w:t>
            </w:r>
          </w:p>
        </w:tc>
        <w:tc>
          <w:tcPr>
            <w:tcW w:w="1418" w:type="dxa"/>
          </w:tcPr>
          <w:p w14:paraId="34254EB8" w14:textId="411AC4D0" w:rsidR="004A109D" w:rsidRDefault="004A109D" w:rsidP="003C2A2C">
            <w:pPr>
              <w:spacing w:before="60" w:after="60"/>
              <w:jc w:val="center"/>
              <w:rPr>
                <w:sz w:val="20"/>
              </w:rPr>
            </w:pPr>
            <w:r w:rsidRPr="00B06CA9">
              <w:t>RCFC1-6</w:t>
            </w:r>
          </w:p>
        </w:tc>
        <w:tc>
          <w:tcPr>
            <w:tcW w:w="3118" w:type="dxa"/>
          </w:tcPr>
          <w:p w14:paraId="1649B5DF" w14:textId="3AFD289E" w:rsidR="004A109D" w:rsidRDefault="004A109D" w:rsidP="003C2A2C">
            <w:pPr>
              <w:spacing w:before="60" w:after="60"/>
              <w:jc w:val="left"/>
              <w:rPr>
                <w:sz w:val="20"/>
              </w:rPr>
            </w:pPr>
            <w:r w:rsidRPr="00B06CA9">
              <w:t>Walk-in coolrooms: large</w:t>
            </w:r>
          </w:p>
        </w:tc>
      </w:tr>
      <w:tr w:rsidR="004A109D" w:rsidRPr="00923150" w14:paraId="188DDFAA" w14:textId="77777777" w:rsidTr="001D1518">
        <w:trPr>
          <w:trHeight w:val="456"/>
        </w:trPr>
        <w:tc>
          <w:tcPr>
            <w:tcW w:w="851" w:type="dxa"/>
          </w:tcPr>
          <w:p w14:paraId="5DC3F1DF" w14:textId="1D0C1310" w:rsidR="004A109D" w:rsidRDefault="004A109D" w:rsidP="00215A1A">
            <w:pPr>
              <w:spacing w:before="60" w:after="60"/>
              <w:ind w:left="284" w:hanging="284"/>
              <w:jc w:val="center"/>
              <w:rPr>
                <w:sz w:val="20"/>
              </w:rPr>
            </w:pPr>
            <w:r w:rsidRPr="00B06CA9">
              <w:t>35</w:t>
            </w:r>
          </w:p>
        </w:tc>
        <w:tc>
          <w:tcPr>
            <w:tcW w:w="850" w:type="dxa"/>
            <w:vMerge/>
          </w:tcPr>
          <w:p w14:paraId="4122ED20" w14:textId="37B2AC0A" w:rsidR="004A109D" w:rsidRDefault="004A109D" w:rsidP="003C2A2C">
            <w:pPr>
              <w:spacing w:before="60" w:after="60"/>
              <w:jc w:val="center"/>
              <w:rPr>
                <w:sz w:val="20"/>
              </w:rPr>
            </w:pPr>
          </w:p>
        </w:tc>
        <w:tc>
          <w:tcPr>
            <w:tcW w:w="1134" w:type="dxa"/>
          </w:tcPr>
          <w:p w14:paraId="73EFBACA" w14:textId="1BFC0D34" w:rsidR="004A109D" w:rsidRDefault="004A109D" w:rsidP="003C2A2C">
            <w:pPr>
              <w:spacing w:before="60" w:after="60"/>
              <w:jc w:val="center"/>
              <w:rPr>
                <w:sz w:val="20"/>
              </w:rPr>
            </w:pPr>
            <w:r w:rsidRPr="00B06CA9">
              <w:t>RCFC1</w:t>
            </w:r>
          </w:p>
        </w:tc>
        <w:tc>
          <w:tcPr>
            <w:tcW w:w="2268" w:type="dxa"/>
          </w:tcPr>
          <w:p w14:paraId="4EDDD33D" w14:textId="3E07BF96" w:rsidR="004A109D" w:rsidRDefault="004A109D" w:rsidP="003C2A2C">
            <w:pPr>
              <w:spacing w:before="60" w:after="60"/>
              <w:jc w:val="left"/>
              <w:rPr>
                <w:sz w:val="20"/>
              </w:rPr>
            </w:pPr>
            <w:r w:rsidRPr="00B06CA9">
              <w:t>Unitary equipment</w:t>
            </w:r>
          </w:p>
        </w:tc>
        <w:tc>
          <w:tcPr>
            <w:tcW w:w="1418" w:type="dxa"/>
          </w:tcPr>
          <w:p w14:paraId="2EFDAEBE" w14:textId="618C30B4" w:rsidR="004A109D" w:rsidRDefault="004A109D" w:rsidP="003C2A2C">
            <w:pPr>
              <w:spacing w:before="60" w:after="60"/>
              <w:jc w:val="center"/>
              <w:rPr>
                <w:sz w:val="20"/>
              </w:rPr>
            </w:pPr>
            <w:r w:rsidRPr="00B06CA9">
              <w:t>RCFC1-7</w:t>
            </w:r>
          </w:p>
        </w:tc>
        <w:tc>
          <w:tcPr>
            <w:tcW w:w="3118" w:type="dxa"/>
          </w:tcPr>
          <w:p w14:paraId="552571DC" w14:textId="5A355D14" w:rsidR="004A109D" w:rsidRDefault="004A109D" w:rsidP="003C2A2C">
            <w:pPr>
              <w:spacing w:before="60" w:after="60"/>
              <w:jc w:val="left"/>
              <w:rPr>
                <w:sz w:val="20"/>
              </w:rPr>
            </w:pPr>
            <w:r w:rsidRPr="00B06CA9">
              <w:t>Beverage cooling (post mix)</w:t>
            </w:r>
          </w:p>
        </w:tc>
      </w:tr>
      <w:tr w:rsidR="004A109D" w:rsidRPr="00923150" w14:paraId="468DBB7B" w14:textId="77777777" w:rsidTr="001D1518">
        <w:trPr>
          <w:trHeight w:val="456"/>
        </w:trPr>
        <w:tc>
          <w:tcPr>
            <w:tcW w:w="851" w:type="dxa"/>
          </w:tcPr>
          <w:p w14:paraId="15CA2EF6" w14:textId="4C40B37D" w:rsidR="004A109D" w:rsidRDefault="004A109D" w:rsidP="00215A1A">
            <w:pPr>
              <w:spacing w:before="60" w:after="60"/>
              <w:ind w:left="284" w:hanging="284"/>
              <w:jc w:val="center"/>
              <w:rPr>
                <w:sz w:val="20"/>
              </w:rPr>
            </w:pPr>
            <w:r w:rsidRPr="00B06CA9">
              <w:t>36</w:t>
            </w:r>
          </w:p>
        </w:tc>
        <w:tc>
          <w:tcPr>
            <w:tcW w:w="850" w:type="dxa"/>
            <w:vMerge/>
          </w:tcPr>
          <w:p w14:paraId="087861AC" w14:textId="39036F33" w:rsidR="004A109D" w:rsidRDefault="004A109D" w:rsidP="003C2A2C">
            <w:pPr>
              <w:spacing w:before="60" w:after="60"/>
              <w:jc w:val="center"/>
              <w:rPr>
                <w:sz w:val="20"/>
              </w:rPr>
            </w:pPr>
          </w:p>
        </w:tc>
        <w:tc>
          <w:tcPr>
            <w:tcW w:w="1134" w:type="dxa"/>
          </w:tcPr>
          <w:p w14:paraId="0D47AFD8" w14:textId="40A19D32" w:rsidR="004A109D" w:rsidRDefault="004A109D" w:rsidP="003C2A2C">
            <w:pPr>
              <w:spacing w:before="60" w:after="60"/>
              <w:jc w:val="center"/>
              <w:rPr>
                <w:sz w:val="20"/>
              </w:rPr>
            </w:pPr>
            <w:r w:rsidRPr="00B06CA9">
              <w:t>RCFC1</w:t>
            </w:r>
          </w:p>
        </w:tc>
        <w:tc>
          <w:tcPr>
            <w:tcW w:w="2268" w:type="dxa"/>
          </w:tcPr>
          <w:p w14:paraId="1231B954" w14:textId="27E12576" w:rsidR="004A109D" w:rsidRDefault="004A109D" w:rsidP="003C2A2C">
            <w:pPr>
              <w:spacing w:before="60" w:after="60"/>
              <w:jc w:val="left"/>
              <w:rPr>
                <w:sz w:val="20"/>
              </w:rPr>
            </w:pPr>
            <w:r w:rsidRPr="00B06CA9">
              <w:t>Unitary equipment</w:t>
            </w:r>
          </w:p>
        </w:tc>
        <w:tc>
          <w:tcPr>
            <w:tcW w:w="1418" w:type="dxa"/>
          </w:tcPr>
          <w:p w14:paraId="189F8669" w14:textId="12447E4C" w:rsidR="004A109D" w:rsidRDefault="004A109D" w:rsidP="003C2A2C">
            <w:pPr>
              <w:spacing w:before="60" w:after="60"/>
              <w:jc w:val="center"/>
              <w:rPr>
                <w:sz w:val="20"/>
              </w:rPr>
            </w:pPr>
            <w:r w:rsidRPr="00B06CA9">
              <w:t>RCFC1-8</w:t>
            </w:r>
          </w:p>
        </w:tc>
        <w:tc>
          <w:tcPr>
            <w:tcW w:w="3118" w:type="dxa"/>
          </w:tcPr>
          <w:p w14:paraId="3AF43B25" w14:textId="68ADF0B7" w:rsidR="004A109D" w:rsidRDefault="004A109D" w:rsidP="003C2A2C">
            <w:pPr>
              <w:spacing w:before="60" w:after="60"/>
              <w:jc w:val="left"/>
              <w:rPr>
                <w:sz w:val="20"/>
              </w:rPr>
            </w:pPr>
            <w:r w:rsidRPr="00B06CA9">
              <w:t>Beverage cooling (beer)</w:t>
            </w:r>
          </w:p>
        </w:tc>
      </w:tr>
      <w:tr w:rsidR="004A109D" w:rsidRPr="00923150" w14:paraId="06D039C5" w14:textId="77777777" w:rsidTr="001D1518">
        <w:trPr>
          <w:trHeight w:val="456"/>
        </w:trPr>
        <w:tc>
          <w:tcPr>
            <w:tcW w:w="851" w:type="dxa"/>
          </w:tcPr>
          <w:p w14:paraId="465E2AA3" w14:textId="73F884C7" w:rsidR="004A109D" w:rsidRDefault="004A109D" w:rsidP="00215A1A">
            <w:pPr>
              <w:spacing w:before="60" w:after="60"/>
              <w:ind w:left="284" w:hanging="284"/>
              <w:jc w:val="center"/>
              <w:rPr>
                <w:sz w:val="20"/>
              </w:rPr>
            </w:pPr>
            <w:r w:rsidRPr="00B06CA9">
              <w:t>37</w:t>
            </w:r>
          </w:p>
        </w:tc>
        <w:tc>
          <w:tcPr>
            <w:tcW w:w="850" w:type="dxa"/>
            <w:vMerge/>
          </w:tcPr>
          <w:p w14:paraId="25967799" w14:textId="7ED57009" w:rsidR="004A109D" w:rsidRDefault="004A109D" w:rsidP="003C2A2C">
            <w:pPr>
              <w:spacing w:before="60" w:after="60"/>
              <w:jc w:val="center"/>
              <w:rPr>
                <w:sz w:val="20"/>
              </w:rPr>
            </w:pPr>
          </w:p>
        </w:tc>
        <w:tc>
          <w:tcPr>
            <w:tcW w:w="1134" w:type="dxa"/>
          </w:tcPr>
          <w:p w14:paraId="1876EDE5" w14:textId="5D9B881F" w:rsidR="004A109D" w:rsidRDefault="004A109D" w:rsidP="003C2A2C">
            <w:pPr>
              <w:spacing w:before="60" w:after="60"/>
              <w:jc w:val="center"/>
              <w:rPr>
                <w:sz w:val="20"/>
              </w:rPr>
            </w:pPr>
            <w:r w:rsidRPr="00B06CA9">
              <w:t>RCFC1</w:t>
            </w:r>
          </w:p>
        </w:tc>
        <w:tc>
          <w:tcPr>
            <w:tcW w:w="2268" w:type="dxa"/>
          </w:tcPr>
          <w:p w14:paraId="25911E58" w14:textId="58B0E9BB" w:rsidR="004A109D" w:rsidRDefault="004A109D" w:rsidP="003C2A2C">
            <w:pPr>
              <w:spacing w:before="60" w:after="60"/>
              <w:jc w:val="left"/>
              <w:rPr>
                <w:sz w:val="20"/>
              </w:rPr>
            </w:pPr>
            <w:r w:rsidRPr="00B06CA9">
              <w:t>Unitary equipment</w:t>
            </w:r>
          </w:p>
        </w:tc>
        <w:tc>
          <w:tcPr>
            <w:tcW w:w="1418" w:type="dxa"/>
          </w:tcPr>
          <w:p w14:paraId="4B45D9A1" w14:textId="07667811" w:rsidR="004A109D" w:rsidRDefault="004A109D" w:rsidP="003C2A2C">
            <w:pPr>
              <w:spacing w:before="60" w:after="60"/>
              <w:jc w:val="center"/>
              <w:rPr>
                <w:sz w:val="20"/>
              </w:rPr>
            </w:pPr>
            <w:r w:rsidRPr="00B06CA9">
              <w:t>RCFC1-9</w:t>
            </w:r>
          </w:p>
        </w:tc>
        <w:tc>
          <w:tcPr>
            <w:tcW w:w="3118" w:type="dxa"/>
          </w:tcPr>
          <w:p w14:paraId="51BAD027" w14:textId="0118EB70" w:rsidR="004A109D" w:rsidRDefault="004A109D" w:rsidP="003C2A2C">
            <w:pPr>
              <w:spacing w:before="60" w:after="60"/>
              <w:jc w:val="left"/>
              <w:rPr>
                <w:sz w:val="20"/>
              </w:rPr>
            </w:pPr>
            <w:r w:rsidRPr="00B06CA9">
              <w:t>Water dispensers (incl. bottle)</w:t>
            </w:r>
          </w:p>
        </w:tc>
      </w:tr>
      <w:tr w:rsidR="004A109D" w:rsidRPr="00923150" w14:paraId="4648BF66" w14:textId="77777777" w:rsidTr="001D1518">
        <w:trPr>
          <w:trHeight w:val="456"/>
        </w:trPr>
        <w:tc>
          <w:tcPr>
            <w:tcW w:w="851" w:type="dxa"/>
          </w:tcPr>
          <w:p w14:paraId="7D44E69F" w14:textId="340CD133" w:rsidR="004A109D" w:rsidRDefault="004A109D" w:rsidP="00215A1A">
            <w:pPr>
              <w:spacing w:before="60" w:after="60"/>
              <w:ind w:left="284" w:hanging="284"/>
              <w:jc w:val="center"/>
              <w:rPr>
                <w:sz w:val="20"/>
              </w:rPr>
            </w:pPr>
            <w:r w:rsidRPr="00B06CA9">
              <w:t>38</w:t>
            </w:r>
          </w:p>
        </w:tc>
        <w:tc>
          <w:tcPr>
            <w:tcW w:w="850" w:type="dxa"/>
            <w:vMerge/>
          </w:tcPr>
          <w:p w14:paraId="57505A78" w14:textId="42B006D1" w:rsidR="004A109D" w:rsidRDefault="004A109D" w:rsidP="003C2A2C">
            <w:pPr>
              <w:spacing w:before="60" w:after="60"/>
              <w:jc w:val="center"/>
              <w:rPr>
                <w:sz w:val="20"/>
              </w:rPr>
            </w:pPr>
          </w:p>
        </w:tc>
        <w:tc>
          <w:tcPr>
            <w:tcW w:w="1134" w:type="dxa"/>
          </w:tcPr>
          <w:p w14:paraId="40AB9F69" w14:textId="67DBAB02" w:rsidR="004A109D" w:rsidRDefault="004A109D" w:rsidP="003C2A2C">
            <w:pPr>
              <w:spacing w:before="60" w:after="60"/>
              <w:jc w:val="center"/>
              <w:rPr>
                <w:sz w:val="20"/>
              </w:rPr>
            </w:pPr>
            <w:r w:rsidRPr="00B06CA9">
              <w:t>RCFC1</w:t>
            </w:r>
          </w:p>
        </w:tc>
        <w:tc>
          <w:tcPr>
            <w:tcW w:w="2268" w:type="dxa"/>
          </w:tcPr>
          <w:p w14:paraId="130F559D" w14:textId="35F9DBA7" w:rsidR="004A109D" w:rsidRDefault="004A109D" w:rsidP="003C2A2C">
            <w:pPr>
              <w:spacing w:before="60" w:after="60"/>
              <w:jc w:val="left"/>
              <w:rPr>
                <w:sz w:val="20"/>
              </w:rPr>
            </w:pPr>
            <w:r w:rsidRPr="00B06CA9">
              <w:t>Unitary equipment</w:t>
            </w:r>
          </w:p>
        </w:tc>
        <w:tc>
          <w:tcPr>
            <w:tcW w:w="1418" w:type="dxa"/>
          </w:tcPr>
          <w:p w14:paraId="4E54330A" w14:textId="04BFD284" w:rsidR="004A109D" w:rsidRDefault="004A109D" w:rsidP="003C2A2C">
            <w:pPr>
              <w:spacing w:before="60" w:after="60"/>
              <w:jc w:val="center"/>
              <w:rPr>
                <w:sz w:val="20"/>
              </w:rPr>
            </w:pPr>
            <w:r w:rsidRPr="00B06CA9">
              <w:t>RCFC1-10</w:t>
            </w:r>
          </w:p>
        </w:tc>
        <w:tc>
          <w:tcPr>
            <w:tcW w:w="3118" w:type="dxa"/>
          </w:tcPr>
          <w:p w14:paraId="0F36D9A8" w14:textId="4DFBB5D8" w:rsidR="004A109D" w:rsidRDefault="004A109D" w:rsidP="003C2A2C">
            <w:pPr>
              <w:spacing w:before="60" w:after="60"/>
              <w:jc w:val="left"/>
              <w:rPr>
                <w:sz w:val="20"/>
              </w:rPr>
            </w:pPr>
            <w:r w:rsidRPr="00B06CA9">
              <w:t>Packaged liquid chillers</w:t>
            </w:r>
          </w:p>
        </w:tc>
      </w:tr>
      <w:tr w:rsidR="004A109D" w:rsidRPr="00923150" w14:paraId="632F40E5" w14:textId="77777777" w:rsidTr="001D1518">
        <w:trPr>
          <w:trHeight w:val="456"/>
        </w:trPr>
        <w:tc>
          <w:tcPr>
            <w:tcW w:w="851" w:type="dxa"/>
          </w:tcPr>
          <w:p w14:paraId="49187C77" w14:textId="4C7BF988" w:rsidR="004A109D" w:rsidRDefault="004A109D" w:rsidP="00215A1A">
            <w:pPr>
              <w:spacing w:before="60" w:after="60"/>
              <w:ind w:left="284" w:hanging="284"/>
              <w:jc w:val="center"/>
              <w:rPr>
                <w:sz w:val="20"/>
              </w:rPr>
            </w:pPr>
            <w:r w:rsidRPr="00B06CA9">
              <w:t>39</w:t>
            </w:r>
          </w:p>
        </w:tc>
        <w:tc>
          <w:tcPr>
            <w:tcW w:w="850" w:type="dxa"/>
            <w:vMerge/>
          </w:tcPr>
          <w:p w14:paraId="4B6BBAEB" w14:textId="186C18CE" w:rsidR="004A109D" w:rsidRDefault="004A109D" w:rsidP="003C2A2C">
            <w:pPr>
              <w:spacing w:before="60" w:after="60"/>
              <w:jc w:val="center"/>
              <w:rPr>
                <w:sz w:val="20"/>
              </w:rPr>
            </w:pPr>
          </w:p>
        </w:tc>
        <w:tc>
          <w:tcPr>
            <w:tcW w:w="1134" w:type="dxa"/>
          </w:tcPr>
          <w:p w14:paraId="7EEEB377" w14:textId="42C14C0D" w:rsidR="004A109D" w:rsidRDefault="004A109D" w:rsidP="003C2A2C">
            <w:pPr>
              <w:spacing w:before="60" w:after="60"/>
              <w:jc w:val="center"/>
              <w:rPr>
                <w:sz w:val="20"/>
              </w:rPr>
            </w:pPr>
            <w:r w:rsidRPr="00B06CA9">
              <w:t>RCFC1</w:t>
            </w:r>
          </w:p>
        </w:tc>
        <w:tc>
          <w:tcPr>
            <w:tcW w:w="2268" w:type="dxa"/>
          </w:tcPr>
          <w:p w14:paraId="2667E43A" w14:textId="731E7FD4" w:rsidR="004A109D" w:rsidRDefault="004A109D" w:rsidP="003C2A2C">
            <w:pPr>
              <w:spacing w:before="60" w:after="60"/>
              <w:jc w:val="left"/>
              <w:rPr>
                <w:sz w:val="20"/>
              </w:rPr>
            </w:pPr>
            <w:r w:rsidRPr="00B06CA9">
              <w:t>Unitary equipment</w:t>
            </w:r>
          </w:p>
        </w:tc>
        <w:tc>
          <w:tcPr>
            <w:tcW w:w="1418" w:type="dxa"/>
          </w:tcPr>
          <w:p w14:paraId="7AAB529E" w14:textId="131C8FDD" w:rsidR="004A109D" w:rsidRDefault="004A109D" w:rsidP="003C2A2C">
            <w:pPr>
              <w:spacing w:before="60" w:after="60"/>
              <w:jc w:val="center"/>
              <w:rPr>
                <w:sz w:val="20"/>
              </w:rPr>
            </w:pPr>
            <w:r w:rsidRPr="00B06CA9">
              <w:t>RCFC1-11</w:t>
            </w:r>
          </w:p>
        </w:tc>
        <w:tc>
          <w:tcPr>
            <w:tcW w:w="3118" w:type="dxa"/>
          </w:tcPr>
          <w:p w14:paraId="198D7787" w14:textId="49C7D16C" w:rsidR="004A109D" w:rsidRDefault="004A109D" w:rsidP="003C2A2C">
            <w:pPr>
              <w:spacing w:before="60" w:after="60"/>
              <w:jc w:val="left"/>
              <w:rPr>
                <w:sz w:val="20"/>
              </w:rPr>
            </w:pPr>
            <w:r w:rsidRPr="00B06CA9">
              <w:t>Milk vat refrigeration</w:t>
            </w:r>
          </w:p>
        </w:tc>
      </w:tr>
      <w:tr w:rsidR="004A109D" w:rsidRPr="00923150" w14:paraId="3471DE8B" w14:textId="77777777" w:rsidTr="001D1518">
        <w:trPr>
          <w:trHeight w:val="456"/>
        </w:trPr>
        <w:tc>
          <w:tcPr>
            <w:tcW w:w="851" w:type="dxa"/>
          </w:tcPr>
          <w:p w14:paraId="26D97CA4" w14:textId="11BA08A9" w:rsidR="004A109D" w:rsidRDefault="004A109D" w:rsidP="00215A1A">
            <w:pPr>
              <w:spacing w:before="60" w:after="60"/>
              <w:ind w:left="284" w:hanging="284"/>
              <w:jc w:val="center"/>
              <w:rPr>
                <w:sz w:val="20"/>
              </w:rPr>
            </w:pPr>
            <w:r w:rsidRPr="00B06CA9">
              <w:t>40</w:t>
            </w:r>
          </w:p>
        </w:tc>
        <w:tc>
          <w:tcPr>
            <w:tcW w:w="850" w:type="dxa"/>
            <w:vMerge/>
          </w:tcPr>
          <w:p w14:paraId="008F6531" w14:textId="09B30BEE" w:rsidR="004A109D" w:rsidRDefault="004A109D" w:rsidP="003C2A2C">
            <w:pPr>
              <w:spacing w:before="60" w:after="60"/>
              <w:jc w:val="center"/>
              <w:rPr>
                <w:sz w:val="20"/>
              </w:rPr>
            </w:pPr>
          </w:p>
        </w:tc>
        <w:tc>
          <w:tcPr>
            <w:tcW w:w="1134" w:type="dxa"/>
          </w:tcPr>
          <w:p w14:paraId="1829B277" w14:textId="0E722168" w:rsidR="004A109D" w:rsidRDefault="004A109D" w:rsidP="003C2A2C">
            <w:pPr>
              <w:spacing w:before="60" w:after="60"/>
              <w:jc w:val="center"/>
              <w:rPr>
                <w:sz w:val="20"/>
              </w:rPr>
            </w:pPr>
            <w:r w:rsidRPr="00B06CA9">
              <w:t>RCFC1</w:t>
            </w:r>
          </w:p>
        </w:tc>
        <w:tc>
          <w:tcPr>
            <w:tcW w:w="2268" w:type="dxa"/>
          </w:tcPr>
          <w:p w14:paraId="12B03269" w14:textId="5F68AC71" w:rsidR="004A109D" w:rsidRDefault="004A109D" w:rsidP="003C2A2C">
            <w:pPr>
              <w:spacing w:before="60" w:after="60"/>
              <w:jc w:val="left"/>
              <w:rPr>
                <w:sz w:val="20"/>
              </w:rPr>
            </w:pPr>
            <w:r w:rsidRPr="00B06CA9">
              <w:t>Unitary equipment</w:t>
            </w:r>
          </w:p>
        </w:tc>
        <w:tc>
          <w:tcPr>
            <w:tcW w:w="1418" w:type="dxa"/>
          </w:tcPr>
          <w:p w14:paraId="0C8AA773" w14:textId="0E358965" w:rsidR="004A109D" w:rsidRDefault="004A109D" w:rsidP="003C2A2C">
            <w:pPr>
              <w:spacing w:before="60" w:after="60"/>
              <w:jc w:val="center"/>
              <w:rPr>
                <w:sz w:val="20"/>
              </w:rPr>
            </w:pPr>
            <w:r w:rsidRPr="00B06CA9">
              <w:t>RCFC1-12</w:t>
            </w:r>
          </w:p>
        </w:tc>
        <w:tc>
          <w:tcPr>
            <w:tcW w:w="3118" w:type="dxa"/>
          </w:tcPr>
          <w:p w14:paraId="3E469293" w14:textId="36E4A68F" w:rsidR="004A109D" w:rsidRDefault="004A109D" w:rsidP="003C2A2C">
            <w:pPr>
              <w:spacing w:before="60" w:after="60"/>
              <w:jc w:val="left"/>
              <w:rPr>
                <w:sz w:val="20"/>
              </w:rPr>
            </w:pPr>
            <w:r w:rsidRPr="00B06CA9">
              <w:t>Portable refrigerators (commercial)</w:t>
            </w:r>
          </w:p>
        </w:tc>
      </w:tr>
      <w:tr w:rsidR="004A109D" w:rsidRPr="00923150" w14:paraId="2EEA951E" w14:textId="77777777" w:rsidTr="001D1518">
        <w:trPr>
          <w:trHeight w:val="456"/>
        </w:trPr>
        <w:tc>
          <w:tcPr>
            <w:tcW w:w="851" w:type="dxa"/>
          </w:tcPr>
          <w:p w14:paraId="0F734115" w14:textId="7CD67EA2" w:rsidR="004A109D" w:rsidRDefault="004A109D" w:rsidP="00215A1A">
            <w:pPr>
              <w:spacing w:before="60" w:after="60"/>
              <w:ind w:left="284" w:hanging="284"/>
              <w:jc w:val="center"/>
              <w:rPr>
                <w:sz w:val="20"/>
              </w:rPr>
            </w:pPr>
            <w:r w:rsidRPr="00B06CA9">
              <w:t>41</w:t>
            </w:r>
          </w:p>
        </w:tc>
        <w:tc>
          <w:tcPr>
            <w:tcW w:w="850" w:type="dxa"/>
            <w:vMerge/>
          </w:tcPr>
          <w:p w14:paraId="53947A26" w14:textId="48A326CA" w:rsidR="004A109D" w:rsidRDefault="004A109D" w:rsidP="003C2A2C">
            <w:pPr>
              <w:spacing w:before="60" w:after="60"/>
              <w:jc w:val="center"/>
              <w:rPr>
                <w:sz w:val="20"/>
              </w:rPr>
            </w:pPr>
          </w:p>
        </w:tc>
        <w:tc>
          <w:tcPr>
            <w:tcW w:w="1134" w:type="dxa"/>
          </w:tcPr>
          <w:p w14:paraId="021EF480" w14:textId="5DC809C3" w:rsidR="004A109D" w:rsidRDefault="004A109D" w:rsidP="003C2A2C">
            <w:pPr>
              <w:spacing w:before="60" w:after="60"/>
              <w:jc w:val="center"/>
              <w:rPr>
                <w:sz w:val="20"/>
              </w:rPr>
            </w:pPr>
            <w:r w:rsidRPr="00B06CA9">
              <w:t>RCFC2</w:t>
            </w:r>
          </w:p>
        </w:tc>
        <w:tc>
          <w:tcPr>
            <w:tcW w:w="2268" w:type="dxa"/>
          </w:tcPr>
          <w:p w14:paraId="78968D2A" w14:textId="5E2B537B" w:rsidR="004A109D" w:rsidRDefault="004A109D" w:rsidP="003C2A2C">
            <w:pPr>
              <w:spacing w:before="60" w:after="60"/>
              <w:jc w:val="left"/>
              <w:rPr>
                <w:sz w:val="20"/>
              </w:rPr>
            </w:pPr>
            <w:r w:rsidRPr="00B06CA9">
              <w:t>Transport refrigeration</w:t>
            </w:r>
          </w:p>
        </w:tc>
        <w:tc>
          <w:tcPr>
            <w:tcW w:w="1418" w:type="dxa"/>
          </w:tcPr>
          <w:p w14:paraId="42B28D14" w14:textId="3F2E8720" w:rsidR="004A109D" w:rsidRDefault="004A109D" w:rsidP="003C2A2C">
            <w:pPr>
              <w:spacing w:before="60" w:after="60"/>
              <w:jc w:val="center"/>
              <w:rPr>
                <w:sz w:val="20"/>
              </w:rPr>
            </w:pPr>
            <w:r w:rsidRPr="00B06CA9">
              <w:t>RCFC2-1</w:t>
            </w:r>
          </w:p>
        </w:tc>
        <w:tc>
          <w:tcPr>
            <w:tcW w:w="3118" w:type="dxa"/>
          </w:tcPr>
          <w:p w14:paraId="56DB1CBE" w14:textId="7702B09C" w:rsidR="004A109D" w:rsidRDefault="004A109D" w:rsidP="003C2A2C">
            <w:pPr>
              <w:spacing w:before="60" w:after="60"/>
              <w:jc w:val="left"/>
              <w:rPr>
                <w:sz w:val="20"/>
              </w:rPr>
            </w:pPr>
            <w:r w:rsidRPr="00B06CA9">
              <w:t>Mobile refrigeration: road: trailer - inter-modal</w:t>
            </w:r>
          </w:p>
        </w:tc>
      </w:tr>
      <w:tr w:rsidR="004A109D" w:rsidRPr="00923150" w14:paraId="0646F54F" w14:textId="77777777" w:rsidTr="001D1518">
        <w:trPr>
          <w:trHeight w:val="456"/>
        </w:trPr>
        <w:tc>
          <w:tcPr>
            <w:tcW w:w="851" w:type="dxa"/>
          </w:tcPr>
          <w:p w14:paraId="78676F8B" w14:textId="3D3E56A5" w:rsidR="004A109D" w:rsidRDefault="004A109D" w:rsidP="00215A1A">
            <w:pPr>
              <w:spacing w:before="60" w:after="60"/>
              <w:ind w:left="284" w:hanging="284"/>
              <w:jc w:val="center"/>
              <w:rPr>
                <w:sz w:val="20"/>
              </w:rPr>
            </w:pPr>
            <w:r w:rsidRPr="00B06CA9">
              <w:t>42</w:t>
            </w:r>
          </w:p>
        </w:tc>
        <w:tc>
          <w:tcPr>
            <w:tcW w:w="850" w:type="dxa"/>
            <w:vMerge/>
          </w:tcPr>
          <w:p w14:paraId="332F2AEC" w14:textId="303AB23F" w:rsidR="004A109D" w:rsidRDefault="004A109D" w:rsidP="003C2A2C">
            <w:pPr>
              <w:spacing w:before="60" w:after="60"/>
              <w:jc w:val="center"/>
              <w:rPr>
                <w:sz w:val="20"/>
              </w:rPr>
            </w:pPr>
          </w:p>
        </w:tc>
        <w:tc>
          <w:tcPr>
            <w:tcW w:w="1134" w:type="dxa"/>
          </w:tcPr>
          <w:p w14:paraId="338E6A4A" w14:textId="4ACC1705" w:rsidR="004A109D" w:rsidRDefault="004A109D" w:rsidP="003C2A2C">
            <w:pPr>
              <w:spacing w:before="60" w:after="60"/>
              <w:jc w:val="center"/>
              <w:rPr>
                <w:sz w:val="20"/>
              </w:rPr>
            </w:pPr>
            <w:r w:rsidRPr="00B06CA9">
              <w:t>RCFC2</w:t>
            </w:r>
          </w:p>
        </w:tc>
        <w:tc>
          <w:tcPr>
            <w:tcW w:w="2268" w:type="dxa"/>
          </w:tcPr>
          <w:p w14:paraId="79906874" w14:textId="034ACB1D" w:rsidR="004A109D" w:rsidRDefault="004A109D" w:rsidP="003C2A2C">
            <w:pPr>
              <w:spacing w:before="60" w:after="60"/>
              <w:jc w:val="left"/>
              <w:rPr>
                <w:sz w:val="20"/>
              </w:rPr>
            </w:pPr>
            <w:r w:rsidRPr="00B06CA9">
              <w:t>Transport refrigeration</w:t>
            </w:r>
          </w:p>
        </w:tc>
        <w:tc>
          <w:tcPr>
            <w:tcW w:w="1418" w:type="dxa"/>
          </w:tcPr>
          <w:p w14:paraId="34042699" w14:textId="7273742C" w:rsidR="004A109D" w:rsidRDefault="004A109D" w:rsidP="003C2A2C">
            <w:pPr>
              <w:spacing w:before="60" w:after="60"/>
              <w:jc w:val="center"/>
              <w:rPr>
                <w:sz w:val="20"/>
              </w:rPr>
            </w:pPr>
            <w:r w:rsidRPr="00B06CA9">
              <w:t>RCFC2-2</w:t>
            </w:r>
          </w:p>
        </w:tc>
        <w:tc>
          <w:tcPr>
            <w:tcW w:w="3118" w:type="dxa"/>
          </w:tcPr>
          <w:p w14:paraId="1E498A2F" w14:textId="523CBA03" w:rsidR="004A109D" w:rsidRDefault="004A109D" w:rsidP="003C2A2C">
            <w:pPr>
              <w:spacing w:before="60" w:after="60"/>
              <w:jc w:val="left"/>
              <w:rPr>
                <w:sz w:val="20"/>
              </w:rPr>
            </w:pPr>
            <w:r w:rsidRPr="00B06CA9">
              <w:t>Mobile refrigeration: road: diesel drive</w:t>
            </w:r>
          </w:p>
        </w:tc>
      </w:tr>
      <w:tr w:rsidR="004A109D" w:rsidRPr="00923150" w14:paraId="660EA0DC" w14:textId="77777777" w:rsidTr="001D1518">
        <w:trPr>
          <w:trHeight w:val="456"/>
        </w:trPr>
        <w:tc>
          <w:tcPr>
            <w:tcW w:w="851" w:type="dxa"/>
          </w:tcPr>
          <w:p w14:paraId="1BFB417F" w14:textId="7EB8F302" w:rsidR="004A109D" w:rsidRDefault="004A109D" w:rsidP="00215A1A">
            <w:pPr>
              <w:spacing w:before="60" w:after="60"/>
              <w:ind w:left="284" w:hanging="284"/>
              <w:jc w:val="center"/>
              <w:rPr>
                <w:sz w:val="20"/>
              </w:rPr>
            </w:pPr>
            <w:r w:rsidRPr="00B06CA9">
              <w:t>43</w:t>
            </w:r>
          </w:p>
        </w:tc>
        <w:tc>
          <w:tcPr>
            <w:tcW w:w="850" w:type="dxa"/>
            <w:vMerge/>
          </w:tcPr>
          <w:p w14:paraId="110C6A86" w14:textId="32F0D4F9" w:rsidR="004A109D" w:rsidRDefault="004A109D" w:rsidP="003C2A2C">
            <w:pPr>
              <w:spacing w:before="60" w:after="60"/>
              <w:jc w:val="center"/>
              <w:rPr>
                <w:sz w:val="20"/>
              </w:rPr>
            </w:pPr>
          </w:p>
        </w:tc>
        <w:tc>
          <w:tcPr>
            <w:tcW w:w="1134" w:type="dxa"/>
          </w:tcPr>
          <w:p w14:paraId="245F51CD" w14:textId="22C45D70" w:rsidR="004A109D" w:rsidRDefault="004A109D" w:rsidP="003C2A2C">
            <w:pPr>
              <w:spacing w:before="60" w:after="60"/>
              <w:jc w:val="center"/>
              <w:rPr>
                <w:sz w:val="20"/>
              </w:rPr>
            </w:pPr>
            <w:r w:rsidRPr="00B06CA9">
              <w:t>RCFC2</w:t>
            </w:r>
          </w:p>
        </w:tc>
        <w:tc>
          <w:tcPr>
            <w:tcW w:w="2268" w:type="dxa"/>
          </w:tcPr>
          <w:p w14:paraId="77D1E502" w14:textId="7E93DC14" w:rsidR="004A109D" w:rsidRDefault="004A109D" w:rsidP="003C2A2C">
            <w:pPr>
              <w:spacing w:before="60" w:after="60"/>
              <w:jc w:val="left"/>
              <w:rPr>
                <w:sz w:val="20"/>
              </w:rPr>
            </w:pPr>
            <w:r w:rsidRPr="00B06CA9">
              <w:t>Transport refrigeration</w:t>
            </w:r>
          </w:p>
        </w:tc>
        <w:tc>
          <w:tcPr>
            <w:tcW w:w="1418" w:type="dxa"/>
          </w:tcPr>
          <w:p w14:paraId="4A4B7F21" w14:textId="37A3CAAC" w:rsidR="004A109D" w:rsidRDefault="004A109D" w:rsidP="003C2A2C">
            <w:pPr>
              <w:spacing w:before="60" w:after="60"/>
              <w:jc w:val="center"/>
              <w:rPr>
                <w:sz w:val="20"/>
              </w:rPr>
            </w:pPr>
            <w:r w:rsidRPr="00B06CA9">
              <w:t>RCFC2-3</w:t>
            </w:r>
          </w:p>
        </w:tc>
        <w:tc>
          <w:tcPr>
            <w:tcW w:w="3118" w:type="dxa"/>
          </w:tcPr>
          <w:p w14:paraId="4D58E323" w14:textId="21A3059F" w:rsidR="004A109D" w:rsidRDefault="004A109D" w:rsidP="003C2A2C">
            <w:pPr>
              <w:spacing w:before="60" w:after="60"/>
              <w:jc w:val="left"/>
              <w:rPr>
                <w:sz w:val="20"/>
              </w:rPr>
            </w:pPr>
            <w:r w:rsidRPr="00B06CA9">
              <w:t>Mobile refrigeration: road: off engine</w:t>
            </w:r>
          </w:p>
        </w:tc>
      </w:tr>
      <w:tr w:rsidR="004A109D" w:rsidRPr="00923150" w14:paraId="7793CF4A" w14:textId="77777777" w:rsidTr="001D1518">
        <w:trPr>
          <w:trHeight w:val="456"/>
        </w:trPr>
        <w:tc>
          <w:tcPr>
            <w:tcW w:w="851" w:type="dxa"/>
          </w:tcPr>
          <w:p w14:paraId="5A3E0E62" w14:textId="061B7623" w:rsidR="004A109D" w:rsidRDefault="004A109D" w:rsidP="00215A1A">
            <w:pPr>
              <w:spacing w:before="60" w:after="60"/>
              <w:ind w:left="284" w:hanging="284"/>
              <w:jc w:val="center"/>
              <w:rPr>
                <w:sz w:val="20"/>
              </w:rPr>
            </w:pPr>
            <w:r w:rsidRPr="00B06CA9">
              <w:t>44</w:t>
            </w:r>
          </w:p>
        </w:tc>
        <w:tc>
          <w:tcPr>
            <w:tcW w:w="850" w:type="dxa"/>
            <w:vMerge/>
          </w:tcPr>
          <w:p w14:paraId="19BAA61D" w14:textId="57985B6F" w:rsidR="004A109D" w:rsidRDefault="004A109D" w:rsidP="003C2A2C">
            <w:pPr>
              <w:spacing w:before="60" w:after="60"/>
              <w:jc w:val="center"/>
              <w:rPr>
                <w:sz w:val="20"/>
              </w:rPr>
            </w:pPr>
          </w:p>
        </w:tc>
        <w:tc>
          <w:tcPr>
            <w:tcW w:w="1134" w:type="dxa"/>
          </w:tcPr>
          <w:p w14:paraId="28835837" w14:textId="5BDEC5C7" w:rsidR="004A109D" w:rsidRDefault="004A109D" w:rsidP="003C2A2C">
            <w:pPr>
              <w:spacing w:before="60" w:after="60"/>
              <w:jc w:val="center"/>
              <w:rPr>
                <w:sz w:val="20"/>
              </w:rPr>
            </w:pPr>
            <w:r w:rsidRPr="00B06CA9">
              <w:t>RCFC2</w:t>
            </w:r>
          </w:p>
        </w:tc>
        <w:tc>
          <w:tcPr>
            <w:tcW w:w="2268" w:type="dxa"/>
          </w:tcPr>
          <w:p w14:paraId="51DBF9DD" w14:textId="64292AE0" w:rsidR="004A109D" w:rsidRDefault="004A109D" w:rsidP="003C2A2C">
            <w:pPr>
              <w:spacing w:before="60" w:after="60"/>
              <w:jc w:val="left"/>
              <w:rPr>
                <w:sz w:val="20"/>
              </w:rPr>
            </w:pPr>
            <w:r w:rsidRPr="00B06CA9">
              <w:t>Transport refrigeration</w:t>
            </w:r>
          </w:p>
        </w:tc>
        <w:tc>
          <w:tcPr>
            <w:tcW w:w="1418" w:type="dxa"/>
          </w:tcPr>
          <w:p w14:paraId="7F0D82DA" w14:textId="6751B925" w:rsidR="004A109D" w:rsidRDefault="004A109D" w:rsidP="003C2A2C">
            <w:pPr>
              <w:spacing w:before="60" w:after="60"/>
              <w:jc w:val="center"/>
              <w:rPr>
                <w:sz w:val="20"/>
              </w:rPr>
            </w:pPr>
            <w:r w:rsidRPr="00B06CA9">
              <w:t>RCFC2-4</w:t>
            </w:r>
          </w:p>
        </w:tc>
        <w:tc>
          <w:tcPr>
            <w:tcW w:w="3118" w:type="dxa"/>
          </w:tcPr>
          <w:p w14:paraId="4461D0CB" w14:textId="4538B3D5" w:rsidR="004A109D" w:rsidRDefault="004A109D" w:rsidP="003C2A2C">
            <w:pPr>
              <w:spacing w:before="60" w:after="60"/>
              <w:jc w:val="left"/>
              <w:rPr>
                <w:sz w:val="20"/>
              </w:rPr>
            </w:pPr>
            <w:r w:rsidRPr="00B06CA9">
              <w:t>Mobile refrigeration: marine</w:t>
            </w:r>
          </w:p>
        </w:tc>
      </w:tr>
      <w:tr w:rsidR="004A109D" w:rsidRPr="00923150" w14:paraId="1294AC4D" w14:textId="77777777" w:rsidTr="001D1518">
        <w:trPr>
          <w:trHeight w:val="456"/>
        </w:trPr>
        <w:tc>
          <w:tcPr>
            <w:tcW w:w="851" w:type="dxa"/>
          </w:tcPr>
          <w:p w14:paraId="7C843806" w14:textId="2B57C1BB" w:rsidR="004A109D" w:rsidRDefault="004A109D" w:rsidP="00215A1A">
            <w:pPr>
              <w:spacing w:before="60" w:after="60"/>
              <w:ind w:left="284" w:hanging="284"/>
              <w:jc w:val="center"/>
              <w:rPr>
                <w:sz w:val="20"/>
              </w:rPr>
            </w:pPr>
            <w:r w:rsidRPr="00B06CA9">
              <w:t>45</w:t>
            </w:r>
          </w:p>
        </w:tc>
        <w:tc>
          <w:tcPr>
            <w:tcW w:w="850" w:type="dxa"/>
            <w:vMerge/>
          </w:tcPr>
          <w:p w14:paraId="77663EFA" w14:textId="18DE0C38" w:rsidR="004A109D" w:rsidRDefault="004A109D" w:rsidP="003C2A2C">
            <w:pPr>
              <w:spacing w:before="60" w:after="60"/>
              <w:jc w:val="center"/>
              <w:rPr>
                <w:sz w:val="20"/>
              </w:rPr>
            </w:pPr>
          </w:p>
        </w:tc>
        <w:tc>
          <w:tcPr>
            <w:tcW w:w="1134" w:type="dxa"/>
          </w:tcPr>
          <w:p w14:paraId="288B0651" w14:textId="6ADC1C4E" w:rsidR="004A109D" w:rsidRDefault="004A109D" w:rsidP="003C2A2C">
            <w:pPr>
              <w:spacing w:before="60" w:after="60"/>
              <w:jc w:val="center"/>
              <w:rPr>
                <w:sz w:val="20"/>
              </w:rPr>
            </w:pPr>
            <w:r w:rsidRPr="00B06CA9">
              <w:t>RCFC3</w:t>
            </w:r>
          </w:p>
        </w:tc>
        <w:tc>
          <w:tcPr>
            <w:tcW w:w="2268" w:type="dxa"/>
          </w:tcPr>
          <w:p w14:paraId="787E10E3" w14:textId="1936C8C3" w:rsidR="004A109D" w:rsidRDefault="004A109D" w:rsidP="003C2A2C">
            <w:pPr>
              <w:spacing w:before="60" w:after="60"/>
              <w:jc w:val="left"/>
              <w:rPr>
                <w:sz w:val="20"/>
              </w:rPr>
            </w:pPr>
            <w:r w:rsidRPr="00B06CA9">
              <w:t>Supermarkets</w:t>
            </w:r>
          </w:p>
        </w:tc>
        <w:tc>
          <w:tcPr>
            <w:tcW w:w="1418" w:type="dxa"/>
          </w:tcPr>
          <w:p w14:paraId="175ACEE7" w14:textId="65C08E05" w:rsidR="004A109D" w:rsidRDefault="004A109D" w:rsidP="003C2A2C">
            <w:pPr>
              <w:spacing w:before="60" w:after="60"/>
              <w:jc w:val="center"/>
              <w:rPr>
                <w:sz w:val="20"/>
              </w:rPr>
            </w:pPr>
            <w:r w:rsidRPr="00B06CA9">
              <w:t>RCFC3-1</w:t>
            </w:r>
          </w:p>
        </w:tc>
        <w:tc>
          <w:tcPr>
            <w:tcW w:w="3118" w:type="dxa"/>
          </w:tcPr>
          <w:p w14:paraId="11C01FE7" w14:textId="271543F6" w:rsidR="004A109D" w:rsidRDefault="004A109D" w:rsidP="003C2A2C">
            <w:pPr>
              <w:spacing w:before="60" w:after="60"/>
              <w:jc w:val="left"/>
              <w:rPr>
                <w:sz w:val="20"/>
              </w:rPr>
            </w:pPr>
            <w:r w:rsidRPr="00B06CA9">
              <w:t>Supermarket refrigeration: small</w:t>
            </w:r>
          </w:p>
        </w:tc>
      </w:tr>
      <w:tr w:rsidR="004A109D" w:rsidRPr="00923150" w14:paraId="7E80D2F0" w14:textId="77777777" w:rsidTr="001D1518">
        <w:trPr>
          <w:trHeight w:val="456"/>
        </w:trPr>
        <w:tc>
          <w:tcPr>
            <w:tcW w:w="851" w:type="dxa"/>
          </w:tcPr>
          <w:p w14:paraId="6CA2AF1B" w14:textId="75DD0EA7" w:rsidR="004A109D" w:rsidRDefault="004A109D" w:rsidP="00215A1A">
            <w:pPr>
              <w:spacing w:before="60" w:after="60"/>
              <w:ind w:left="284" w:hanging="284"/>
              <w:jc w:val="center"/>
              <w:rPr>
                <w:sz w:val="20"/>
              </w:rPr>
            </w:pPr>
            <w:r w:rsidRPr="00B06CA9">
              <w:t>46</w:t>
            </w:r>
          </w:p>
        </w:tc>
        <w:tc>
          <w:tcPr>
            <w:tcW w:w="850" w:type="dxa"/>
            <w:vMerge/>
          </w:tcPr>
          <w:p w14:paraId="3824944C" w14:textId="04A55D0D" w:rsidR="004A109D" w:rsidRDefault="004A109D" w:rsidP="003C2A2C">
            <w:pPr>
              <w:spacing w:before="60" w:after="60"/>
              <w:jc w:val="center"/>
              <w:rPr>
                <w:sz w:val="20"/>
              </w:rPr>
            </w:pPr>
          </w:p>
        </w:tc>
        <w:tc>
          <w:tcPr>
            <w:tcW w:w="1134" w:type="dxa"/>
          </w:tcPr>
          <w:p w14:paraId="6E59FA41" w14:textId="69807F0C" w:rsidR="004A109D" w:rsidRDefault="004A109D" w:rsidP="003C2A2C">
            <w:pPr>
              <w:spacing w:before="60" w:after="60"/>
              <w:jc w:val="center"/>
              <w:rPr>
                <w:sz w:val="20"/>
              </w:rPr>
            </w:pPr>
            <w:r w:rsidRPr="00B06CA9">
              <w:t>RCFC3</w:t>
            </w:r>
          </w:p>
        </w:tc>
        <w:tc>
          <w:tcPr>
            <w:tcW w:w="2268" w:type="dxa"/>
          </w:tcPr>
          <w:p w14:paraId="0CE276DE" w14:textId="14ED2A72" w:rsidR="004A109D" w:rsidRDefault="004A109D" w:rsidP="003C2A2C">
            <w:pPr>
              <w:spacing w:before="60" w:after="60"/>
              <w:jc w:val="left"/>
              <w:rPr>
                <w:sz w:val="20"/>
              </w:rPr>
            </w:pPr>
            <w:r w:rsidRPr="00B06CA9">
              <w:t>Supermarkets</w:t>
            </w:r>
          </w:p>
        </w:tc>
        <w:tc>
          <w:tcPr>
            <w:tcW w:w="1418" w:type="dxa"/>
          </w:tcPr>
          <w:p w14:paraId="66F6E1D0" w14:textId="20DC9983" w:rsidR="004A109D" w:rsidRDefault="004A109D" w:rsidP="003C2A2C">
            <w:pPr>
              <w:spacing w:before="60" w:after="60"/>
              <w:jc w:val="center"/>
              <w:rPr>
                <w:sz w:val="20"/>
              </w:rPr>
            </w:pPr>
            <w:r w:rsidRPr="00B06CA9">
              <w:t>RCFC3-2</w:t>
            </w:r>
          </w:p>
        </w:tc>
        <w:tc>
          <w:tcPr>
            <w:tcW w:w="3118" w:type="dxa"/>
          </w:tcPr>
          <w:p w14:paraId="2841C720" w14:textId="49F9FC59" w:rsidR="004A109D" w:rsidRDefault="004A109D" w:rsidP="003C2A2C">
            <w:pPr>
              <w:spacing w:before="60" w:after="60"/>
              <w:jc w:val="left"/>
              <w:rPr>
                <w:sz w:val="20"/>
              </w:rPr>
            </w:pPr>
            <w:r w:rsidRPr="00B06CA9">
              <w:t xml:space="preserve">Supermarket refrigeration: </w:t>
            </w:r>
            <w:r w:rsidRPr="00B06CA9">
              <w:lastRenderedPageBreak/>
              <w:t>medium</w:t>
            </w:r>
          </w:p>
        </w:tc>
      </w:tr>
      <w:tr w:rsidR="004A109D" w:rsidRPr="00923150" w14:paraId="4C8EF51B" w14:textId="77777777" w:rsidTr="001D1518">
        <w:trPr>
          <w:trHeight w:val="456"/>
        </w:trPr>
        <w:tc>
          <w:tcPr>
            <w:tcW w:w="851" w:type="dxa"/>
          </w:tcPr>
          <w:p w14:paraId="4BBC3BE2" w14:textId="1652C04C" w:rsidR="004A109D" w:rsidRDefault="004A109D" w:rsidP="00215A1A">
            <w:pPr>
              <w:spacing w:before="60" w:after="60"/>
              <w:ind w:left="284" w:hanging="284"/>
              <w:jc w:val="center"/>
              <w:rPr>
                <w:sz w:val="20"/>
              </w:rPr>
            </w:pPr>
            <w:r w:rsidRPr="00B06CA9">
              <w:lastRenderedPageBreak/>
              <w:t>47</w:t>
            </w:r>
          </w:p>
        </w:tc>
        <w:tc>
          <w:tcPr>
            <w:tcW w:w="850" w:type="dxa"/>
            <w:vMerge/>
          </w:tcPr>
          <w:p w14:paraId="0F522EF6" w14:textId="3B635E61" w:rsidR="004A109D" w:rsidRDefault="004A109D" w:rsidP="003C2A2C">
            <w:pPr>
              <w:spacing w:before="60" w:after="60"/>
              <w:jc w:val="center"/>
              <w:rPr>
                <w:sz w:val="20"/>
              </w:rPr>
            </w:pPr>
          </w:p>
        </w:tc>
        <w:tc>
          <w:tcPr>
            <w:tcW w:w="1134" w:type="dxa"/>
          </w:tcPr>
          <w:p w14:paraId="5EE04F62" w14:textId="0D125ED9" w:rsidR="004A109D" w:rsidRDefault="004A109D" w:rsidP="003C2A2C">
            <w:pPr>
              <w:spacing w:before="60" w:after="60"/>
              <w:jc w:val="center"/>
              <w:rPr>
                <w:sz w:val="20"/>
              </w:rPr>
            </w:pPr>
            <w:r w:rsidRPr="00B06CA9">
              <w:t>RCFC3</w:t>
            </w:r>
          </w:p>
        </w:tc>
        <w:tc>
          <w:tcPr>
            <w:tcW w:w="2268" w:type="dxa"/>
          </w:tcPr>
          <w:p w14:paraId="5E524F65" w14:textId="25ECCB45" w:rsidR="004A109D" w:rsidRDefault="004A109D" w:rsidP="003C2A2C">
            <w:pPr>
              <w:spacing w:before="60" w:after="60"/>
              <w:jc w:val="left"/>
              <w:rPr>
                <w:sz w:val="20"/>
              </w:rPr>
            </w:pPr>
            <w:r w:rsidRPr="00B06CA9">
              <w:t>Supermarkets</w:t>
            </w:r>
          </w:p>
        </w:tc>
        <w:tc>
          <w:tcPr>
            <w:tcW w:w="1418" w:type="dxa"/>
          </w:tcPr>
          <w:p w14:paraId="16BCCC02" w14:textId="6A04D997" w:rsidR="004A109D" w:rsidRDefault="004A109D" w:rsidP="003C2A2C">
            <w:pPr>
              <w:spacing w:before="60" w:after="60"/>
              <w:jc w:val="center"/>
              <w:rPr>
                <w:sz w:val="20"/>
              </w:rPr>
            </w:pPr>
            <w:r w:rsidRPr="00B06CA9">
              <w:t>RCFC3-3</w:t>
            </w:r>
          </w:p>
        </w:tc>
        <w:tc>
          <w:tcPr>
            <w:tcW w:w="3118" w:type="dxa"/>
          </w:tcPr>
          <w:p w14:paraId="63EB14EF" w14:textId="571C7109" w:rsidR="004A109D" w:rsidRDefault="004A109D" w:rsidP="003C2A2C">
            <w:pPr>
              <w:spacing w:before="60" w:after="60"/>
              <w:jc w:val="left"/>
              <w:rPr>
                <w:sz w:val="20"/>
              </w:rPr>
            </w:pPr>
            <w:r w:rsidRPr="00B06CA9">
              <w:t>Supermarket refrigeration: large</w:t>
            </w:r>
          </w:p>
        </w:tc>
      </w:tr>
      <w:tr w:rsidR="004A109D" w:rsidRPr="00923150" w14:paraId="03944EBE" w14:textId="77777777" w:rsidTr="001D1518">
        <w:trPr>
          <w:trHeight w:val="456"/>
        </w:trPr>
        <w:tc>
          <w:tcPr>
            <w:tcW w:w="851" w:type="dxa"/>
          </w:tcPr>
          <w:p w14:paraId="235DF64F" w14:textId="792957C8" w:rsidR="004A109D" w:rsidRDefault="004A109D" w:rsidP="00215A1A">
            <w:pPr>
              <w:spacing w:before="60" w:after="60"/>
              <w:ind w:left="284" w:hanging="284"/>
              <w:jc w:val="center"/>
              <w:rPr>
                <w:sz w:val="20"/>
              </w:rPr>
            </w:pPr>
            <w:r w:rsidRPr="00B06CA9">
              <w:t>48</w:t>
            </w:r>
          </w:p>
        </w:tc>
        <w:tc>
          <w:tcPr>
            <w:tcW w:w="850" w:type="dxa"/>
            <w:vMerge/>
          </w:tcPr>
          <w:p w14:paraId="66BF04F2" w14:textId="0F9D55E7" w:rsidR="004A109D" w:rsidRDefault="004A109D" w:rsidP="003C2A2C">
            <w:pPr>
              <w:spacing w:before="60" w:after="60"/>
              <w:jc w:val="center"/>
              <w:rPr>
                <w:sz w:val="20"/>
              </w:rPr>
            </w:pPr>
          </w:p>
        </w:tc>
        <w:tc>
          <w:tcPr>
            <w:tcW w:w="1134" w:type="dxa"/>
          </w:tcPr>
          <w:p w14:paraId="492DA65C" w14:textId="42199AFA" w:rsidR="004A109D" w:rsidRDefault="004A109D" w:rsidP="003C2A2C">
            <w:pPr>
              <w:spacing w:before="60" w:after="60"/>
              <w:jc w:val="center"/>
              <w:rPr>
                <w:sz w:val="20"/>
              </w:rPr>
            </w:pPr>
            <w:r w:rsidRPr="00B06CA9">
              <w:t>RCFC4</w:t>
            </w:r>
          </w:p>
        </w:tc>
        <w:tc>
          <w:tcPr>
            <w:tcW w:w="2268" w:type="dxa"/>
          </w:tcPr>
          <w:p w14:paraId="7753E738" w14:textId="6B5B4475" w:rsidR="004A109D" w:rsidRDefault="004A109D" w:rsidP="003C2A2C">
            <w:pPr>
              <w:spacing w:before="60" w:after="60"/>
              <w:jc w:val="left"/>
              <w:rPr>
                <w:sz w:val="20"/>
              </w:rPr>
            </w:pPr>
            <w:r w:rsidRPr="00B06CA9">
              <w:t>Hospital refrigeration</w:t>
            </w:r>
          </w:p>
        </w:tc>
        <w:tc>
          <w:tcPr>
            <w:tcW w:w="1418" w:type="dxa"/>
          </w:tcPr>
          <w:p w14:paraId="68DA3A57" w14:textId="275E1BF7" w:rsidR="004A109D" w:rsidRDefault="004A109D" w:rsidP="003C2A2C">
            <w:pPr>
              <w:spacing w:before="60" w:after="60"/>
              <w:jc w:val="center"/>
              <w:rPr>
                <w:sz w:val="20"/>
              </w:rPr>
            </w:pPr>
            <w:r w:rsidRPr="00B06CA9">
              <w:t>RCFC4</w:t>
            </w:r>
          </w:p>
        </w:tc>
        <w:tc>
          <w:tcPr>
            <w:tcW w:w="3118" w:type="dxa"/>
          </w:tcPr>
          <w:p w14:paraId="16FD0422" w14:textId="60639617" w:rsidR="004A109D" w:rsidRDefault="004A109D" w:rsidP="003C2A2C">
            <w:pPr>
              <w:spacing w:before="60" w:after="60"/>
              <w:jc w:val="left"/>
              <w:rPr>
                <w:sz w:val="20"/>
              </w:rPr>
            </w:pPr>
            <w:r w:rsidRPr="00B06CA9">
              <w:t>Process and large kitchens</w:t>
            </w:r>
          </w:p>
        </w:tc>
      </w:tr>
      <w:tr w:rsidR="004A109D" w:rsidRPr="00923150" w14:paraId="09EC14AC" w14:textId="77777777" w:rsidTr="001D1518">
        <w:trPr>
          <w:trHeight w:val="456"/>
        </w:trPr>
        <w:tc>
          <w:tcPr>
            <w:tcW w:w="851" w:type="dxa"/>
          </w:tcPr>
          <w:p w14:paraId="1E8A63A2" w14:textId="6781D582" w:rsidR="004A109D" w:rsidRDefault="004A109D" w:rsidP="00215A1A">
            <w:pPr>
              <w:spacing w:before="60" w:after="60"/>
              <w:ind w:left="284" w:hanging="284"/>
              <w:jc w:val="center"/>
              <w:rPr>
                <w:sz w:val="20"/>
              </w:rPr>
            </w:pPr>
            <w:r w:rsidRPr="00B06CA9">
              <w:t>49</w:t>
            </w:r>
          </w:p>
        </w:tc>
        <w:tc>
          <w:tcPr>
            <w:tcW w:w="850" w:type="dxa"/>
            <w:vMerge/>
          </w:tcPr>
          <w:p w14:paraId="3E1D07BB" w14:textId="11398BC4" w:rsidR="004A109D" w:rsidRDefault="004A109D" w:rsidP="003C2A2C">
            <w:pPr>
              <w:spacing w:before="60" w:after="60"/>
              <w:jc w:val="center"/>
              <w:rPr>
                <w:sz w:val="20"/>
              </w:rPr>
            </w:pPr>
          </w:p>
        </w:tc>
        <w:tc>
          <w:tcPr>
            <w:tcW w:w="1134" w:type="dxa"/>
          </w:tcPr>
          <w:p w14:paraId="7ABE6E84" w14:textId="32E68D32" w:rsidR="004A109D" w:rsidRDefault="004A109D" w:rsidP="003C2A2C">
            <w:pPr>
              <w:spacing w:before="60" w:after="60"/>
              <w:jc w:val="center"/>
              <w:rPr>
                <w:sz w:val="20"/>
              </w:rPr>
            </w:pPr>
            <w:r w:rsidRPr="00B06CA9">
              <w:t>RCFC5</w:t>
            </w:r>
          </w:p>
        </w:tc>
        <w:tc>
          <w:tcPr>
            <w:tcW w:w="2268" w:type="dxa"/>
          </w:tcPr>
          <w:p w14:paraId="76A2B922" w14:textId="51C3883C" w:rsidR="004A109D" w:rsidRDefault="004A109D" w:rsidP="003C2A2C">
            <w:pPr>
              <w:spacing w:before="60" w:after="60"/>
              <w:jc w:val="left"/>
              <w:rPr>
                <w:sz w:val="20"/>
              </w:rPr>
            </w:pPr>
            <w:r w:rsidRPr="00B06CA9">
              <w:t>Industrial refrigeration</w:t>
            </w:r>
          </w:p>
        </w:tc>
        <w:tc>
          <w:tcPr>
            <w:tcW w:w="1418" w:type="dxa"/>
          </w:tcPr>
          <w:p w14:paraId="5BA53EDE" w14:textId="554E542A" w:rsidR="004A109D" w:rsidRDefault="004A109D" w:rsidP="003C2A2C">
            <w:pPr>
              <w:spacing w:before="60" w:after="60"/>
              <w:jc w:val="center"/>
              <w:rPr>
                <w:sz w:val="20"/>
              </w:rPr>
            </w:pPr>
            <w:r w:rsidRPr="00B06CA9">
              <w:t>RCFC5-1</w:t>
            </w:r>
          </w:p>
        </w:tc>
        <w:tc>
          <w:tcPr>
            <w:tcW w:w="3118" w:type="dxa"/>
          </w:tcPr>
          <w:p w14:paraId="6D69ABAE" w14:textId="38FFBE74" w:rsidR="004A109D" w:rsidRDefault="004A109D" w:rsidP="003C2A2C">
            <w:pPr>
              <w:spacing w:before="60" w:after="60"/>
              <w:jc w:val="left"/>
              <w:rPr>
                <w:sz w:val="20"/>
              </w:rPr>
            </w:pPr>
            <w:r w:rsidRPr="00B06CA9">
              <w:t>Cold storage and distribution</w:t>
            </w:r>
          </w:p>
        </w:tc>
      </w:tr>
      <w:tr w:rsidR="004A109D" w14:paraId="51217C6D" w14:textId="77777777" w:rsidTr="001D1518">
        <w:trPr>
          <w:trHeight w:val="456"/>
        </w:trPr>
        <w:tc>
          <w:tcPr>
            <w:tcW w:w="851" w:type="dxa"/>
          </w:tcPr>
          <w:p w14:paraId="755EF55A" w14:textId="463A30E5" w:rsidR="004A109D" w:rsidRDefault="004A109D" w:rsidP="00215A1A">
            <w:pPr>
              <w:spacing w:before="60" w:after="60"/>
              <w:ind w:left="284" w:hanging="284"/>
              <w:jc w:val="center"/>
              <w:rPr>
                <w:sz w:val="20"/>
              </w:rPr>
            </w:pPr>
            <w:r w:rsidRPr="00B06CA9">
              <w:t>50</w:t>
            </w:r>
          </w:p>
        </w:tc>
        <w:tc>
          <w:tcPr>
            <w:tcW w:w="850" w:type="dxa"/>
            <w:vMerge/>
          </w:tcPr>
          <w:p w14:paraId="56F77607" w14:textId="5B740F25" w:rsidR="004A109D" w:rsidRDefault="004A109D" w:rsidP="003C2A2C">
            <w:pPr>
              <w:spacing w:before="60" w:after="60"/>
              <w:jc w:val="center"/>
              <w:rPr>
                <w:sz w:val="20"/>
              </w:rPr>
            </w:pPr>
          </w:p>
        </w:tc>
        <w:tc>
          <w:tcPr>
            <w:tcW w:w="1134" w:type="dxa"/>
          </w:tcPr>
          <w:p w14:paraId="6E77DFF4" w14:textId="260FA169" w:rsidR="004A109D" w:rsidRDefault="004A109D" w:rsidP="003C2A2C">
            <w:pPr>
              <w:spacing w:before="60" w:after="60"/>
              <w:jc w:val="center"/>
              <w:rPr>
                <w:sz w:val="20"/>
              </w:rPr>
            </w:pPr>
            <w:r w:rsidRPr="00B06CA9">
              <w:t>RCFC5</w:t>
            </w:r>
          </w:p>
        </w:tc>
        <w:tc>
          <w:tcPr>
            <w:tcW w:w="2268" w:type="dxa"/>
          </w:tcPr>
          <w:p w14:paraId="07D785AF" w14:textId="3AFB0011" w:rsidR="004A109D" w:rsidRDefault="004A109D" w:rsidP="003C2A2C">
            <w:pPr>
              <w:spacing w:before="60" w:after="60"/>
              <w:jc w:val="left"/>
              <w:rPr>
                <w:sz w:val="20"/>
              </w:rPr>
            </w:pPr>
            <w:r w:rsidRPr="00B06CA9">
              <w:t>Industrial refrigeration</w:t>
            </w:r>
          </w:p>
        </w:tc>
        <w:tc>
          <w:tcPr>
            <w:tcW w:w="1418" w:type="dxa"/>
          </w:tcPr>
          <w:p w14:paraId="72304FBB" w14:textId="4245C7C8" w:rsidR="004A109D" w:rsidRDefault="004A109D" w:rsidP="003C2A2C">
            <w:pPr>
              <w:spacing w:before="60" w:after="60"/>
              <w:jc w:val="center"/>
              <w:rPr>
                <w:sz w:val="20"/>
              </w:rPr>
            </w:pPr>
            <w:r w:rsidRPr="00B06CA9">
              <w:t>RCFC5-2</w:t>
            </w:r>
          </w:p>
        </w:tc>
        <w:tc>
          <w:tcPr>
            <w:tcW w:w="3118" w:type="dxa"/>
          </w:tcPr>
          <w:p w14:paraId="426FABE0" w14:textId="0A0E266A" w:rsidR="004A109D" w:rsidRDefault="004A109D" w:rsidP="003C2A2C">
            <w:pPr>
              <w:spacing w:before="60" w:after="60"/>
              <w:jc w:val="left"/>
              <w:rPr>
                <w:sz w:val="20"/>
              </w:rPr>
            </w:pPr>
            <w:r w:rsidRPr="00B06CA9">
              <w:t>Process chilling</w:t>
            </w:r>
          </w:p>
        </w:tc>
      </w:tr>
    </w:tbl>
    <w:p w14:paraId="15930CB6" w14:textId="5118DCE3" w:rsidR="00B37F8A" w:rsidRPr="001D6D59" w:rsidRDefault="00B37F8A" w:rsidP="00E633DA">
      <w:pPr>
        <w:spacing w:before="240"/>
        <w:rPr>
          <w:szCs w:val="22"/>
        </w:rPr>
      </w:pPr>
      <w:r w:rsidRPr="001D6D59">
        <w:rPr>
          <w:szCs w:val="22"/>
        </w:rPr>
        <w:t>The CHF2 stock model has these 50 product categories at its base.  For the purpose of modelling, some categories are further dissected in</w:t>
      </w:r>
      <w:r w:rsidR="00FD0A42">
        <w:rPr>
          <w:szCs w:val="22"/>
        </w:rPr>
        <w:t xml:space="preserve"> the </w:t>
      </w:r>
      <w:r w:rsidR="00CE65CA">
        <w:rPr>
          <w:szCs w:val="22"/>
        </w:rPr>
        <w:t>database</w:t>
      </w:r>
      <w:r w:rsidR="00FD0A42">
        <w:rPr>
          <w:szCs w:val="22"/>
        </w:rPr>
        <w:t xml:space="preserve"> into</w:t>
      </w:r>
      <w:r w:rsidRPr="001D6D59">
        <w:rPr>
          <w:szCs w:val="22"/>
        </w:rPr>
        <w:t xml:space="preserve"> ‘capacity bins’ to provide more precise energy consumption modelling (e.g. AC1-1: split systems: non-ducted: single-phase, is dissected into four capacity bins</w:t>
      </w:r>
      <w:r w:rsidR="00FD0A42">
        <w:rPr>
          <w:szCs w:val="22"/>
        </w:rPr>
        <w:t xml:space="preserve"> of </w:t>
      </w:r>
      <w:r w:rsidRPr="001D6D59">
        <w:rPr>
          <w:szCs w:val="22"/>
        </w:rPr>
        <w:t>0 to 4</w:t>
      </w:r>
      <w:r w:rsidR="00081A67">
        <w:rPr>
          <w:szCs w:val="22"/>
        </w:rPr>
        <w:t xml:space="preserve"> </w:t>
      </w:r>
      <w:r w:rsidR="00FD0A42">
        <w:rPr>
          <w:szCs w:val="22"/>
        </w:rPr>
        <w:t>kWr</w:t>
      </w:r>
      <w:r w:rsidRPr="001D6D59">
        <w:rPr>
          <w:szCs w:val="22"/>
        </w:rPr>
        <w:t>; 4 to 6.5</w:t>
      </w:r>
      <w:r w:rsidR="00081A67">
        <w:rPr>
          <w:szCs w:val="22"/>
        </w:rPr>
        <w:t xml:space="preserve"> </w:t>
      </w:r>
      <w:r w:rsidR="00FD0A42">
        <w:rPr>
          <w:szCs w:val="22"/>
        </w:rPr>
        <w:t>kWr</w:t>
      </w:r>
      <w:r w:rsidRPr="001D6D59">
        <w:rPr>
          <w:szCs w:val="22"/>
        </w:rPr>
        <w:t>; 6.5 to 8.5</w:t>
      </w:r>
      <w:r w:rsidR="00081A67">
        <w:rPr>
          <w:szCs w:val="22"/>
        </w:rPr>
        <w:t xml:space="preserve"> </w:t>
      </w:r>
      <w:r w:rsidR="00FD0A42">
        <w:rPr>
          <w:szCs w:val="22"/>
        </w:rPr>
        <w:t>kWr</w:t>
      </w:r>
      <w:r w:rsidRPr="001D6D59">
        <w:rPr>
          <w:szCs w:val="22"/>
        </w:rPr>
        <w:t xml:space="preserve"> and &gt;8.5 kWr</w:t>
      </w:r>
      <w:r w:rsidR="00FD0A42">
        <w:rPr>
          <w:szCs w:val="22"/>
        </w:rPr>
        <w:t>,</w:t>
      </w:r>
      <w:r w:rsidRPr="001D6D59">
        <w:rPr>
          <w:szCs w:val="22"/>
        </w:rPr>
        <w:t xml:space="preserve"> as the stock levels are significant and the </w:t>
      </w:r>
      <w:r w:rsidR="00D5138D">
        <w:rPr>
          <w:szCs w:val="22"/>
        </w:rPr>
        <w:t>e</w:t>
      </w:r>
      <w:r w:rsidR="00081A67" w:rsidRPr="00081A67">
        <w:rPr>
          <w:szCs w:val="22"/>
        </w:rPr>
        <w:t xml:space="preserve">nergy </w:t>
      </w:r>
      <w:r w:rsidR="00D5138D">
        <w:rPr>
          <w:szCs w:val="22"/>
        </w:rPr>
        <w:t>e</w:t>
      </w:r>
      <w:r w:rsidR="00081A67" w:rsidRPr="00081A67">
        <w:rPr>
          <w:szCs w:val="22"/>
        </w:rPr>
        <w:t xml:space="preserve">fficiency </w:t>
      </w:r>
      <w:r w:rsidR="00D5138D">
        <w:rPr>
          <w:szCs w:val="22"/>
        </w:rPr>
        <w:t>r</w:t>
      </w:r>
      <w:r w:rsidR="00081A67" w:rsidRPr="00081A67">
        <w:rPr>
          <w:szCs w:val="22"/>
        </w:rPr>
        <w:t>atio</w:t>
      </w:r>
      <w:r w:rsidR="00081A67">
        <w:rPr>
          <w:szCs w:val="22"/>
        </w:rPr>
        <w:t xml:space="preserve">s </w:t>
      </w:r>
      <w:r w:rsidRPr="001D6D59">
        <w:rPr>
          <w:szCs w:val="22"/>
        </w:rPr>
        <w:t xml:space="preserve">vary depending on capacity). </w:t>
      </w:r>
    </w:p>
    <w:p w14:paraId="455B68A0" w14:textId="46C0819C" w:rsidR="00B37F8A" w:rsidRPr="001D6D59" w:rsidRDefault="00B37F8A" w:rsidP="00B37F8A">
      <w:pPr>
        <w:rPr>
          <w:szCs w:val="22"/>
        </w:rPr>
      </w:pPr>
      <w:r w:rsidRPr="001D6D59">
        <w:rPr>
          <w:szCs w:val="22"/>
        </w:rPr>
        <w:t xml:space="preserve">Data in the majority of these product categories is discussed in </w:t>
      </w:r>
      <w:r w:rsidR="002A30C0">
        <w:rPr>
          <w:i/>
          <w:szCs w:val="22"/>
        </w:rPr>
        <w:t>Chapter</w:t>
      </w:r>
      <w:r w:rsidRPr="0082124E">
        <w:rPr>
          <w:i/>
          <w:szCs w:val="22"/>
        </w:rPr>
        <w:t xml:space="preserve"> 4: The </w:t>
      </w:r>
      <w:r w:rsidR="00804B41">
        <w:rPr>
          <w:i/>
          <w:szCs w:val="22"/>
        </w:rPr>
        <w:t>s</w:t>
      </w:r>
      <w:r w:rsidRPr="0082124E">
        <w:rPr>
          <w:i/>
          <w:szCs w:val="22"/>
        </w:rPr>
        <w:t xml:space="preserve">tock of </w:t>
      </w:r>
      <w:r w:rsidR="00804B41">
        <w:rPr>
          <w:i/>
          <w:szCs w:val="22"/>
        </w:rPr>
        <w:t>e</w:t>
      </w:r>
      <w:r w:rsidRPr="0082124E">
        <w:rPr>
          <w:i/>
          <w:szCs w:val="22"/>
        </w:rPr>
        <w:t>quipment</w:t>
      </w:r>
      <w:r w:rsidRPr="001D6D59">
        <w:rPr>
          <w:szCs w:val="22"/>
        </w:rPr>
        <w:t>.  It is obvious to most observers that even with this number of categories, some a</w:t>
      </w:r>
      <w:r w:rsidR="00FD0A42">
        <w:rPr>
          <w:szCs w:val="22"/>
        </w:rPr>
        <w:t>re still</w:t>
      </w:r>
      <w:r w:rsidRPr="001D6D59">
        <w:rPr>
          <w:szCs w:val="22"/>
        </w:rPr>
        <w:t xml:space="preserve"> quite broad, covering a large number of different formats and sizes of individual manufacturer brands and product models. </w:t>
      </w:r>
    </w:p>
    <w:p w14:paraId="5EC9990A" w14:textId="5F4B07E3" w:rsidR="00B37F8A" w:rsidRPr="001D6D59" w:rsidRDefault="00B37F8A" w:rsidP="00B37F8A">
      <w:pPr>
        <w:rPr>
          <w:szCs w:val="22"/>
        </w:rPr>
      </w:pPr>
      <w:r w:rsidRPr="001D6D59">
        <w:rPr>
          <w:szCs w:val="22"/>
        </w:rPr>
        <w:t>However this degree of resolution has taken some years to build up, based on available marke</w:t>
      </w:r>
      <w:r>
        <w:rPr>
          <w:szCs w:val="22"/>
        </w:rPr>
        <w:t>t data</w:t>
      </w:r>
      <w:r w:rsidRPr="001D6D59">
        <w:rPr>
          <w:szCs w:val="22"/>
        </w:rPr>
        <w:t>, and the common features, such as the condenser type (remote or self-contained)</w:t>
      </w:r>
      <w:r w:rsidR="0082124E">
        <w:rPr>
          <w:szCs w:val="22"/>
        </w:rPr>
        <w:t>,</w:t>
      </w:r>
      <w:r w:rsidRPr="001D6D59">
        <w:rPr>
          <w:szCs w:val="22"/>
        </w:rPr>
        <w:t xml:space="preserve"> </w:t>
      </w:r>
      <w:r w:rsidR="00FD0A42">
        <w:rPr>
          <w:szCs w:val="22"/>
        </w:rPr>
        <w:t xml:space="preserve">gas </w:t>
      </w:r>
      <w:r w:rsidRPr="001D6D59">
        <w:rPr>
          <w:szCs w:val="22"/>
        </w:rPr>
        <w:t xml:space="preserve">charge sizes, electricity requirements </w:t>
      </w:r>
      <w:r w:rsidR="00804B41">
        <w:rPr>
          <w:szCs w:val="22"/>
        </w:rPr>
        <w:t xml:space="preserve">(single or three phase) </w:t>
      </w:r>
      <w:r w:rsidRPr="001D6D59">
        <w:rPr>
          <w:szCs w:val="22"/>
        </w:rPr>
        <w:t xml:space="preserve">and the physical formats of systems to be found in each product category. </w:t>
      </w:r>
    </w:p>
    <w:p w14:paraId="77010971" w14:textId="360C855A" w:rsidR="00B37F8A" w:rsidRPr="001D6D59" w:rsidRDefault="00B37F8A" w:rsidP="00B37F8A">
      <w:pPr>
        <w:rPr>
          <w:szCs w:val="22"/>
        </w:rPr>
      </w:pPr>
      <w:r w:rsidRPr="001D6D59">
        <w:rPr>
          <w:szCs w:val="22"/>
        </w:rPr>
        <w:t>Nonetheless the authors acknowledge that to further erode the uncertainty in the data, in some areas, more definitive stock surveys would be valuable.</w:t>
      </w:r>
      <w:r w:rsidR="00E73EBF">
        <w:rPr>
          <w:szCs w:val="22"/>
        </w:rPr>
        <w:t xml:space="preserve"> A </w:t>
      </w:r>
      <w:r w:rsidR="00E73EBF" w:rsidRPr="00E73EBF">
        <w:rPr>
          <w:szCs w:val="22"/>
        </w:rPr>
        <w:t xml:space="preserve">list of </w:t>
      </w:r>
      <w:r w:rsidR="00E73EBF">
        <w:rPr>
          <w:szCs w:val="22"/>
        </w:rPr>
        <w:t xml:space="preserve">representative </w:t>
      </w:r>
      <w:r w:rsidR="00E73EBF" w:rsidRPr="00E73EBF">
        <w:rPr>
          <w:szCs w:val="22"/>
        </w:rPr>
        <w:t xml:space="preserve">applications where RAC systems are found across the Australian economy </w:t>
      </w:r>
      <w:r w:rsidR="00E73EBF">
        <w:rPr>
          <w:szCs w:val="22"/>
        </w:rPr>
        <w:t xml:space="preserve">is provided in </w:t>
      </w:r>
      <w:r w:rsidR="00E73EBF" w:rsidRPr="001D6D59">
        <w:rPr>
          <w:i/>
          <w:szCs w:val="22"/>
        </w:rPr>
        <w:t>Appendix C: End-use applications for RAC systems</w:t>
      </w:r>
      <w:r w:rsidR="00E73EBF" w:rsidRPr="00E73EBF">
        <w:rPr>
          <w:szCs w:val="22"/>
        </w:rPr>
        <w:t xml:space="preserve"> as opposed to the various product and equipment categories </w:t>
      </w:r>
      <w:r w:rsidR="00E73EBF">
        <w:rPr>
          <w:szCs w:val="22"/>
        </w:rPr>
        <w:t xml:space="preserve">modelled </w:t>
      </w:r>
      <w:r w:rsidR="00E73EBF" w:rsidRPr="00E73EBF">
        <w:rPr>
          <w:szCs w:val="22"/>
        </w:rPr>
        <w:t>in this study.</w:t>
      </w:r>
    </w:p>
    <w:p w14:paraId="0506B8BF" w14:textId="77777777" w:rsidR="000665BF" w:rsidRDefault="000665BF" w:rsidP="000665BF"/>
    <w:p w14:paraId="26CB7FD3" w14:textId="77777777" w:rsidR="00E73EBF" w:rsidRDefault="00E73EBF">
      <w:pPr>
        <w:spacing w:before="0"/>
        <w:jc w:val="left"/>
        <w:rPr>
          <w:rFonts w:ascii="Calibri" w:eastAsia="Times New Roman" w:hAnsi="Calibri" w:cs="Times New Roman"/>
          <w:b/>
          <w:bCs/>
          <w:kern w:val="32"/>
          <w:sz w:val="32"/>
          <w:szCs w:val="32"/>
          <w:lang w:val="en-US"/>
        </w:rPr>
      </w:pPr>
      <w:r>
        <w:br w:type="page"/>
      </w:r>
    </w:p>
    <w:p w14:paraId="3F5D7A45" w14:textId="6216FBEC" w:rsidR="0043456E" w:rsidRPr="004E5B78" w:rsidRDefault="0043456E" w:rsidP="0043456E">
      <w:pPr>
        <w:pStyle w:val="Heading1"/>
      </w:pPr>
      <w:bookmarkStart w:id="10" w:name="_Toc233084136"/>
      <w:r>
        <w:lastRenderedPageBreak/>
        <w:t xml:space="preserve">The </w:t>
      </w:r>
      <w:r w:rsidR="001B0EF1">
        <w:t>s</w:t>
      </w:r>
      <w:r>
        <w:t xml:space="preserve">tock of </w:t>
      </w:r>
      <w:r w:rsidR="001B0EF1">
        <w:t>e</w:t>
      </w:r>
      <w:r>
        <w:t>quipment</w:t>
      </w:r>
      <w:bookmarkEnd w:id="10"/>
    </w:p>
    <w:p w14:paraId="20A44983" w14:textId="342F583A" w:rsidR="0043456E" w:rsidRDefault="0043456E" w:rsidP="007B6646">
      <w:pPr>
        <w:pStyle w:val="Heading2"/>
        <w:ind w:left="567" w:hanging="567"/>
      </w:pPr>
      <w:bookmarkStart w:id="11" w:name="_Toc233084137"/>
      <w:r>
        <w:t xml:space="preserve">The </w:t>
      </w:r>
      <w:r w:rsidR="001B0EF1">
        <w:t>s</w:t>
      </w:r>
      <w:r>
        <w:t xml:space="preserve">cale of </w:t>
      </w:r>
      <w:r w:rsidR="001B0EF1">
        <w:t>e</w:t>
      </w:r>
      <w:r>
        <w:t>vents</w:t>
      </w:r>
      <w:bookmarkEnd w:id="11"/>
    </w:p>
    <w:p w14:paraId="139442C3" w14:textId="14A4EB3D" w:rsidR="00B37F8A" w:rsidRPr="00B37F8A" w:rsidRDefault="00B37F8A" w:rsidP="00B37F8A">
      <w:pPr>
        <w:rPr>
          <w:szCs w:val="22"/>
        </w:rPr>
      </w:pPr>
      <w:r w:rsidRPr="00B37F8A">
        <w:rPr>
          <w:szCs w:val="22"/>
        </w:rPr>
        <w:t xml:space="preserve">The </w:t>
      </w:r>
      <w:r w:rsidR="00381260">
        <w:rPr>
          <w:szCs w:val="22"/>
        </w:rPr>
        <w:t xml:space="preserve">CHF2 </w:t>
      </w:r>
      <w:r w:rsidRPr="00B37F8A">
        <w:rPr>
          <w:szCs w:val="22"/>
        </w:rPr>
        <w:t xml:space="preserve">stock model shows that RAC in all its forms is delivered in Australia via nearly 45 million individual pieces of equipment.  The stock model also reveals that in recent years Australians have spent around $5.8 billion every year buying and installing new devices across all classes of RAC equipment. </w:t>
      </w:r>
    </w:p>
    <w:p w14:paraId="39D1E9B0" w14:textId="73739FC8" w:rsidR="00B37F8A" w:rsidRPr="00B37F8A" w:rsidRDefault="00B37F8A" w:rsidP="00B37F8A">
      <w:pPr>
        <w:rPr>
          <w:szCs w:val="22"/>
        </w:rPr>
      </w:pPr>
      <w:r w:rsidRPr="00B37F8A">
        <w:rPr>
          <w:szCs w:val="22"/>
        </w:rPr>
        <w:t>At the same time, every year an estimated 2 million devices containing refrigerant gas reach the end of their useful life, including more than 800,000 domestic refrigerators and freezers, 500,000 air conditioners, 600,000 vehicles of all types</w:t>
      </w:r>
      <w:r w:rsidR="009016E5">
        <w:rPr>
          <w:szCs w:val="22"/>
        </w:rPr>
        <w:t>,</w:t>
      </w:r>
      <w:r w:rsidRPr="00B37F8A">
        <w:rPr>
          <w:szCs w:val="22"/>
        </w:rPr>
        <w:t xml:space="preserve"> and 90,000 commercial refrigeration units.</w:t>
      </w:r>
    </w:p>
    <w:p w14:paraId="44FEDD47" w14:textId="77777777" w:rsidR="00B37F8A" w:rsidRPr="00B37F8A" w:rsidRDefault="00B37F8A" w:rsidP="00B37F8A">
      <w:pPr>
        <w:rPr>
          <w:szCs w:val="22"/>
        </w:rPr>
      </w:pPr>
      <w:r w:rsidRPr="00B37F8A">
        <w:rPr>
          <w:szCs w:val="22"/>
        </w:rPr>
        <w:t xml:space="preserve">The calculations that have been used to arrive at these numbers involve calculating the average useful lifespan of various equipment categories, and arriving at a rate of retirements that looks reasonable in the context of manufacturer’s information, warranty periods offered, and new sales. On that basis the stock in each class, segment and equipment category is believed to be a reasonable estimate. </w:t>
      </w:r>
    </w:p>
    <w:p w14:paraId="007BCC8E" w14:textId="3BF6EF46" w:rsidR="00B37F8A" w:rsidRPr="00B37F8A" w:rsidRDefault="00B37F8A" w:rsidP="00B37F8A">
      <w:pPr>
        <w:rPr>
          <w:szCs w:val="22"/>
        </w:rPr>
      </w:pPr>
      <w:r w:rsidRPr="00B37F8A">
        <w:rPr>
          <w:szCs w:val="22"/>
        </w:rPr>
        <w:t xml:space="preserve">However </w:t>
      </w:r>
      <w:r w:rsidR="00381260">
        <w:rPr>
          <w:szCs w:val="22"/>
        </w:rPr>
        <w:t xml:space="preserve">the authors </w:t>
      </w:r>
      <w:r w:rsidR="009016E5">
        <w:rPr>
          <w:szCs w:val="22"/>
        </w:rPr>
        <w:t>note</w:t>
      </w:r>
      <w:r w:rsidRPr="00B37F8A">
        <w:rPr>
          <w:szCs w:val="22"/>
        </w:rPr>
        <w:t xml:space="preserve"> frequent anecdotal reports of some categories of refrigeration and air conditioning equipment that have continued to operate for many decades, well beyond the estimated useful life used in the CHF2 database. </w:t>
      </w:r>
    </w:p>
    <w:p w14:paraId="28631C4F" w14:textId="0A13FAD3" w:rsidR="00B37F8A" w:rsidRPr="00B37F8A" w:rsidRDefault="00B37F8A" w:rsidP="00B37F8A">
      <w:pPr>
        <w:rPr>
          <w:szCs w:val="22"/>
        </w:rPr>
      </w:pPr>
      <w:r w:rsidRPr="00B37F8A">
        <w:rPr>
          <w:szCs w:val="22"/>
        </w:rPr>
        <w:t>While these anecdotes do not provide a sufficient basis for adjusting the well reasoned assumptions on equipment life that are used, they are persistent</w:t>
      </w:r>
      <w:r w:rsidR="00381260">
        <w:rPr>
          <w:szCs w:val="22"/>
        </w:rPr>
        <w:t>,</w:t>
      </w:r>
      <w:r w:rsidRPr="00B37F8A">
        <w:rPr>
          <w:szCs w:val="22"/>
        </w:rPr>
        <w:t xml:space="preserve"> and frequently report similar types of equipment as being particularly long lasting. Many people for instance will be personally familiar with the </w:t>
      </w:r>
      <w:r w:rsidR="009016E5">
        <w:rPr>
          <w:szCs w:val="22"/>
        </w:rPr>
        <w:t xml:space="preserve">30 or </w:t>
      </w:r>
      <w:r w:rsidRPr="00B37F8A">
        <w:rPr>
          <w:szCs w:val="22"/>
        </w:rPr>
        <w:t xml:space="preserve">40 year old domestic </w:t>
      </w:r>
      <w:r w:rsidR="002A30C0">
        <w:rPr>
          <w:szCs w:val="22"/>
        </w:rPr>
        <w:t>refrigerator</w:t>
      </w:r>
      <w:r w:rsidRPr="00B37F8A">
        <w:rPr>
          <w:szCs w:val="22"/>
        </w:rPr>
        <w:t xml:space="preserve"> that still runs, possibly as a ‘beer fridge’ in someone’s garage. Industry participants also report that sort of longevity in some well-made commercial refrigerators and in medium sized </w:t>
      </w:r>
      <w:r w:rsidR="00401C62">
        <w:rPr>
          <w:szCs w:val="22"/>
        </w:rPr>
        <w:t xml:space="preserve">commercial space </w:t>
      </w:r>
      <w:r w:rsidRPr="00B37F8A">
        <w:rPr>
          <w:szCs w:val="22"/>
        </w:rPr>
        <w:t xml:space="preserve">chillers. </w:t>
      </w:r>
    </w:p>
    <w:p w14:paraId="7D41C96E" w14:textId="3B8A2F11" w:rsidR="00B37F8A" w:rsidRPr="00B37F8A" w:rsidRDefault="00B37F8A" w:rsidP="00B37F8A">
      <w:pPr>
        <w:rPr>
          <w:szCs w:val="22"/>
        </w:rPr>
      </w:pPr>
      <w:r w:rsidRPr="00B37F8A">
        <w:rPr>
          <w:szCs w:val="22"/>
        </w:rPr>
        <w:t xml:space="preserve">Another indicator </w:t>
      </w:r>
      <w:r w:rsidR="009016E5">
        <w:rPr>
          <w:szCs w:val="22"/>
        </w:rPr>
        <w:t>of some classes of</w:t>
      </w:r>
      <w:r w:rsidRPr="00B37F8A">
        <w:rPr>
          <w:szCs w:val="22"/>
        </w:rPr>
        <w:t xml:space="preserve"> long lasting equipment is the continuing presence of </w:t>
      </w:r>
      <w:r w:rsidR="009016E5">
        <w:rPr>
          <w:szCs w:val="22"/>
        </w:rPr>
        <w:t>chlorofluorocarbons (</w:t>
      </w:r>
      <w:r w:rsidRPr="00B37F8A">
        <w:rPr>
          <w:szCs w:val="22"/>
        </w:rPr>
        <w:t>CFCs</w:t>
      </w:r>
      <w:r w:rsidR="009016E5">
        <w:rPr>
          <w:szCs w:val="22"/>
        </w:rPr>
        <w:t>)</w:t>
      </w:r>
      <w:r w:rsidRPr="00B37F8A">
        <w:rPr>
          <w:szCs w:val="22"/>
        </w:rPr>
        <w:t xml:space="preserve"> in the stream of waste gas delivered for destruction. </w:t>
      </w:r>
      <w:r w:rsidR="002A30C0">
        <w:rPr>
          <w:szCs w:val="22"/>
        </w:rPr>
        <w:t xml:space="preserve">The import and manufacture of </w:t>
      </w:r>
      <w:r w:rsidRPr="00B37F8A">
        <w:rPr>
          <w:szCs w:val="22"/>
        </w:rPr>
        <w:t xml:space="preserve">CFCs were phased out and then banned from 1996, and while some of the waste CFCs delivered for destruction is reported to come in old 44 gallon drums, some of it is certainly being recovered from equipment only now being decommissioned at end-of-life (or in fact refurbished and having the gas charge replaced).  </w:t>
      </w:r>
    </w:p>
    <w:p w14:paraId="5FD97848" w14:textId="58DDDFF9" w:rsidR="00B37F8A" w:rsidRPr="00B37F8A" w:rsidRDefault="00B37F8A" w:rsidP="00B37F8A">
      <w:pPr>
        <w:rPr>
          <w:szCs w:val="22"/>
        </w:rPr>
      </w:pPr>
      <w:r w:rsidRPr="00B37F8A">
        <w:rPr>
          <w:szCs w:val="22"/>
        </w:rPr>
        <w:t xml:space="preserve">The phenomena of equipment in this industry to be hard working and long lasting was one of the factors identified in the </w:t>
      </w:r>
      <w:r w:rsidRPr="00D5138D">
        <w:rPr>
          <w:i/>
          <w:szCs w:val="22"/>
        </w:rPr>
        <w:t>HVAC High Efficiency Systems Strategy</w:t>
      </w:r>
      <w:r w:rsidRPr="00B37F8A">
        <w:rPr>
          <w:szCs w:val="22"/>
        </w:rPr>
        <w:t xml:space="preserve"> (HVAC HESS) in 2006</w:t>
      </w:r>
      <w:r>
        <w:rPr>
          <w:szCs w:val="22"/>
        </w:rPr>
        <w:t>/7</w:t>
      </w:r>
      <w:r w:rsidRPr="00B37F8A">
        <w:rPr>
          <w:szCs w:val="22"/>
        </w:rPr>
        <w:t xml:space="preserve"> that often resulted in less than optimal performance of HVAC systems from an energy efficiency point of view</w:t>
      </w:r>
      <w:r>
        <w:rPr>
          <w:szCs w:val="22"/>
        </w:rPr>
        <w:t xml:space="preserve"> (E3 2007)</w:t>
      </w:r>
      <w:r w:rsidRPr="00B37F8A">
        <w:rPr>
          <w:szCs w:val="22"/>
        </w:rPr>
        <w:t xml:space="preserve">. The HVAC HESS noted that the design of </w:t>
      </w:r>
      <w:r w:rsidR="009016E5">
        <w:rPr>
          <w:szCs w:val="22"/>
        </w:rPr>
        <w:t xml:space="preserve">many of the </w:t>
      </w:r>
      <w:r w:rsidRPr="00B37F8A">
        <w:rPr>
          <w:szCs w:val="22"/>
        </w:rPr>
        <w:t>components used in commercial air conditioning systems are generally so robust that</w:t>
      </w:r>
      <w:r w:rsidR="009016E5">
        <w:rPr>
          <w:szCs w:val="22"/>
        </w:rPr>
        <w:t>,</w:t>
      </w:r>
      <w:r w:rsidRPr="00B37F8A">
        <w:rPr>
          <w:szCs w:val="22"/>
        </w:rPr>
        <w:t xml:space="preserve"> even when one component is compromised or its performance significantly degraded, such as having filters blocked by years of dust if not cleaned, that the balance of the system would simply work harder to compensate. This characteristic of HVAC&amp;R systems means that comfort conditions are often delivered for a very long time after optimal energy efficiency is significantly degraded by failing</w:t>
      </w:r>
      <w:r w:rsidR="009016E5">
        <w:rPr>
          <w:szCs w:val="22"/>
        </w:rPr>
        <w:t xml:space="preserve"> and compromised</w:t>
      </w:r>
      <w:r w:rsidRPr="00B37F8A">
        <w:rPr>
          <w:szCs w:val="22"/>
        </w:rPr>
        <w:t xml:space="preserve"> components</w:t>
      </w:r>
      <w:r w:rsidR="00893E09">
        <w:rPr>
          <w:szCs w:val="22"/>
        </w:rPr>
        <w:t xml:space="preserve"> or a low refrigerant charge</w:t>
      </w:r>
      <w:r w:rsidRPr="00B37F8A">
        <w:rPr>
          <w:szCs w:val="22"/>
        </w:rPr>
        <w:t xml:space="preserve">. </w:t>
      </w:r>
    </w:p>
    <w:p w14:paraId="34E8595E" w14:textId="1661873D" w:rsidR="00B37F8A" w:rsidRDefault="00B37F8A" w:rsidP="00B37F8A">
      <w:pPr>
        <w:rPr>
          <w:szCs w:val="22"/>
        </w:rPr>
      </w:pPr>
      <w:r w:rsidRPr="00B37F8A">
        <w:rPr>
          <w:szCs w:val="22"/>
        </w:rPr>
        <w:t xml:space="preserve">Having long lasting equipment should never be seen as a problem, except where it combines with a lack of maintenance to result in excessive energy use. This recurring theme of very long lasting equipment in some categories </w:t>
      </w:r>
      <w:r w:rsidR="009016E5">
        <w:rPr>
          <w:szCs w:val="22"/>
        </w:rPr>
        <w:t>does however</w:t>
      </w:r>
      <w:r w:rsidRPr="00B37F8A">
        <w:rPr>
          <w:szCs w:val="22"/>
        </w:rPr>
        <w:t xml:space="preserve"> point to the possibility that stock calculat</w:t>
      </w:r>
      <w:r w:rsidR="009016E5">
        <w:rPr>
          <w:szCs w:val="22"/>
        </w:rPr>
        <w:t>ions</w:t>
      </w:r>
      <w:r w:rsidRPr="00B37F8A">
        <w:rPr>
          <w:szCs w:val="22"/>
        </w:rPr>
        <w:t xml:space="preserve"> for some of the equipment categories is likely to be an underestimate.  That would also imply that CHF2 calculations of quantities of </w:t>
      </w:r>
      <w:r w:rsidR="00844A5D">
        <w:rPr>
          <w:szCs w:val="22"/>
        </w:rPr>
        <w:t>end-of-life (</w:t>
      </w:r>
      <w:r w:rsidRPr="00B37F8A">
        <w:rPr>
          <w:szCs w:val="22"/>
        </w:rPr>
        <w:t>EOL</w:t>
      </w:r>
      <w:r w:rsidR="00844A5D">
        <w:rPr>
          <w:szCs w:val="22"/>
        </w:rPr>
        <w:t>)</w:t>
      </w:r>
      <w:r w:rsidRPr="00B37F8A">
        <w:rPr>
          <w:szCs w:val="22"/>
        </w:rPr>
        <w:t xml:space="preserve"> equipment may be overestimated</w:t>
      </w:r>
      <w:r w:rsidR="00611B00">
        <w:rPr>
          <w:szCs w:val="22"/>
        </w:rPr>
        <w:t>.</w:t>
      </w:r>
      <w:r w:rsidRPr="00B37F8A">
        <w:rPr>
          <w:szCs w:val="22"/>
        </w:rPr>
        <w:t xml:space="preserve"> </w:t>
      </w:r>
      <w:r w:rsidR="00611B00">
        <w:rPr>
          <w:szCs w:val="22"/>
        </w:rPr>
        <w:t>This source of uncertainty is</w:t>
      </w:r>
      <w:r w:rsidRPr="00B37F8A">
        <w:rPr>
          <w:szCs w:val="22"/>
        </w:rPr>
        <w:t xml:space="preserve"> one of the reasons that </w:t>
      </w:r>
      <w:r w:rsidR="00611B00">
        <w:rPr>
          <w:szCs w:val="22"/>
        </w:rPr>
        <w:t xml:space="preserve">potential </w:t>
      </w:r>
      <w:r w:rsidRPr="00B37F8A">
        <w:rPr>
          <w:szCs w:val="22"/>
        </w:rPr>
        <w:t>EOL emissions are calculated and presented separately from lifetime direct and indirect emissions</w:t>
      </w:r>
      <w:r w:rsidR="00611B00">
        <w:rPr>
          <w:szCs w:val="22"/>
        </w:rPr>
        <w:t xml:space="preserve"> of RAC equipment</w:t>
      </w:r>
      <w:r w:rsidRPr="00B37F8A">
        <w:rPr>
          <w:szCs w:val="22"/>
        </w:rPr>
        <w:t xml:space="preserve">. </w:t>
      </w:r>
    </w:p>
    <w:p w14:paraId="17FE86CB" w14:textId="1E940D8A" w:rsidR="00611B00" w:rsidRPr="00B37F8A" w:rsidRDefault="00611B00" w:rsidP="00B37F8A">
      <w:pPr>
        <w:rPr>
          <w:szCs w:val="22"/>
        </w:rPr>
      </w:pPr>
      <w:r>
        <w:rPr>
          <w:szCs w:val="22"/>
        </w:rPr>
        <w:t>To achieve greater accuracy and certainty on the calculated equipment stocks in future, field surveys conducted by a wide selection of service technicians could be conducted.</w:t>
      </w:r>
    </w:p>
    <w:p w14:paraId="32ED3BB8" w14:textId="4FC79F24" w:rsidR="0043456E" w:rsidRDefault="00B37F8A" w:rsidP="0043456E">
      <w:pPr>
        <w:rPr>
          <w:szCs w:val="22"/>
        </w:rPr>
      </w:pPr>
      <w:r w:rsidRPr="00B37F8A">
        <w:rPr>
          <w:szCs w:val="22"/>
        </w:rPr>
        <w:t xml:space="preserve">Each of the four main classes of equipment is </w:t>
      </w:r>
      <w:r w:rsidR="00893E09">
        <w:rPr>
          <w:szCs w:val="22"/>
        </w:rPr>
        <w:t>discussed in de</w:t>
      </w:r>
      <w:r w:rsidR="00173E25">
        <w:rPr>
          <w:szCs w:val="22"/>
        </w:rPr>
        <w:t>tail in the sections that follow.</w:t>
      </w:r>
      <w:r w:rsidR="00893E09">
        <w:rPr>
          <w:szCs w:val="22"/>
        </w:rPr>
        <w:t xml:space="preserve"> </w:t>
      </w:r>
    </w:p>
    <w:p w14:paraId="3A916654" w14:textId="77777777" w:rsidR="00AF3794" w:rsidRDefault="00AF3794" w:rsidP="003937A5">
      <w:pPr>
        <w:rPr>
          <w:szCs w:val="22"/>
        </w:rPr>
      </w:pPr>
    </w:p>
    <w:p w14:paraId="3486A8A8" w14:textId="634C7C1E" w:rsidR="00042727" w:rsidRDefault="0043456E" w:rsidP="007B6646">
      <w:pPr>
        <w:pStyle w:val="Heading2"/>
        <w:ind w:left="567" w:hanging="567"/>
      </w:pPr>
      <w:bookmarkStart w:id="12" w:name="_Toc233084138"/>
      <w:r>
        <w:lastRenderedPageBreak/>
        <w:t>Stationary air conditioning</w:t>
      </w:r>
      <w:bookmarkEnd w:id="12"/>
    </w:p>
    <w:p w14:paraId="735783FD" w14:textId="77777777" w:rsidR="000E5148" w:rsidRPr="000E5148" w:rsidRDefault="000E5148" w:rsidP="000E5148">
      <w:pPr>
        <w:rPr>
          <w:szCs w:val="22"/>
        </w:rPr>
      </w:pPr>
      <w:r w:rsidRPr="000E5148">
        <w:rPr>
          <w:szCs w:val="22"/>
        </w:rPr>
        <w:t>Stationary air conditioning equipment contains the largest portion of the bank of working gases, consumes the largest portion of annual bulk gas imports, and uses more electricity than any of the other classes of equipment in the RAC industry.</w:t>
      </w:r>
    </w:p>
    <w:p w14:paraId="08426856" w14:textId="616B194B" w:rsidR="0043456E" w:rsidRDefault="000E5148" w:rsidP="00BE3B27">
      <w:pPr>
        <w:rPr>
          <w:szCs w:val="22"/>
        </w:rPr>
      </w:pPr>
      <w:r w:rsidRPr="000E5148">
        <w:rPr>
          <w:szCs w:val="22"/>
        </w:rPr>
        <w:t xml:space="preserve">The seven segments and 15 product categories that make up this class contain approximately 63 per cent of the bank of working </w:t>
      </w:r>
      <w:r w:rsidR="00AF4DC9">
        <w:rPr>
          <w:szCs w:val="22"/>
        </w:rPr>
        <w:t xml:space="preserve">refrigerant </w:t>
      </w:r>
      <w:r w:rsidRPr="000E5148">
        <w:rPr>
          <w:szCs w:val="22"/>
        </w:rPr>
        <w:t>gases in Australia, or around</w:t>
      </w:r>
      <w:r w:rsidR="00E633DA">
        <w:rPr>
          <w:szCs w:val="22"/>
        </w:rPr>
        <w:t xml:space="preserve"> 27,200</w:t>
      </w:r>
      <w:r w:rsidRPr="000E5148">
        <w:rPr>
          <w:szCs w:val="22"/>
        </w:rPr>
        <w:t xml:space="preserve"> tonnes, in more than 11.5 million devices that consumed an estimated 39 per cent (1,470 tonnes) of all bulk HCFCs and HFCs imported into Australia in 2012 to replace leaked gas.</w:t>
      </w:r>
    </w:p>
    <w:p w14:paraId="6F7CF034" w14:textId="77777777" w:rsidR="00E633DA" w:rsidRDefault="00E633DA" w:rsidP="00BE3B27">
      <w:pPr>
        <w:rPr>
          <w:szCs w:val="22"/>
        </w:rPr>
      </w:pPr>
    </w:p>
    <w:p w14:paraId="4FDE26A0" w14:textId="03914F52" w:rsidR="0043456E" w:rsidRPr="00D16B26" w:rsidRDefault="0043456E" w:rsidP="0043456E">
      <w:pPr>
        <w:rPr>
          <w:i/>
          <w:szCs w:val="22"/>
        </w:rPr>
      </w:pPr>
      <w:bookmarkStart w:id="13" w:name="_Toc233084047"/>
      <w:r w:rsidRPr="00D16B26">
        <w:rPr>
          <w:i/>
          <w:szCs w:val="22"/>
        </w:rPr>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3</w:t>
      </w:r>
      <w:r w:rsidRPr="00D16B26">
        <w:rPr>
          <w:i/>
          <w:szCs w:val="22"/>
        </w:rPr>
        <w:fldChar w:fldCharType="end"/>
      </w:r>
      <w:r w:rsidRPr="00D16B26">
        <w:rPr>
          <w:i/>
          <w:szCs w:val="22"/>
        </w:rPr>
        <w:t xml:space="preserve">: </w:t>
      </w:r>
      <w:r>
        <w:rPr>
          <w:i/>
          <w:szCs w:val="22"/>
        </w:rPr>
        <w:t xml:space="preserve">Stationary air conditioning </w:t>
      </w:r>
      <w:r w:rsidRPr="00D16B26">
        <w:rPr>
          <w:i/>
          <w:szCs w:val="22"/>
        </w:rPr>
        <w:t>taxonomy</w:t>
      </w:r>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850"/>
        <w:gridCol w:w="1134"/>
        <w:gridCol w:w="2268"/>
        <w:gridCol w:w="1418"/>
        <w:gridCol w:w="3118"/>
      </w:tblGrid>
      <w:tr w:rsidR="0043456E" w:rsidRPr="00923150" w14:paraId="193EDDE2" w14:textId="77777777" w:rsidTr="006D0D5C">
        <w:trPr>
          <w:trHeight w:val="684"/>
        </w:trPr>
        <w:tc>
          <w:tcPr>
            <w:tcW w:w="851" w:type="dxa"/>
            <w:tcBorders>
              <w:top w:val="single" w:sz="8" w:space="0" w:color="auto"/>
              <w:left w:val="single" w:sz="8" w:space="0" w:color="auto"/>
              <w:bottom w:val="nil"/>
              <w:right w:val="single" w:sz="4" w:space="0" w:color="FFFFFF"/>
            </w:tcBorders>
            <w:shd w:val="clear" w:color="auto" w:fill="000000"/>
            <w:vAlign w:val="center"/>
          </w:tcPr>
          <w:p w14:paraId="187CAA82" w14:textId="77777777" w:rsidR="0043456E" w:rsidRPr="00923150" w:rsidRDefault="0043456E" w:rsidP="003E19E1">
            <w:pPr>
              <w:spacing w:after="120"/>
            </w:pPr>
            <w:r>
              <w:t>Item</w:t>
            </w:r>
          </w:p>
        </w:tc>
        <w:tc>
          <w:tcPr>
            <w:tcW w:w="850" w:type="dxa"/>
            <w:tcBorders>
              <w:top w:val="single" w:sz="8" w:space="0" w:color="auto"/>
              <w:left w:val="single" w:sz="4" w:space="0" w:color="FFFFFF"/>
              <w:bottom w:val="nil"/>
              <w:right w:val="single" w:sz="4" w:space="0" w:color="FFFFFF"/>
            </w:tcBorders>
            <w:shd w:val="clear" w:color="auto" w:fill="000000"/>
            <w:vAlign w:val="center"/>
          </w:tcPr>
          <w:p w14:paraId="01A603AA" w14:textId="77777777" w:rsidR="0043456E" w:rsidRDefault="0043456E" w:rsidP="003E19E1">
            <w:pPr>
              <w:spacing w:after="120"/>
              <w:jc w:val="center"/>
            </w:pPr>
            <w:r>
              <w:t>Major class</w:t>
            </w:r>
          </w:p>
        </w:tc>
        <w:tc>
          <w:tcPr>
            <w:tcW w:w="3402" w:type="dxa"/>
            <w:gridSpan w:val="2"/>
            <w:tcBorders>
              <w:top w:val="single" w:sz="8" w:space="0" w:color="auto"/>
              <w:left w:val="single" w:sz="4" w:space="0" w:color="FFFFFF"/>
              <w:bottom w:val="nil"/>
              <w:right w:val="single" w:sz="4" w:space="0" w:color="FFFFFF"/>
            </w:tcBorders>
            <w:shd w:val="clear" w:color="auto" w:fill="000000"/>
            <w:vAlign w:val="center"/>
          </w:tcPr>
          <w:p w14:paraId="58E73A58" w14:textId="77777777" w:rsidR="0043456E" w:rsidRDefault="0043456E" w:rsidP="003E19E1">
            <w:pPr>
              <w:spacing w:after="120"/>
              <w:jc w:val="center"/>
            </w:pPr>
            <w:r>
              <w:t>Segments (application/product)</w:t>
            </w:r>
          </w:p>
        </w:tc>
        <w:tc>
          <w:tcPr>
            <w:tcW w:w="4536" w:type="dxa"/>
            <w:gridSpan w:val="2"/>
            <w:tcBorders>
              <w:top w:val="single" w:sz="8" w:space="0" w:color="auto"/>
              <w:left w:val="single" w:sz="4" w:space="0" w:color="FFFFFF"/>
              <w:bottom w:val="nil"/>
              <w:right w:val="single" w:sz="8" w:space="0" w:color="auto"/>
            </w:tcBorders>
            <w:shd w:val="clear" w:color="auto" w:fill="000000"/>
            <w:vAlign w:val="center"/>
          </w:tcPr>
          <w:p w14:paraId="39B6148B" w14:textId="77777777" w:rsidR="0043456E" w:rsidRPr="00923150" w:rsidRDefault="0043456E" w:rsidP="003E19E1">
            <w:pPr>
              <w:spacing w:after="120"/>
              <w:jc w:val="center"/>
            </w:pPr>
            <w:r>
              <w:t>Product/equipment categories</w:t>
            </w:r>
          </w:p>
        </w:tc>
      </w:tr>
      <w:tr w:rsidR="0043456E" w:rsidRPr="00923150" w14:paraId="043D6440" w14:textId="77777777" w:rsidTr="00CB0A23">
        <w:trPr>
          <w:trHeight w:val="456"/>
        </w:trPr>
        <w:tc>
          <w:tcPr>
            <w:tcW w:w="9639" w:type="dxa"/>
            <w:gridSpan w:val="6"/>
            <w:tcBorders>
              <w:top w:val="nil"/>
            </w:tcBorders>
            <w:shd w:val="clear" w:color="auto" w:fill="CCFFFF"/>
            <w:vAlign w:val="center"/>
          </w:tcPr>
          <w:p w14:paraId="1BD2E239" w14:textId="77777777" w:rsidR="0043456E" w:rsidRPr="00923150" w:rsidRDefault="0043456E" w:rsidP="003E19E1">
            <w:pPr>
              <w:spacing w:before="60" w:after="60"/>
              <w:jc w:val="center"/>
              <w:rPr>
                <w:sz w:val="20"/>
              </w:rPr>
            </w:pPr>
            <w:r>
              <w:rPr>
                <w:sz w:val="20"/>
              </w:rPr>
              <w:t>STATIONARY AIR CONDITIONING</w:t>
            </w:r>
          </w:p>
        </w:tc>
      </w:tr>
      <w:tr w:rsidR="0043456E" w:rsidRPr="00923150" w14:paraId="748D8AC0" w14:textId="77777777" w:rsidTr="001D1518">
        <w:trPr>
          <w:trHeight w:val="456"/>
        </w:trPr>
        <w:tc>
          <w:tcPr>
            <w:tcW w:w="851" w:type="dxa"/>
            <w:tcBorders>
              <w:top w:val="single" w:sz="4" w:space="0" w:color="000000"/>
            </w:tcBorders>
          </w:tcPr>
          <w:p w14:paraId="423B9FED" w14:textId="77777777" w:rsidR="0043456E" w:rsidRPr="00923150" w:rsidRDefault="0043456E" w:rsidP="00215A1A">
            <w:pPr>
              <w:spacing w:before="60" w:after="60"/>
              <w:ind w:left="176" w:hanging="142"/>
              <w:jc w:val="center"/>
              <w:rPr>
                <w:sz w:val="20"/>
              </w:rPr>
            </w:pPr>
            <w:r w:rsidRPr="003F2CDC">
              <w:t>1</w:t>
            </w:r>
          </w:p>
        </w:tc>
        <w:tc>
          <w:tcPr>
            <w:tcW w:w="850" w:type="dxa"/>
            <w:vMerge w:val="restart"/>
            <w:tcBorders>
              <w:top w:val="single" w:sz="4" w:space="0" w:color="000000"/>
            </w:tcBorders>
            <w:textDirection w:val="btLr"/>
            <w:vAlign w:val="center"/>
          </w:tcPr>
          <w:p w14:paraId="0473152D" w14:textId="77777777" w:rsidR="0043456E" w:rsidRDefault="0043456E" w:rsidP="003E19E1">
            <w:pPr>
              <w:spacing w:before="60" w:after="60"/>
              <w:ind w:left="113" w:right="113"/>
              <w:jc w:val="center"/>
              <w:rPr>
                <w:sz w:val="20"/>
              </w:rPr>
            </w:pPr>
            <w:r>
              <w:t>Stationary air conditioning (AC)</w:t>
            </w:r>
            <w:r w:rsidRPr="003F2CDC">
              <w:t xml:space="preserve"> </w:t>
            </w:r>
          </w:p>
        </w:tc>
        <w:tc>
          <w:tcPr>
            <w:tcW w:w="1134" w:type="dxa"/>
            <w:tcBorders>
              <w:top w:val="single" w:sz="4" w:space="0" w:color="000000"/>
            </w:tcBorders>
          </w:tcPr>
          <w:p w14:paraId="4E001D2A" w14:textId="77777777" w:rsidR="0043456E" w:rsidRDefault="0043456E" w:rsidP="003E19E1">
            <w:pPr>
              <w:spacing w:before="60" w:after="60"/>
              <w:jc w:val="center"/>
              <w:rPr>
                <w:sz w:val="20"/>
              </w:rPr>
            </w:pPr>
            <w:r w:rsidRPr="003F2CDC">
              <w:t>AC1</w:t>
            </w:r>
          </w:p>
        </w:tc>
        <w:tc>
          <w:tcPr>
            <w:tcW w:w="2268" w:type="dxa"/>
            <w:tcBorders>
              <w:top w:val="single" w:sz="4" w:space="0" w:color="000000"/>
            </w:tcBorders>
          </w:tcPr>
          <w:p w14:paraId="756BA879" w14:textId="77777777" w:rsidR="0043456E" w:rsidRDefault="0043456E" w:rsidP="003E19E1">
            <w:pPr>
              <w:spacing w:before="60" w:after="60"/>
              <w:jc w:val="left"/>
              <w:rPr>
                <w:sz w:val="20"/>
              </w:rPr>
            </w:pPr>
            <w:r w:rsidRPr="003F2CDC">
              <w:t>Single split: non-ducted</w:t>
            </w:r>
          </w:p>
        </w:tc>
        <w:tc>
          <w:tcPr>
            <w:tcW w:w="1418" w:type="dxa"/>
            <w:tcBorders>
              <w:top w:val="single" w:sz="4" w:space="0" w:color="000000"/>
            </w:tcBorders>
          </w:tcPr>
          <w:p w14:paraId="3E2B3074" w14:textId="77777777" w:rsidR="0043456E" w:rsidRPr="008343EF" w:rsidRDefault="0043456E" w:rsidP="003E19E1">
            <w:pPr>
              <w:spacing w:before="60" w:after="60"/>
              <w:jc w:val="center"/>
              <w:rPr>
                <w:sz w:val="20"/>
              </w:rPr>
            </w:pPr>
            <w:r w:rsidRPr="003F2CDC">
              <w:t>AC1-1</w:t>
            </w:r>
          </w:p>
        </w:tc>
        <w:tc>
          <w:tcPr>
            <w:tcW w:w="3118" w:type="dxa"/>
            <w:tcBorders>
              <w:top w:val="single" w:sz="4" w:space="0" w:color="000000"/>
            </w:tcBorders>
          </w:tcPr>
          <w:p w14:paraId="19EEADC8" w14:textId="77777777" w:rsidR="0043456E" w:rsidRPr="00923150" w:rsidRDefault="0043456E" w:rsidP="003E19E1">
            <w:pPr>
              <w:spacing w:before="60" w:after="60"/>
              <w:jc w:val="left"/>
              <w:rPr>
                <w:sz w:val="20"/>
              </w:rPr>
            </w:pPr>
            <w:r w:rsidRPr="003F2CDC">
              <w:t>Single split: non-ducted: 1-phase</w:t>
            </w:r>
          </w:p>
        </w:tc>
      </w:tr>
      <w:tr w:rsidR="0043456E" w:rsidRPr="00923150" w14:paraId="65433AA6" w14:textId="77777777" w:rsidTr="001D1518">
        <w:trPr>
          <w:trHeight w:val="456"/>
        </w:trPr>
        <w:tc>
          <w:tcPr>
            <w:tcW w:w="851" w:type="dxa"/>
            <w:tcBorders>
              <w:top w:val="single" w:sz="4" w:space="0" w:color="000000"/>
            </w:tcBorders>
          </w:tcPr>
          <w:p w14:paraId="7510D152" w14:textId="77777777" w:rsidR="0043456E" w:rsidRPr="00923150" w:rsidRDefault="0043456E" w:rsidP="00215A1A">
            <w:pPr>
              <w:spacing w:before="60" w:after="60"/>
              <w:ind w:left="176" w:hanging="142"/>
              <w:jc w:val="center"/>
              <w:rPr>
                <w:sz w:val="20"/>
              </w:rPr>
            </w:pPr>
            <w:r w:rsidRPr="003F2CDC">
              <w:t>2</w:t>
            </w:r>
          </w:p>
        </w:tc>
        <w:tc>
          <w:tcPr>
            <w:tcW w:w="850" w:type="dxa"/>
            <w:vMerge/>
          </w:tcPr>
          <w:p w14:paraId="213B3472" w14:textId="77777777" w:rsidR="0043456E" w:rsidRDefault="0043456E" w:rsidP="003E19E1">
            <w:pPr>
              <w:spacing w:before="60" w:after="60"/>
              <w:jc w:val="center"/>
              <w:rPr>
                <w:sz w:val="20"/>
              </w:rPr>
            </w:pPr>
          </w:p>
        </w:tc>
        <w:tc>
          <w:tcPr>
            <w:tcW w:w="1134" w:type="dxa"/>
            <w:tcBorders>
              <w:top w:val="single" w:sz="4" w:space="0" w:color="000000"/>
            </w:tcBorders>
          </w:tcPr>
          <w:p w14:paraId="7757C46A" w14:textId="77777777" w:rsidR="0043456E" w:rsidRDefault="0043456E" w:rsidP="003E19E1">
            <w:pPr>
              <w:spacing w:before="60" w:after="60"/>
              <w:jc w:val="center"/>
              <w:rPr>
                <w:sz w:val="20"/>
              </w:rPr>
            </w:pPr>
            <w:r w:rsidRPr="003F2CDC">
              <w:t>AC1</w:t>
            </w:r>
          </w:p>
        </w:tc>
        <w:tc>
          <w:tcPr>
            <w:tcW w:w="2268" w:type="dxa"/>
            <w:tcBorders>
              <w:top w:val="single" w:sz="4" w:space="0" w:color="000000"/>
            </w:tcBorders>
          </w:tcPr>
          <w:p w14:paraId="7D170FE3" w14:textId="77777777" w:rsidR="0043456E" w:rsidRDefault="0043456E" w:rsidP="003E19E1">
            <w:pPr>
              <w:spacing w:before="60" w:after="60"/>
              <w:jc w:val="left"/>
              <w:rPr>
                <w:sz w:val="20"/>
              </w:rPr>
            </w:pPr>
            <w:r w:rsidRPr="003F2CDC">
              <w:t>Single split: non-ducted</w:t>
            </w:r>
          </w:p>
        </w:tc>
        <w:tc>
          <w:tcPr>
            <w:tcW w:w="1418" w:type="dxa"/>
            <w:tcBorders>
              <w:top w:val="single" w:sz="4" w:space="0" w:color="000000"/>
            </w:tcBorders>
          </w:tcPr>
          <w:p w14:paraId="78C9818E" w14:textId="77777777" w:rsidR="0043456E" w:rsidRPr="008343EF" w:rsidRDefault="0043456E" w:rsidP="003E19E1">
            <w:pPr>
              <w:spacing w:before="60" w:after="60"/>
              <w:jc w:val="center"/>
              <w:rPr>
                <w:sz w:val="20"/>
              </w:rPr>
            </w:pPr>
            <w:r w:rsidRPr="003F2CDC">
              <w:t>AC1-2</w:t>
            </w:r>
          </w:p>
        </w:tc>
        <w:tc>
          <w:tcPr>
            <w:tcW w:w="3118" w:type="dxa"/>
            <w:tcBorders>
              <w:top w:val="single" w:sz="4" w:space="0" w:color="000000"/>
            </w:tcBorders>
          </w:tcPr>
          <w:p w14:paraId="657C1BCB" w14:textId="77777777" w:rsidR="0043456E" w:rsidRPr="00923150" w:rsidRDefault="0043456E" w:rsidP="003E19E1">
            <w:pPr>
              <w:spacing w:before="60" w:after="60"/>
              <w:jc w:val="left"/>
              <w:rPr>
                <w:sz w:val="20"/>
              </w:rPr>
            </w:pPr>
            <w:r w:rsidRPr="003F2CDC">
              <w:t>Single split: non-ducted: 3-phase</w:t>
            </w:r>
          </w:p>
        </w:tc>
      </w:tr>
      <w:tr w:rsidR="0043456E" w:rsidRPr="00923150" w14:paraId="1FE64CA6" w14:textId="77777777" w:rsidTr="001D1518">
        <w:trPr>
          <w:trHeight w:val="456"/>
        </w:trPr>
        <w:tc>
          <w:tcPr>
            <w:tcW w:w="851" w:type="dxa"/>
            <w:tcBorders>
              <w:top w:val="single" w:sz="4" w:space="0" w:color="000000"/>
            </w:tcBorders>
          </w:tcPr>
          <w:p w14:paraId="5F2DCE77" w14:textId="77777777" w:rsidR="0043456E" w:rsidRPr="00923150" w:rsidRDefault="0043456E" w:rsidP="00215A1A">
            <w:pPr>
              <w:spacing w:before="60" w:after="60"/>
              <w:ind w:left="176" w:hanging="142"/>
              <w:jc w:val="center"/>
              <w:rPr>
                <w:sz w:val="20"/>
              </w:rPr>
            </w:pPr>
            <w:r w:rsidRPr="003F2CDC">
              <w:t>3</w:t>
            </w:r>
          </w:p>
        </w:tc>
        <w:tc>
          <w:tcPr>
            <w:tcW w:w="850" w:type="dxa"/>
            <w:vMerge/>
          </w:tcPr>
          <w:p w14:paraId="7B56951A" w14:textId="77777777" w:rsidR="0043456E" w:rsidRDefault="0043456E" w:rsidP="003E19E1">
            <w:pPr>
              <w:spacing w:before="60" w:after="60"/>
              <w:jc w:val="center"/>
              <w:rPr>
                <w:sz w:val="20"/>
              </w:rPr>
            </w:pPr>
          </w:p>
        </w:tc>
        <w:tc>
          <w:tcPr>
            <w:tcW w:w="1134" w:type="dxa"/>
            <w:tcBorders>
              <w:top w:val="single" w:sz="4" w:space="0" w:color="000000"/>
            </w:tcBorders>
          </w:tcPr>
          <w:p w14:paraId="43A2F989" w14:textId="77777777" w:rsidR="0043456E" w:rsidRDefault="0043456E" w:rsidP="003E19E1">
            <w:pPr>
              <w:spacing w:before="60" w:after="60"/>
              <w:jc w:val="center"/>
              <w:rPr>
                <w:sz w:val="20"/>
              </w:rPr>
            </w:pPr>
            <w:r w:rsidRPr="003F2CDC">
              <w:t>AC2</w:t>
            </w:r>
          </w:p>
        </w:tc>
        <w:tc>
          <w:tcPr>
            <w:tcW w:w="2268" w:type="dxa"/>
            <w:tcBorders>
              <w:top w:val="single" w:sz="4" w:space="0" w:color="000000"/>
            </w:tcBorders>
          </w:tcPr>
          <w:p w14:paraId="5E4BD69B" w14:textId="77777777" w:rsidR="0043456E" w:rsidRDefault="0043456E" w:rsidP="003E19E1">
            <w:pPr>
              <w:spacing w:before="60" w:after="60"/>
              <w:jc w:val="left"/>
              <w:rPr>
                <w:sz w:val="20"/>
              </w:rPr>
            </w:pPr>
            <w:r w:rsidRPr="003F2CDC">
              <w:t>Single split: ducted</w:t>
            </w:r>
          </w:p>
        </w:tc>
        <w:tc>
          <w:tcPr>
            <w:tcW w:w="1418" w:type="dxa"/>
            <w:tcBorders>
              <w:top w:val="single" w:sz="4" w:space="0" w:color="000000"/>
            </w:tcBorders>
          </w:tcPr>
          <w:p w14:paraId="1E74F059" w14:textId="77777777" w:rsidR="0043456E" w:rsidRPr="008343EF" w:rsidRDefault="0043456E" w:rsidP="003E19E1">
            <w:pPr>
              <w:spacing w:before="60" w:after="60"/>
              <w:jc w:val="center"/>
              <w:rPr>
                <w:sz w:val="20"/>
              </w:rPr>
            </w:pPr>
            <w:r w:rsidRPr="003F2CDC">
              <w:t>AC2-1</w:t>
            </w:r>
          </w:p>
        </w:tc>
        <w:tc>
          <w:tcPr>
            <w:tcW w:w="3118" w:type="dxa"/>
            <w:tcBorders>
              <w:top w:val="single" w:sz="4" w:space="0" w:color="000000"/>
            </w:tcBorders>
          </w:tcPr>
          <w:p w14:paraId="0735395D" w14:textId="77777777" w:rsidR="0043456E" w:rsidRPr="00923150" w:rsidRDefault="0043456E" w:rsidP="003E19E1">
            <w:pPr>
              <w:spacing w:before="60" w:after="60"/>
              <w:jc w:val="left"/>
              <w:rPr>
                <w:sz w:val="20"/>
              </w:rPr>
            </w:pPr>
            <w:r w:rsidRPr="003F2CDC">
              <w:t>Single split: ducted: 1-phase</w:t>
            </w:r>
          </w:p>
        </w:tc>
      </w:tr>
      <w:tr w:rsidR="0043456E" w:rsidRPr="00923150" w14:paraId="771464D1" w14:textId="77777777" w:rsidTr="001D1518">
        <w:trPr>
          <w:trHeight w:val="456"/>
        </w:trPr>
        <w:tc>
          <w:tcPr>
            <w:tcW w:w="851" w:type="dxa"/>
            <w:tcBorders>
              <w:top w:val="single" w:sz="4" w:space="0" w:color="000000"/>
            </w:tcBorders>
          </w:tcPr>
          <w:p w14:paraId="6117480E" w14:textId="77777777" w:rsidR="0043456E" w:rsidRPr="00923150" w:rsidRDefault="0043456E" w:rsidP="00215A1A">
            <w:pPr>
              <w:spacing w:before="60" w:after="60"/>
              <w:ind w:left="176" w:hanging="142"/>
              <w:jc w:val="center"/>
              <w:rPr>
                <w:sz w:val="20"/>
              </w:rPr>
            </w:pPr>
            <w:r w:rsidRPr="003F2CDC">
              <w:t>4</w:t>
            </w:r>
          </w:p>
        </w:tc>
        <w:tc>
          <w:tcPr>
            <w:tcW w:w="850" w:type="dxa"/>
            <w:vMerge/>
          </w:tcPr>
          <w:p w14:paraId="5534336D" w14:textId="77777777" w:rsidR="0043456E" w:rsidRDefault="0043456E" w:rsidP="003E19E1">
            <w:pPr>
              <w:spacing w:before="60" w:after="60"/>
              <w:jc w:val="center"/>
              <w:rPr>
                <w:sz w:val="20"/>
              </w:rPr>
            </w:pPr>
          </w:p>
        </w:tc>
        <w:tc>
          <w:tcPr>
            <w:tcW w:w="1134" w:type="dxa"/>
            <w:tcBorders>
              <w:top w:val="single" w:sz="4" w:space="0" w:color="000000"/>
            </w:tcBorders>
          </w:tcPr>
          <w:p w14:paraId="4EA5BD7B" w14:textId="77777777" w:rsidR="0043456E" w:rsidRDefault="0043456E" w:rsidP="003E19E1">
            <w:pPr>
              <w:spacing w:before="60" w:after="60"/>
              <w:jc w:val="center"/>
              <w:rPr>
                <w:sz w:val="20"/>
              </w:rPr>
            </w:pPr>
            <w:r w:rsidRPr="003F2CDC">
              <w:t>AC2</w:t>
            </w:r>
          </w:p>
        </w:tc>
        <w:tc>
          <w:tcPr>
            <w:tcW w:w="2268" w:type="dxa"/>
            <w:tcBorders>
              <w:top w:val="single" w:sz="4" w:space="0" w:color="000000"/>
            </w:tcBorders>
          </w:tcPr>
          <w:p w14:paraId="4762EC34" w14:textId="77777777" w:rsidR="0043456E" w:rsidRDefault="0043456E" w:rsidP="003E19E1">
            <w:pPr>
              <w:spacing w:before="60" w:after="60"/>
              <w:jc w:val="left"/>
              <w:rPr>
                <w:sz w:val="20"/>
              </w:rPr>
            </w:pPr>
            <w:r w:rsidRPr="003F2CDC">
              <w:t>Single split: ducted</w:t>
            </w:r>
          </w:p>
        </w:tc>
        <w:tc>
          <w:tcPr>
            <w:tcW w:w="1418" w:type="dxa"/>
            <w:tcBorders>
              <w:top w:val="single" w:sz="4" w:space="0" w:color="000000"/>
            </w:tcBorders>
          </w:tcPr>
          <w:p w14:paraId="390C5C89" w14:textId="77777777" w:rsidR="0043456E" w:rsidRPr="008343EF" w:rsidRDefault="0043456E" w:rsidP="003E19E1">
            <w:pPr>
              <w:spacing w:before="60" w:after="60"/>
              <w:jc w:val="center"/>
              <w:rPr>
                <w:sz w:val="20"/>
              </w:rPr>
            </w:pPr>
            <w:r w:rsidRPr="003F2CDC">
              <w:t>AC2-2</w:t>
            </w:r>
          </w:p>
        </w:tc>
        <w:tc>
          <w:tcPr>
            <w:tcW w:w="3118" w:type="dxa"/>
            <w:tcBorders>
              <w:top w:val="single" w:sz="4" w:space="0" w:color="000000"/>
            </w:tcBorders>
          </w:tcPr>
          <w:p w14:paraId="2A46BED9" w14:textId="77777777" w:rsidR="0043456E" w:rsidRPr="00923150" w:rsidRDefault="0043456E" w:rsidP="003E19E1">
            <w:pPr>
              <w:spacing w:before="60" w:after="60"/>
              <w:jc w:val="left"/>
              <w:rPr>
                <w:sz w:val="20"/>
              </w:rPr>
            </w:pPr>
            <w:r w:rsidRPr="003F2CDC">
              <w:t>Single split: ducted: 3-phase</w:t>
            </w:r>
          </w:p>
        </w:tc>
      </w:tr>
      <w:tr w:rsidR="0043456E" w:rsidRPr="00923150" w14:paraId="61CCDD5C" w14:textId="77777777" w:rsidTr="001D1518">
        <w:trPr>
          <w:trHeight w:val="456"/>
        </w:trPr>
        <w:tc>
          <w:tcPr>
            <w:tcW w:w="851" w:type="dxa"/>
            <w:tcBorders>
              <w:top w:val="single" w:sz="4" w:space="0" w:color="000000"/>
            </w:tcBorders>
          </w:tcPr>
          <w:p w14:paraId="646CABE5" w14:textId="77777777" w:rsidR="0043456E" w:rsidRPr="00923150" w:rsidRDefault="0043456E" w:rsidP="00215A1A">
            <w:pPr>
              <w:spacing w:before="60" w:after="60"/>
              <w:ind w:left="176" w:hanging="142"/>
              <w:jc w:val="center"/>
              <w:rPr>
                <w:sz w:val="20"/>
              </w:rPr>
            </w:pPr>
            <w:r w:rsidRPr="003F2CDC">
              <w:t>5</w:t>
            </w:r>
          </w:p>
        </w:tc>
        <w:tc>
          <w:tcPr>
            <w:tcW w:w="850" w:type="dxa"/>
            <w:vMerge/>
          </w:tcPr>
          <w:p w14:paraId="380B67B4" w14:textId="77777777" w:rsidR="0043456E" w:rsidRDefault="0043456E" w:rsidP="003E19E1">
            <w:pPr>
              <w:spacing w:before="60" w:after="60"/>
              <w:jc w:val="center"/>
              <w:rPr>
                <w:sz w:val="20"/>
              </w:rPr>
            </w:pPr>
          </w:p>
        </w:tc>
        <w:tc>
          <w:tcPr>
            <w:tcW w:w="1134" w:type="dxa"/>
            <w:tcBorders>
              <w:top w:val="single" w:sz="4" w:space="0" w:color="000000"/>
            </w:tcBorders>
          </w:tcPr>
          <w:p w14:paraId="2896335E" w14:textId="77777777" w:rsidR="0043456E" w:rsidRDefault="0043456E" w:rsidP="003E19E1">
            <w:pPr>
              <w:spacing w:before="60" w:after="60"/>
              <w:jc w:val="center"/>
              <w:rPr>
                <w:sz w:val="20"/>
              </w:rPr>
            </w:pPr>
            <w:r w:rsidRPr="003F2CDC">
              <w:t>AC3</w:t>
            </w:r>
          </w:p>
        </w:tc>
        <w:tc>
          <w:tcPr>
            <w:tcW w:w="2268" w:type="dxa"/>
            <w:tcBorders>
              <w:top w:val="single" w:sz="4" w:space="0" w:color="000000"/>
            </w:tcBorders>
          </w:tcPr>
          <w:p w14:paraId="253D61DC" w14:textId="4DCDEC32" w:rsidR="0043456E" w:rsidRDefault="0043456E" w:rsidP="002F2316">
            <w:pPr>
              <w:spacing w:before="60" w:after="60"/>
              <w:jc w:val="left"/>
              <w:rPr>
                <w:sz w:val="20"/>
              </w:rPr>
            </w:pPr>
            <w:r w:rsidRPr="003F2CDC">
              <w:t>Window/</w:t>
            </w:r>
            <w:r w:rsidR="002F2316">
              <w:t>w</w:t>
            </w:r>
            <w:r w:rsidRPr="003F2CDC">
              <w:t>all</w:t>
            </w:r>
          </w:p>
        </w:tc>
        <w:tc>
          <w:tcPr>
            <w:tcW w:w="1418" w:type="dxa"/>
            <w:tcBorders>
              <w:top w:val="single" w:sz="4" w:space="0" w:color="000000"/>
            </w:tcBorders>
          </w:tcPr>
          <w:p w14:paraId="3EDFFE0D" w14:textId="77777777" w:rsidR="0043456E" w:rsidRPr="008343EF" w:rsidRDefault="0043456E" w:rsidP="003E19E1">
            <w:pPr>
              <w:spacing w:before="60" w:after="60"/>
              <w:jc w:val="center"/>
              <w:rPr>
                <w:sz w:val="20"/>
              </w:rPr>
            </w:pPr>
            <w:r w:rsidRPr="003F2CDC">
              <w:t>AC3</w:t>
            </w:r>
          </w:p>
        </w:tc>
        <w:tc>
          <w:tcPr>
            <w:tcW w:w="3118" w:type="dxa"/>
            <w:tcBorders>
              <w:top w:val="single" w:sz="4" w:space="0" w:color="000000"/>
            </w:tcBorders>
          </w:tcPr>
          <w:p w14:paraId="32221D5A" w14:textId="77777777" w:rsidR="0043456E" w:rsidRPr="00923150" w:rsidRDefault="0043456E" w:rsidP="003E19E1">
            <w:pPr>
              <w:spacing w:before="60" w:after="60"/>
              <w:jc w:val="left"/>
              <w:rPr>
                <w:sz w:val="20"/>
              </w:rPr>
            </w:pPr>
            <w:r w:rsidRPr="003F2CDC">
              <w:t xml:space="preserve">Non-Ducted: Unitary 0-10 kWr </w:t>
            </w:r>
          </w:p>
        </w:tc>
      </w:tr>
      <w:tr w:rsidR="0043456E" w:rsidRPr="00923150" w14:paraId="4D7333E0" w14:textId="77777777" w:rsidTr="001D1518">
        <w:trPr>
          <w:trHeight w:val="456"/>
        </w:trPr>
        <w:tc>
          <w:tcPr>
            <w:tcW w:w="851" w:type="dxa"/>
            <w:tcBorders>
              <w:top w:val="single" w:sz="4" w:space="0" w:color="000000"/>
            </w:tcBorders>
          </w:tcPr>
          <w:p w14:paraId="0B550032" w14:textId="77777777" w:rsidR="0043456E" w:rsidRPr="00923150" w:rsidRDefault="0043456E" w:rsidP="00215A1A">
            <w:pPr>
              <w:spacing w:before="60" w:after="60"/>
              <w:ind w:left="176" w:hanging="142"/>
              <w:jc w:val="center"/>
              <w:rPr>
                <w:sz w:val="20"/>
              </w:rPr>
            </w:pPr>
            <w:r w:rsidRPr="003F2CDC">
              <w:t>6</w:t>
            </w:r>
          </w:p>
        </w:tc>
        <w:tc>
          <w:tcPr>
            <w:tcW w:w="850" w:type="dxa"/>
            <w:vMerge/>
          </w:tcPr>
          <w:p w14:paraId="56F5359C" w14:textId="77777777" w:rsidR="0043456E" w:rsidRDefault="0043456E" w:rsidP="003E19E1">
            <w:pPr>
              <w:spacing w:before="60" w:after="60"/>
              <w:jc w:val="center"/>
              <w:rPr>
                <w:sz w:val="20"/>
              </w:rPr>
            </w:pPr>
          </w:p>
        </w:tc>
        <w:tc>
          <w:tcPr>
            <w:tcW w:w="1134" w:type="dxa"/>
            <w:tcBorders>
              <w:top w:val="single" w:sz="4" w:space="0" w:color="000000"/>
            </w:tcBorders>
          </w:tcPr>
          <w:p w14:paraId="18168B66" w14:textId="77777777" w:rsidR="0043456E" w:rsidRDefault="0043456E" w:rsidP="003E19E1">
            <w:pPr>
              <w:spacing w:before="60" w:after="60"/>
              <w:jc w:val="center"/>
              <w:rPr>
                <w:sz w:val="20"/>
              </w:rPr>
            </w:pPr>
            <w:r w:rsidRPr="003F2CDC">
              <w:t>AC4</w:t>
            </w:r>
          </w:p>
        </w:tc>
        <w:tc>
          <w:tcPr>
            <w:tcW w:w="2268" w:type="dxa"/>
            <w:tcBorders>
              <w:top w:val="single" w:sz="4" w:space="0" w:color="000000"/>
            </w:tcBorders>
          </w:tcPr>
          <w:p w14:paraId="33EE86D8" w14:textId="77777777" w:rsidR="0043456E" w:rsidRDefault="0043456E" w:rsidP="003E19E1">
            <w:pPr>
              <w:spacing w:before="60" w:after="60"/>
              <w:jc w:val="left"/>
              <w:rPr>
                <w:sz w:val="20"/>
              </w:rPr>
            </w:pPr>
            <w:r w:rsidRPr="003F2CDC">
              <w:t>Portable AC</w:t>
            </w:r>
          </w:p>
        </w:tc>
        <w:tc>
          <w:tcPr>
            <w:tcW w:w="1418" w:type="dxa"/>
            <w:tcBorders>
              <w:top w:val="single" w:sz="4" w:space="0" w:color="000000"/>
            </w:tcBorders>
          </w:tcPr>
          <w:p w14:paraId="60B7EE8C" w14:textId="77777777" w:rsidR="0043456E" w:rsidRPr="008343EF" w:rsidRDefault="0043456E" w:rsidP="003E19E1">
            <w:pPr>
              <w:spacing w:before="60" w:after="60"/>
              <w:jc w:val="center"/>
              <w:rPr>
                <w:sz w:val="20"/>
              </w:rPr>
            </w:pPr>
            <w:r w:rsidRPr="003F2CDC">
              <w:t>AC4</w:t>
            </w:r>
          </w:p>
        </w:tc>
        <w:tc>
          <w:tcPr>
            <w:tcW w:w="3118" w:type="dxa"/>
            <w:tcBorders>
              <w:top w:val="single" w:sz="4" w:space="0" w:color="000000"/>
            </w:tcBorders>
          </w:tcPr>
          <w:p w14:paraId="0B476826" w14:textId="77777777" w:rsidR="0043456E" w:rsidRPr="00923150" w:rsidRDefault="0043456E" w:rsidP="003E19E1">
            <w:pPr>
              <w:spacing w:before="60" w:after="60"/>
              <w:jc w:val="left"/>
              <w:rPr>
                <w:sz w:val="20"/>
              </w:rPr>
            </w:pPr>
            <w:r w:rsidRPr="003F2CDC">
              <w:t>Portable AC 0-10 kWr</w:t>
            </w:r>
          </w:p>
        </w:tc>
      </w:tr>
      <w:tr w:rsidR="0043456E" w:rsidRPr="00923150" w14:paraId="38BF8D8C" w14:textId="77777777" w:rsidTr="001D1518">
        <w:trPr>
          <w:trHeight w:val="456"/>
        </w:trPr>
        <w:tc>
          <w:tcPr>
            <w:tcW w:w="851" w:type="dxa"/>
            <w:tcBorders>
              <w:top w:val="single" w:sz="4" w:space="0" w:color="000000"/>
            </w:tcBorders>
          </w:tcPr>
          <w:p w14:paraId="5799E972" w14:textId="77777777" w:rsidR="0043456E" w:rsidRPr="00923150" w:rsidRDefault="0043456E" w:rsidP="00215A1A">
            <w:pPr>
              <w:spacing w:before="60" w:after="60"/>
              <w:ind w:left="176" w:hanging="142"/>
              <w:jc w:val="center"/>
              <w:rPr>
                <w:sz w:val="20"/>
              </w:rPr>
            </w:pPr>
            <w:r w:rsidRPr="003F2CDC">
              <w:t>7</w:t>
            </w:r>
          </w:p>
        </w:tc>
        <w:tc>
          <w:tcPr>
            <w:tcW w:w="850" w:type="dxa"/>
            <w:vMerge/>
          </w:tcPr>
          <w:p w14:paraId="469DA8C9" w14:textId="77777777" w:rsidR="0043456E" w:rsidRDefault="0043456E" w:rsidP="003E19E1">
            <w:pPr>
              <w:spacing w:before="60" w:after="60"/>
              <w:jc w:val="center"/>
              <w:rPr>
                <w:sz w:val="20"/>
              </w:rPr>
            </w:pPr>
          </w:p>
        </w:tc>
        <w:tc>
          <w:tcPr>
            <w:tcW w:w="1134" w:type="dxa"/>
            <w:tcBorders>
              <w:top w:val="single" w:sz="4" w:space="0" w:color="000000"/>
            </w:tcBorders>
          </w:tcPr>
          <w:p w14:paraId="2960EFDA" w14:textId="77777777" w:rsidR="0043456E" w:rsidRDefault="0043456E" w:rsidP="003E19E1">
            <w:pPr>
              <w:spacing w:before="60" w:after="60"/>
              <w:jc w:val="center"/>
              <w:rPr>
                <w:sz w:val="20"/>
              </w:rPr>
            </w:pPr>
            <w:r w:rsidRPr="003F2CDC">
              <w:t>AC5</w:t>
            </w:r>
          </w:p>
        </w:tc>
        <w:tc>
          <w:tcPr>
            <w:tcW w:w="2268" w:type="dxa"/>
            <w:tcBorders>
              <w:top w:val="single" w:sz="4" w:space="0" w:color="000000"/>
            </w:tcBorders>
          </w:tcPr>
          <w:p w14:paraId="06DE46F4" w14:textId="77777777" w:rsidR="0043456E" w:rsidRDefault="0043456E" w:rsidP="003E19E1">
            <w:pPr>
              <w:spacing w:before="60" w:after="60"/>
              <w:jc w:val="left"/>
              <w:rPr>
                <w:sz w:val="20"/>
              </w:rPr>
            </w:pPr>
            <w:r w:rsidRPr="003F2CDC">
              <w:t>Chillers</w:t>
            </w:r>
          </w:p>
        </w:tc>
        <w:tc>
          <w:tcPr>
            <w:tcW w:w="1418" w:type="dxa"/>
            <w:tcBorders>
              <w:top w:val="single" w:sz="4" w:space="0" w:color="000000"/>
            </w:tcBorders>
          </w:tcPr>
          <w:p w14:paraId="1854C06E" w14:textId="77777777" w:rsidR="0043456E" w:rsidRPr="008343EF" w:rsidRDefault="0043456E" w:rsidP="003E19E1">
            <w:pPr>
              <w:spacing w:before="60" w:after="60"/>
              <w:jc w:val="center"/>
              <w:rPr>
                <w:sz w:val="20"/>
              </w:rPr>
            </w:pPr>
            <w:r w:rsidRPr="003F2CDC">
              <w:t>AC5-1</w:t>
            </w:r>
          </w:p>
        </w:tc>
        <w:tc>
          <w:tcPr>
            <w:tcW w:w="3118" w:type="dxa"/>
            <w:tcBorders>
              <w:top w:val="single" w:sz="4" w:space="0" w:color="000000"/>
            </w:tcBorders>
          </w:tcPr>
          <w:p w14:paraId="066701DF" w14:textId="77777777" w:rsidR="0043456E" w:rsidRPr="00923150" w:rsidRDefault="0043456E" w:rsidP="003E19E1">
            <w:pPr>
              <w:spacing w:before="60" w:after="60"/>
              <w:jc w:val="left"/>
              <w:rPr>
                <w:sz w:val="20"/>
              </w:rPr>
            </w:pPr>
            <w:r w:rsidRPr="003F2CDC">
              <w:t>&lt;500 kWr</w:t>
            </w:r>
          </w:p>
        </w:tc>
      </w:tr>
      <w:tr w:rsidR="0043456E" w:rsidRPr="00923150" w14:paraId="0602AC22" w14:textId="77777777" w:rsidTr="001D1518">
        <w:trPr>
          <w:trHeight w:val="456"/>
        </w:trPr>
        <w:tc>
          <w:tcPr>
            <w:tcW w:w="851" w:type="dxa"/>
            <w:tcBorders>
              <w:top w:val="single" w:sz="4" w:space="0" w:color="000000"/>
            </w:tcBorders>
          </w:tcPr>
          <w:p w14:paraId="27A5FCEB" w14:textId="77777777" w:rsidR="0043456E" w:rsidRPr="00923150" w:rsidRDefault="0043456E" w:rsidP="00215A1A">
            <w:pPr>
              <w:spacing w:before="60" w:after="60"/>
              <w:ind w:left="284" w:hanging="142"/>
              <w:jc w:val="center"/>
              <w:rPr>
                <w:sz w:val="20"/>
              </w:rPr>
            </w:pPr>
            <w:r w:rsidRPr="003F2CDC">
              <w:t>8</w:t>
            </w:r>
          </w:p>
        </w:tc>
        <w:tc>
          <w:tcPr>
            <w:tcW w:w="850" w:type="dxa"/>
            <w:vMerge/>
          </w:tcPr>
          <w:p w14:paraId="25E47AAC" w14:textId="77777777" w:rsidR="0043456E" w:rsidRDefault="0043456E" w:rsidP="003E19E1">
            <w:pPr>
              <w:spacing w:before="60" w:after="60"/>
              <w:jc w:val="center"/>
              <w:rPr>
                <w:sz w:val="20"/>
              </w:rPr>
            </w:pPr>
          </w:p>
        </w:tc>
        <w:tc>
          <w:tcPr>
            <w:tcW w:w="1134" w:type="dxa"/>
            <w:tcBorders>
              <w:top w:val="single" w:sz="4" w:space="0" w:color="000000"/>
            </w:tcBorders>
          </w:tcPr>
          <w:p w14:paraId="4942CDE8" w14:textId="77777777" w:rsidR="0043456E" w:rsidRDefault="0043456E" w:rsidP="003E19E1">
            <w:pPr>
              <w:spacing w:before="60" w:after="60"/>
              <w:jc w:val="center"/>
              <w:rPr>
                <w:sz w:val="20"/>
              </w:rPr>
            </w:pPr>
            <w:r w:rsidRPr="003F2CDC">
              <w:t>AC5</w:t>
            </w:r>
          </w:p>
        </w:tc>
        <w:tc>
          <w:tcPr>
            <w:tcW w:w="2268" w:type="dxa"/>
            <w:tcBorders>
              <w:top w:val="single" w:sz="4" w:space="0" w:color="000000"/>
            </w:tcBorders>
          </w:tcPr>
          <w:p w14:paraId="22E22AAE" w14:textId="77777777" w:rsidR="0043456E" w:rsidRDefault="0043456E" w:rsidP="003E19E1">
            <w:pPr>
              <w:spacing w:before="60" w:after="60"/>
              <w:jc w:val="left"/>
              <w:rPr>
                <w:sz w:val="20"/>
              </w:rPr>
            </w:pPr>
            <w:r w:rsidRPr="003F2CDC">
              <w:t>Chillers</w:t>
            </w:r>
          </w:p>
        </w:tc>
        <w:tc>
          <w:tcPr>
            <w:tcW w:w="1418" w:type="dxa"/>
            <w:tcBorders>
              <w:top w:val="single" w:sz="4" w:space="0" w:color="000000"/>
            </w:tcBorders>
          </w:tcPr>
          <w:p w14:paraId="598C102E" w14:textId="77777777" w:rsidR="0043456E" w:rsidRPr="008343EF" w:rsidRDefault="0043456E" w:rsidP="003E19E1">
            <w:pPr>
              <w:spacing w:before="60" w:after="60"/>
              <w:jc w:val="center"/>
              <w:rPr>
                <w:sz w:val="20"/>
              </w:rPr>
            </w:pPr>
            <w:r w:rsidRPr="003F2CDC">
              <w:t>AC5-2</w:t>
            </w:r>
          </w:p>
        </w:tc>
        <w:tc>
          <w:tcPr>
            <w:tcW w:w="3118" w:type="dxa"/>
            <w:tcBorders>
              <w:top w:val="single" w:sz="4" w:space="0" w:color="000000"/>
            </w:tcBorders>
          </w:tcPr>
          <w:p w14:paraId="6D558CAD" w14:textId="77777777" w:rsidR="0043456E" w:rsidRPr="00923150" w:rsidRDefault="0043456E" w:rsidP="003E19E1">
            <w:pPr>
              <w:spacing w:before="60" w:after="60"/>
              <w:jc w:val="left"/>
              <w:rPr>
                <w:sz w:val="20"/>
              </w:rPr>
            </w:pPr>
            <w:r w:rsidRPr="003F2CDC">
              <w:t>&gt;500 &amp; &lt;1000 kWr</w:t>
            </w:r>
          </w:p>
        </w:tc>
      </w:tr>
      <w:tr w:rsidR="0043456E" w:rsidRPr="00923150" w14:paraId="1D27B250" w14:textId="77777777" w:rsidTr="001D1518">
        <w:trPr>
          <w:trHeight w:val="456"/>
        </w:trPr>
        <w:tc>
          <w:tcPr>
            <w:tcW w:w="851" w:type="dxa"/>
            <w:tcBorders>
              <w:top w:val="single" w:sz="4" w:space="0" w:color="000000"/>
            </w:tcBorders>
          </w:tcPr>
          <w:p w14:paraId="2F923B64" w14:textId="77777777" w:rsidR="0043456E" w:rsidRPr="00923150" w:rsidRDefault="0043456E" w:rsidP="00215A1A">
            <w:pPr>
              <w:spacing w:before="60" w:after="60"/>
              <w:ind w:left="284" w:hanging="142"/>
              <w:jc w:val="center"/>
              <w:rPr>
                <w:sz w:val="20"/>
              </w:rPr>
            </w:pPr>
            <w:r w:rsidRPr="003F2CDC">
              <w:t>9</w:t>
            </w:r>
          </w:p>
        </w:tc>
        <w:tc>
          <w:tcPr>
            <w:tcW w:w="850" w:type="dxa"/>
            <w:vMerge/>
          </w:tcPr>
          <w:p w14:paraId="17FD3729" w14:textId="77777777" w:rsidR="0043456E" w:rsidRDefault="0043456E" w:rsidP="003E19E1">
            <w:pPr>
              <w:spacing w:before="60" w:after="60"/>
              <w:jc w:val="center"/>
              <w:rPr>
                <w:sz w:val="20"/>
              </w:rPr>
            </w:pPr>
          </w:p>
        </w:tc>
        <w:tc>
          <w:tcPr>
            <w:tcW w:w="1134" w:type="dxa"/>
            <w:tcBorders>
              <w:top w:val="single" w:sz="4" w:space="0" w:color="000000"/>
            </w:tcBorders>
          </w:tcPr>
          <w:p w14:paraId="6839CC7A" w14:textId="77777777" w:rsidR="0043456E" w:rsidRDefault="0043456E" w:rsidP="003E19E1">
            <w:pPr>
              <w:spacing w:before="60" w:after="60"/>
              <w:jc w:val="center"/>
              <w:rPr>
                <w:sz w:val="20"/>
              </w:rPr>
            </w:pPr>
            <w:r w:rsidRPr="003F2CDC">
              <w:t>AC5</w:t>
            </w:r>
          </w:p>
        </w:tc>
        <w:tc>
          <w:tcPr>
            <w:tcW w:w="2268" w:type="dxa"/>
            <w:tcBorders>
              <w:top w:val="single" w:sz="4" w:space="0" w:color="000000"/>
            </w:tcBorders>
          </w:tcPr>
          <w:p w14:paraId="0C664116" w14:textId="77777777" w:rsidR="0043456E" w:rsidRDefault="0043456E" w:rsidP="003E19E1">
            <w:pPr>
              <w:spacing w:before="60" w:after="60"/>
              <w:jc w:val="left"/>
              <w:rPr>
                <w:sz w:val="20"/>
              </w:rPr>
            </w:pPr>
            <w:r w:rsidRPr="003F2CDC">
              <w:t>Chillers</w:t>
            </w:r>
          </w:p>
        </w:tc>
        <w:tc>
          <w:tcPr>
            <w:tcW w:w="1418" w:type="dxa"/>
            <w:tcBorders>
              <w:top w:val="single" w:sz="4" w:space="0" w:color="000000"/>
            </w:tcBorders>
          </w:tcPr>
          <w:p w14:paraId="49DB9786" w14:textId="77777777" w:rsidR="0043456E" w:rsidRPr="008343EF" w:rsidRDefault="0043456E" w:rsidP="003E19E1">
            <w:pPr>
              <w:spacing w:before="60" w:after="60"/>
              <w:jc w:val="center"/>
              <w:rPr>
                <w:sz w:val="20"/>
              </w:rPr>
            </w:pPr>
            <w:r w:rsidRPr="003F2CDC">
              <w:t>AC5-3</w:t>
            </w:r>
          </w:p>
        </w:tc>
        <w:tc>
          <w:tcPr>
            <w:tcW w:w="3118" w:type="dxa"/>
            <w:tcBorders>
              <w:top w:val="single" w:sz="4" w:space="0" w:color="000000"/>
            </w:tcBorders>
          </w:tcPr>
          <w:p w14:paraId="0850C1CE" w14:textId="77777777" w:rsidR="0043456E" w:rsidRPr="00923150" w:rsidRDefault="0043456E" w:rsidP="003E19E1">
            <w:pPr>
              <w:spacing w:before="60" w:after="60"/>
              <w:jc w:val="left"/>
              <w:rPr>
                <w:sz w:val="20"/>
              </w:rPr>
            </w:pPr>
            <w:r w:rsidRPr="003F2CDC">
              <w:t>&gt;1000 kWr</w:t>
            </w:r>
          </w:p>
        </w:tc>
      </w:tr>
      <w:tr w:rsidR="0043456E" w:rsidRPr="00923150" w14:paraId="2FBE5248" w14:textId="77777777" w:rsidTr="001D1518">
        <w:trPr>
          <w:trHeight w:val="456"/>
        </w:trPr>
        <w:tc>
          <w:tcPr>
            <w:tcW w:w="851" w:type="dxa"/>
            <w:tcBorders>
              <w:top w:val="single" w:sz="4" w:space="0" w:color="000000"/>
            </w:tcBorders>
          </w:tcPr>
          <w:p w14:paraId="16F05C90" w14:textId="77777777" w:rsidR="0043456E" w:rsidRPr="00923150" w:rsidRDefault="0043456E" w:rsidP="00215A1A">
            <w:pPr>
              <w:spacing w:before="60" w:after="60"/>
              <w:ind w:left="284" w:hanging="142"/>
              <w:jc w:val="center"/>
              <w:rPr>
                <w:sz w:val="20"/>
              </w:rPr>
            </w:pPr>
            <w:r w:rsidRPr="003F2CDC">
              <w:t>10</w:t>
            </w:r>
          </w:p>
        </w:tc>
        <w:tc>
          <w:tcPr>
            <w:tcW w:w="850" w:type="dxa"/>
            <w:vMerge/>
          </w:tcPr>
          <w:p w14:paraId="1E1BCE51" w14:textId="77777777" w:rsidR="0043456E" w:rsidRDefault="0043456E" w:rsidP="003E19E1">
            <w:pPr>
              <w:spacing w:before="60" w:after="60"/>
              <w:jc w:val="center"/>
              <w:rPr>
                <w:sz w:val="20"/>
              </w:rPr>
            </w:pPr>
          </w:p>
        </w:tc>
        <w:tc>
          <w:tcPr>
            <w:tcW w:w="1134" w:type="dxa"/>
            <w:tcBorders>
              <w:top w:val="single" w:sz="4" w:space="0" w:color="000000"/>
            </w:tcBorders>
          </w:tcPr>
          <w:p w14:paraId="2BC6B046" w14:textId="77777777" w:rsidR="0043456E" w:rsidRDefault="0043456E" w:rsidP="003E19E1">
            <w:pPr>
              <w:spacing w:before="60" w:after="60"/>
              <w:jc w:val="center"/>
              <w:rPr>
                <w:sz w:val="20"/>
              </w:rPr>
            </w:pPr>
            <w:r w:rsidRPr="003F2CDC">
              <w:t>AC6</w:t>
            </w:r>
          </w:p>
        </w:tc>
        <w:tc>
          <w:tcPr>
            <w:tcW w:w="2268" w:type="dxa"/>
            <w:tcBorders>
              <w:top w:val="single" w:sz="4" w:space="0" w:color="000000"/>
            </w:tcBorders>
          </w:tcPr>
          <w:p w14:paraId="006545C6" w14:textId="77777777" w:rsidR="0043456E" w:rsidRDefault="0043456E" w:rsidP="003E19E1">
            <w:pPr>
              <w:spacing w:before="60" w:after="60"/>
              <w:jc w:val="left"/>
              <w:rPr>
                <w:sz w:val="20"/>
              </w:rPr>
            </w:pPr>
            <w:r w:rsidRPr="003F2CDC">
              <w:t>Light commercial</w:t>
            </w:r>
          </w:p>
        </w:tc>
        <w:tc>
          <w:tcPr>
            <w:tcW w:w="1418" w:type="dxa"/>
            <w:tcBorders>
              <w:top w:val="single" w:sz="4" w:space="0" w:color="000000"/>
            </w:tcBorders>
          </w:tcPr>
          <w:p w14:paraId="48327653" w14:textId="77777777" w:rsidR="0043456E" w:rsidRPr="008343EF" w:rsidRDefault="0043456E" w:rsidP="003E19E1">
            <w:pPr>
              <w:spacing w:before="60" w:after="60"/>
              <w:jc w:val="center"/>
              <w:rPr>
                <w:sz w:val="20"/>
              </w:rPr>
            </w:pPr>
            <w:r w:rsidRPr="003F2CDC">
              <w:t>AC6-1</w:t>
            </w:r>
          </w:p>
        </w:tc>
        <w:tc>
          <w:tcPr>
            <w:tcW w:w="3118" w:type="dxa"/>
            <w:tcBorders>
              <w:top w:val="single" w:sz="4" w:space="0" w:color="000000"/>
            </w:tcBorders>
          </w:tcPr>
          <w:p w14:paraId="52F22D3D" w14:textId="77777777" w:rsidR="0043456E" w:rsidRPr="00923150" w:rsidRDefault="0043456E" w:rsidP="003E19E1">
            <w:pPr>
              <w:spacing w:before="60" w:after="60"/>
              <w:jc w:val="left"/>
              <w:rPr>
                <w:sz w:val="20"/>
              </w:rPr>
            </w:pPr>
            <w:r w:rsidRPr="003F2CDC">
              <w:t>RT Packaged systems</w:t>
            </w:r>
          </w:p>
        </w:tc>
      </w:tr>
      <w:tr w:rsidR="0043456E" w:rsidRPr="00923150" w14:paraId="088DA220" w14:textId="77777777" w:rsidTr="001D1518">
        <w:trPr>
          <w:trHeight w:val="456"/>
        </w:trPr>
        <w:tc>
          <w:tcPr>
            <w:tcW w:w="851" w:type="dxa"/>
            <w:tcBorders>
              <w:top w:val="single" w:sz="4" w:space="0" w:color="000000"/>
            </w:tcBorders>
          </w:tcPr>
          <w:p w14:paraId="336754D2" w14:textId="77777777" w:rsidR="0043456E" w:rsidRPr="00923150" w:rsidRDefault="0043456E" w:rsidP="00215A1A">
            <w:pPr>
              <w:spacing w:before="60" w:after="60"/>
              <w:ind w:left="284" w:hanging="142"/>
              <w:jc w:val="center"/>
              <w:rPr>
                <w:sz w:val="20"/>
              </w:rPr>
            </w:pPr>
            <w:r w:rsidRPr="003F2CDC">
              <w:t>11</w:t>
            </w:r>
          </w:p>
        </w:tc>
        <w:tc>
          <w:tcPr>
            <w:tcW w:w="850" w:type="dxa"/>
            <w:vMerge/>
          </w:tcPr>
          <w:p w14:paraId="1E2DCCC4" w14:textId="77777777" w:rsidR="0043456E" w:rsidRDefault="0043456E" w:rsidP="003E19E1">
            <w:pPr>
              <w:spacing w:before="60" w:after="60"/>
              <w:jc w:val="center"/>
              <w:rPr>
                <w:sz w:val="20"/>
              </w:rPr>
            </w:pPr>
          </w:p>
        </w:tc>
        <w:tc>
          <w:tcPr>
            <w:tcW w:w="1134" w:type="dxa"/>
            <w:tcBorders>
              <w:top w:val="single" w:sz="4" w:space="0" w:color="000000"/>
            </w:tcBorders>
          </w:tcPr>
          <w:p w14:paraId="5E1531D3" w14:textId="77777777" w:rsidR="0043456E" w:rsidRDefault="0043456E" w:rsidP="003E19E1">
            <w:pPr>
              <w:spacing w:before="60" w:after="60"/>
              <w:jc w:val="center"/>
              <w:rPr>
                <w:sz w:val="20"/>
              </w:rPr>
            </w:pPr>
            <w:r w:rsidRPr="003F2CDC">
              <w:t>AC6</w:t>
            </w:r>
          </w:p>
        </w:tc>
        <w:tc>
          <w:tcPr>
            <w:tcW w:w="2268" w:type="dxa"/>
            <w:tcBorders>
              <w:top w:val="single" w:sz="4" w:space="0" w:color="000000"/>
            </w:tcBorders>
          </w:tcPr>
          <w:p w14:paraId="6E255573" w14:textId="77777777" w:rsidR="0043456E" w:rsidRDefault="0043456E" w:rsidP="003E19E1">
            <w:pPr>
              <w:spacing w:before="60" w:after="60"/>
              <w:jc w:val="left"/>
              <w:rPr>
                <w:sz w:val="20"/>
              </w:rPr>
            </w:pPr>
            <w:r w:rsidRPr="003F2CDC">
              <w:t>Light commercial</w:t>
            </w:r>
          </w:p>
        </w:tc>
        <w:tc>
          <w:tcPr>
            <w:tcW w:w="1418" w:type="dxa"/>
            <w:tcBorders>
              <w:top w:val="single" w:sz="4" w:space="0" w:color="000000"/>
            </w:tcBorders>
          </w:tcPr>
          <w:p w14:paraId="294C08E7" w14:textId="77777777" w:rsidR="0043456E" w:rsidRPr="008343EF" w:rsidRDefault="0043456E" w:rsidP="003E19E1">
            <w:pPr>
              <w:spacing w:before="60" w:after="60"/>
              <w:jc w:val="center"/>
              <w:rPr>
                <w:sz w:val="20"/>
              </w:rPr>
            </w:pPr>
            <w:r w:rsidRPr="003F2CDC">
              <w:t>AC6-2</w:t>
            </w:r>
          </w:p>
        </w:tc>
        <w:tc>
          <w:tcPr>
            <w:tcW w:w="3118" w:type="dxa"/>
            <w:tcBorders>
              <w:top w:val="single" w:sz="4" w:space="0" w:color="000000"/>
            </w:tcBorders>
          </w:tcPr>
          <w:p w14:paraId="64FE3D96" w14:textId="77777777" w:rsidR="0043456E" w:rsidRPr="00923150" w:rsidRDefault="0043456E" w:rsidP="003E19E1">
            <w:pPr>
              <w:spacing w:before="60" w:after="60"/>
              <w:jc w:val="left"/>
              <w:rPr>
                <w:sz w:val="20"/>
              </w:rPr>
            </w:pPr>
            <w:r w:rsidRPr="003F2CDC">
              <w:t>Multi split/VRF</w:t>
            </w:r>
          </w:p>
        </w:tc>
      </w:tr>
      <w:tr w:rsidR="0043456E" w:rsidRPr="00923150" w14:paraId="75C9599F" w14:textId="77777777" w:rsidTr="001D1518">
        <w:trPr>
          <w:trHeight w:val="456"/>
        </w:trPr>
        <w:tc>
          <w:tcPr>
            <w:tcW w:w="851" w:type="dxa"/>
            <w:tcBorders>
              <w:top w:val="single" w:sz="4" w:space="0" w:color="000000"/>
            </w:tcBorders>
          </w:tcPr>
          <w:p w14:paraId="3C91580D" w14:textId="77777777" w:rsidR="0043456E" w:rsidRPr="00923150" w:rsidRDefault="0043456E" w:rsidP="00215A1A">
            <w:pPr>
              <w:spacing w:before="60" w:after="60"/>
              <w:ind w:left="284" w:hanging="142"/>
              <w:jc w:val="center"/>
              <w:rPr>
                <w:sz w:val="20"/>
              </w:rPr>
            </w:pPr>
            <w:r w:rsidRPr="003F2CDC">
              <w:t>12</w:t>
            </w:r>
          </w:p>
        </w:tc>
        <w:tc>
          <w:tcPr>
            <w:tcW w:w="850" w:type="dxa"/>
            <w:vMerge/>
          </w:tcPr>
          <w:p w14:paraId="2EEBCDEE" w14:textId="77777777" w:rsidR="0043456E" w:rsidRDefault="0043456E" w:rsidP="003E19E1">
            <w:pPr>
              <w:spacing w:before="60" w:after="60"/>
              <w:jc w:val="center"/>
              <w:rPr>
                <w:sz w:val="20"/>
              </w:rPr>
            </w:pPr>
          </w:p>
        </w:tc>
        <w:tc>
          <w:tcPr>
            <w:tcW w:w="1134" w:type="dxa"/>
            <w:tcBorders>
              <w:top w:val="single" w:sz="4" w:space="0" w:color="000000"/>
            </w:tcBorders>
          </w:tcPr>
          <w:p w14:paraId="2747E9D2" w14:textId="77777777" w:rsidR="0043456E" w:rsidRDefault="0043456E" w:rsidP="003E19E1">
            <w:pPr>
              <w:spacing w:before="60" w:after="60"/>
              <w:jc w:val="center"/>
              <w:rPr>
                <w:sz w:val="20"/>
              </w:rPr>
            </w:pPr>
            <w:r w:rsidRPr="003F2CDC">
              <w:t>AC6</w:t>
            </w:r>
          </w:p>
        </w:tc>
        <w:tc>
          <w:tcPr>
            <w:tcW w:w="2268" w:type="dxa"/>
            <w:tcBorders>
              <w:top w:val="single" w:sz="4" w:space="0" w:color="000000"/>
            </w:tcBorders>
          </w:tcPr>
          <w:p w14:paraId="0CE1E646" w14:textId="77777777" w:rsidR="0043456E" w:rsidRDefault="0043456E" w:rsidP="003E19E1">
            <w:pPr>
              <w:spacing w:before="60" w:after="60"/>
              <w:jc w:val="left"/>
              <w:rPr>
                <w:sz w:val="20"/>
              </w:rPr>
            </w:pPr>
            <w:r w:rsidRPr="003F2CDC">
              <w:t>Light commercial</w:t>
            </w:r>
          </w:p>
        </w:tc>
        <w:tc>
          <w:tcPr>
            <w:tcW w:w="1418" w:type="dxa"/>
            <w:tcBorders>
              <w:top w:val="single" w:sz="4" w:space="0" w:color="000000"/>
            </w:tcBorders>
          </w:tcPr>
          <w:p w14:paraId="514BBBC2" w14:textId="77777777" w:rsidR="0043456E" w:rsidRPr="008343EF" w:rsidRDefault="0043456E" w:rsidP="003E19E1">
            <w:pPr>
              <w:spacing w:before="60" w:after="60"/>
              <w:jc w:val="center"/>
              <w:rPr>
                <w:sz w:val="20"/>
              </w:rPr>
            </w:pPr>
            <w:r w:rsidRPr="003F2CDC">
              <w:t>AC6-3</w:t>
            </w:r>
          </w:p>
        </w:tc>
        <w:tc>
          <w:tcPr>
            <w:tcW w:w="3118" w:type="dxa"/>
            <w:tcBorders>
              <w:top w:val="single" w:sz="4" w:space="0" w:color="000000"/>
            </w:tcBorders>
          </w:tcPr>
          <w:p w14:paraId="616EE162" w14:textId="77777777" w:rsidR="0043456E" w:rsidRPr="00923150" w:rsidRDefault="0043456E" w:rsidP="003E19E1">
            <w:pPr>
              <w:spacing w:before="60" w:after="60"/>
              <w:jc w:val="left"/>
              <w:rPr>
                <w:sz w:val="20"/>
              </w:rPr>
            </w:pPr>
            <w:r w:rsidRPr="003F2CDC">
              <w:t>Close control</w:t>
            </w:r>
          </w:p>
        </w:tc>
      </w:tr>
      <w:tr w:rsidR="0043456E" w:rsidRPr="00923150" w14:paraId="18C1E636" w14:textId="77777777" w:rsidTr="001D1518">
        <w:trPr>
          <w:trHeight w:val="456"/>
        </w:trPr>
        <w:tc>
          <w:tcPr>
            <w:tcW w:w="851" w:type="dxa"/>
          </w:tcPr>
          <w:p w14:paraId="48800D9D" w14:textId="77777777" w:rsidR="0043456E" w:rsidRDefault="0043456E" w:rsidP="00215A1A">
            <w:pPr>
              <w:spacing w:before="60" w:after="60"/>
              <w:ind w:left="284" w:hanging="142"/>
              <w:jc w:val="center"/>
              <w:rPr>
                <w:sz w:val="20"/>
              </w:rPr>
            </w:pPr>
            <w:r w:rsidRPr="003F2CDC">
              <w:t>13</w:t>
            </w:r>
          </w:p>
        </w:tc>
        <w:tc>
          <w:tcPr>
            <w:tcW w:w="850" w:type="dxa"/>
            <w:vMerge/>
          </w:tcPr>
          <w:p w14:paraId="73972CC1" w14:textId="77777777" w:rsidR="0043456E" w:rsidRDefault="0043456E" w:rsidP="003E19E1">
            <w:pPr>
              <w:spacing w:before="60" w:after="60"/>
              <w:jc w:val="center"/>
              <w:rPr>
                <w:sz w:val="20"/>
              </w:rPr>
            </w:pPr>
          </w:p>
        </w:tc>
        <w:tc>
          <w:tcPr>
            <w:tcW w:w="1134" w:type="dxa"/>
          </w:tcPr>
          <w:p w14:paraId="099CD776" w14:textId="77777777" w:rsidR="0043456E" w:rsidRDefault="0043456E" w:rsidP="003E19E1">
            <w:pPr>
              <w:spacing w:before="60" w:after="60"/>
              <w:jc w:val="center"/>
              <w:rPr>
                <w:sz w:val="20"/>
              </w:rPr>
            </w:pPr>
            <w:r w:rsidRPr="003F2CDC">
              <w:t>AC6</w:t>
            </w:r>
          </w:p>
        </w:tc>
        <w:tc>
          <w:tcPr>
            <w:tcW w:w="2268" w:type="dxa"/>
          </w:tcPr>
          <w:p w14:paraId="61027A58" w14:textId="77777777" w:rsidR="0043456E" w:rsidRDefault="0043456E" w:rsidP="003E19E1">
            <w:pPr>
              <w:spacing w:before="60" w:after="60"/>
              <w:jc w:val="left"/>
              <w:rPr>
                <w:sz w:val="20"/>
              </w:rPr>
            </w:pPr>
            <w:r w:rsidRPr="003F2CDC">
              <w:t>Light commercial</w:t>
            </w:r>
          </w:p>
        </w:tc>
        <w:tc>
          <w:tcPr>
            <w:tcW w:w="1418" w:type="dxa"/>
          </w:tcPr>
          <w:p w14:paraId="371C6FD1" w14:textId="77777777" w:rsidR="0043456E" w:rsidRDefault="0043456E" w:rsidP="003E19E1">
            <w:pPr>
              <w:spacing w:before="60" w:after="60"/>
              <w:jc w:val="center"/>
              <w:rPr>
                <w:sz w:val="20"/>
              </w:rPr>
            </w:pPr>
            <w:r w:rsidRPr="003F2CDC">
              <w:t>AC6-4</w:t>
            </w:r>
          </w:p>
        </w:tc>
        <w:tc>
          <w:tcPr>
            <w:tcW w:w="3118" w:type="dxa"/>
          </w:tcPr>
          <w:p w14:paraId="58FA6357" w14:textId="77777777" w:rsidR="0043456E" w:rsidRDefault="0043456E" w:rsidP="003E19E1">
            <w:pPr>
              <w:spacing w:before="60" w:after="60"/>
              <w:jc w:val="left"/>
              <w:rPr>
                <w:sz w:val="20"/>
              </w:rPr>
            </w:pPr>
            <w:r w:rsidRPr="003F2CDC">
              <w:t>HW heat pump: commercial</w:t>
            </w:r>
          </w:p>
        </w:tc>
      </w:tr>
      <w:tr w:rsidR="0043456E" w:rsidRPr="00923150" w14:paraId="37DD53D6" w14:textId="77777777" w:rsidTr="001D1518">
        <w:trPr>
          <w:trHeight w:val="456"/>
        </w:trPr>
        <w:tc>
          <w:tcPr>
            <w:tcW w:w="851" w:type="dxa"/>
          </w:tcPr>
          <w:p w14:paraId="61A964C8" w14:textId="77777777" w:rsidR="0043456E" w:rsidRDefault="0043456E" w:rsidP="00215A1A">
            <w:pPr>
              <w:spacing w:before="60" w:after="60"/>
              <w:ind w:left="284" w:hanging="142"/>
              <w:jc w:val="center"/>
              <w:rPr>
                <w:sz w:val="20"/>
              </w:rPr>
            </w:pPr>
            <w:r w:rsidRPr="003F2CDC">
              <w:t>14</w:t>
            </w:r>
          </w:p>
        </w:tc>
        <w:tc>
          <w:tcPr>
            <w:tcW w:w="850" w:type="dxa"/>
            <w:vMerge/>
          </w:tcPr>
          <w:p w14:paraId="3A8C2B37" w14:textId="77777777" w:rsidR="0043456E" w:rsidRDefault="0043456E" w:rsidP="003E19E1">
            <w:pPr>
              <w:spacing w:before="60" w:after="60"/>
              <w:jc w:val="center"/>
              <w:rPr>
                <w:sz w:val="20"/>
              </w:rPr>
            </w:pPr>
          </w:p>
        </w:tc>
        <w:tc>
          <w:tcPr>
            <w:tcW w:w="1134" w:type="dxa"/>
          </w:tcPr>
          <w:p w14:paraId="2E62BFAA" w14:textId="77777777" w:rsidR="0043456E" w:rsidRDefault="0043456E" w:rsidP="003E19E1">
            <w:pPr>
              <w:spacing w:before="60" w:after="60"/>
              <w:jc w:val="center"/>
              <w:rPr>
                <w:sz w:val="20"/>
              </w:rPr>
            </w:pPr>
            <w:r w:rsidRPr="003F2CDC">
              <w:t>AC6</w:t>
            </w:r>
          </w:p>
        </w:tc>
        <w:tc>
          <w:tcPr>
            <w:tcW w:w="2268" w:type="dxa"/>
          </w:tcPr>
          <w:p w14:paraId="1D5F98B4" w14:textId="77777777" w:rsidR="0043456E" w:rsidRDefault="0043456E" w:rsidP="003E19E1">
            <w:pPr>
              <w:spacing w:before="60" w:after="60"/>
              <w:jc w:val="left"/>
              <w:rPr>
                <w:sz w:val="20"/>
              </w:rPr>
            </w:pPr>
            <w:r w:rsidRPr="003F2CDC">
              <w:t>Light commercial</w:t>
            </w:r>
          </w:p>
        </w:tc>
        <w:tc>
          <w:tcPr>
            <w:tcW w:w="1418" w:type="dxa"/>
          </w:tcPr>
          <w:p w14:paraId="7771F0DA" w14:textId="77777777" w:rsidR="0043456E" w:rsidRDefault="0043456E" w:rsidP="003E19E1">
            <w:pPr>
              <w:spacing w:before="60" w:after="60"/>
              <w:jc w:val="center"/>
              <w:rPr>
                <w:sz w:val="20"/>
              </w:rPr>
            </w:pPr>
            <w:r w:rsidRPr="003F2CDC">
              <w:t>AC6-5</w:t>
            </w:r>
          </w:p>
        </w:tc>
        <w:tc>
          <w:tcPr>
            <w:tcW w:w="3118" w:type="dxa"/>
          </w:tcPr>
          <w:p w14:paraId="6931D5A0" w14:textId="77777777" w:rsidR="0043456E" w:rsidRDefault="0043456E" w:rsidP="003E19E1">
            <w:pPr>
              <w:spacing w:before="60" w:after="60"/>
              <w:jc w:val="left"/>
              <w:rPr>
                <w:sz w:val="20"/>
              </w:rPr>
            </w:pPr>
            <w:r w:rsidRPr="003F2CDC">
              <w:t>Pool heat pump</w:t>
            </w:r>
          </w:p>
        </w:tc>
      </w:tr>
      <w:tr w:rsidR="0043456E" w:rsidRPr="00923150" w14:paraId="0A280AFD" w14:textId="77777777" w:rsidTr="001D1518">
        <w:trPr>
          <w:trHeight w:val="456"/>
        </w:trPr>
        <w:tc>
          <w:tcPr>
            <w:tcW w:w="851" w:type="dxa"/>
          </w:tcPr>
          <w:p w14:paraId="40E6041F" w14:textId="77777777" w:rsidR="0043456E" w:rsidRDefault="0043456E" w:rsidP="00215A1A">
            <w:pPr>
              <w:spacing w:before="60" w:after="60"/>
              <w:ind w:left="284" w:hanging="142"/>
              <w:jc w:val="center"/>
              <w:rPr>
                <w:sz w:val="20"/>
              </w:rPr>
            </w:pPr>
            <w:r w:rsidRPr="003F2CDC">
              <w:t>15</w:t>
            </w:r>
          </w:p>
        </w:tc>
        <w:tc>
          <w:tcPr>
            <w:tcW w:w="850" w:type="dxa"/>
            <w:vMerge/>
          </w:tcPr>
          <w:p w14:paraId="5338E8C3" w14:textId="77777777" w:rsidR="0043456E" w:rsidRDefault="0043456E" w:rsidP="003E19E1">
            <w:pPr>
              <w:spacing w:before="60" w:after="60"/>
              <w:jc w:val="center"/>
              <w:rPr>
                <w:sz w:val="20"/>
              </w:rPr>
            </w:pPr>
          </w:p>
        </w:tc>
        <w:tc>
          <w:tcPr>
            <w:tcW w:w="1134" w:type="dxa"/>
          </w:tcPr>
          <w:p w14:paraId="49464FF7" w14:textId="77777777" w:rsidR="0043456E" w:rsidRDefault="0043456E" w:rsidP="003E19E1">
            <w:pPr>
              <w:spacing w:before="60" w:after="60"/>
              <w:jc w:val="center"/>
              <w:rPr>
                <w:sz w:val="20"/>
              </w:rPr>
            </w:pPr>
            <w:r w:rsidRPr="003F2CDC">
              <w:t>AC7</w:t>
            </w:r>
          </w:p>
        </w:tc>
        <w:tc>
          <w:tcPr>
            <w:tcW w:w="2268" w:type="dxa"/>
          </w:tcPr>
          <w:p w14:paraId="29768961" w14:textId="77777777" w:rsidR="0043456E" w:rsidRDefault="0043456E" w:rsidP="003E19E1">
            <w:pPr>
              <w:spacing w:before="60" w:after="60"/>
              <w:jc w:val="left"/>
              <w:rPr>
                <w:sz w:val="20"/>
              </w:rPr>
            </w:pPr>
            <w:r w:rsidRPr="003F2CDC">
              <w:t>HW Heatpumps</w:t>
            </w:r>
          </w:p>
        </w:tc>
        <w:tc>
          <w:tcPr>
            <w:tcW w:w="1418" w:type="dxa"/>
          </w:tcPr>
          <w:p w14:paraId="43810F20" w14:textId="77777777" w:rsidR="0043456E" w:rsidRDefault="0043456E" w:rsidP="003E19E1">
            <w:pPr>
              <w:spacing w:before="60" w:after="60"/>
              <w:jc w:val="center"/>
              <w:rPr>
                <w:sz w:val="20"/>
              </w:rPr>
            </w:pPr>
            <w:r w:rsidRPr="003F2CDC">
              <w:t>AC7</w:t>
            </w:r>
          </w:p>
        </w:tc>
        <w:tc>
          <w:tcPr>
            <w:tcW w:w="3118" w:type="dxa"/>
          </w:tcPr>
          <w:p w14:paraId="492E2401" w14:textId="77777777" w:rsidR="0043456E" w:rsidRDefault="0043456E" w:rsidP="003E19E1">
            <w:pPr>
              <w:spacing w:before="60" w:after="60"/>
              <w:jc w:val="left"/>
              <w:rPr>
                <w:sz w:val="20"/>
              </w:rPr>
            </w:pPr>
            <w:r w:rsidRPr="003F2CDC">
              <w:t>HW heat pump: domestic</w:t>
            </w:r>
          </w:p>
        </w:tc>
      </w:tr>
    </w:tbl>
    <w:p w14:paraId="29008444" w14:textId="1EFD91FF" w:rsidR="00D24FE4" w:rsidRDefault="00E633DA" w:rsidP="00D24FE4">
      <w:pPr>
        <w:spacing w:before="240"/>
        <w:rPr>
          <w:szCs w:val="22"/>
        </w:rPr>
      </w:pPr>
      <w:r w:rsidRPr="00E633DA">
        <w:rPr>
          <w:szCs w:val="22"/>
        </w:rPr>
        <w:t>This class of equipment is a very broad group that includes equipment that can operate in reverse-cycle (heating and cooling</w:t>
      </w:r>
      <w:r w:rsidR="00D24FE4">
        <w:rPr>
          <w:szCs w:val="22"/>
        </w:rPr>
        <w:t>)</w:t>
      </w:r>
      <w:r w:rsidRPr="00E633DA">
        <w:rPr>
          <w:szCs w:val="22"/>
        </w:rPr>
        <w:t xml:space="preserve"> or cooling only, on single phase or three phase power, and range in size from a small 2 kWr domestic portable air conditioner, with a refrigerant charge of less than 600 g</w:t>
      </w:r>
      <w:r w:rsidR="005D4B7C">
        <w:rPr>
          <w:szCs w:val="22"/>
        </w:rPr>
        <w:t>rams</w:t>
      </w:r>
      <w:r w:rsidRPr="00E633DA">
        <w:rPr>
          <w:szCs w:val="22"/>
        </w:rPr>
        <w:t>, to large 4,000 kWr commercial space chillers containing more than a tonne of refrigerant in a single machine.</w:t>
      </w:r>
    </w:p>
    <w:p w14:paraId="4717A455" w14:textId="19C679E9" w:rsidR="00D24FE4" w:rsidRDefault="00D24FE4" w:rsidP="00D24FE4">
      <w:pPr>
        <w:spacing w:before="240"/>
        <w:rPr>
          <w:szCs w:val="22"/>
        </w:rPr>
      </w:pPr>
      <w:r>
        <w:rPr>
          <w:szCs w:val="22"/>
        </w:rPr>
        <w:t xml:space="preserve">The stock </w:t>
      </w:r>
      <w:r w:rsidRPr="00D24FE4">
        <w:rPr>
          <w:szCs w:val="22"/>
        </w:rPr>
        <w:t xml:space="preserve">and </w:t>
      </w:r>
      <w:r>
        <w:rPr>
          <w:szCs w:val="22"/>
        </w:rPr>
        <w:t xml:space="preserve">the </w:t>
      </w:r>
      <w:r w:rsidRPr="00D24FE4">
        <w:rPr>
          <w:szCs w:val="22"/>
        </w:rPr>
        <w:t xml:space="preserve">energy consumption </w:t>
      </w:r>
      <w:r>
        <w:rPr>
          <w:szCs w:val="22"/>
        </w:rPr>
        <w:t xml:space="preserve">estimates </w:t>
      </w:r>
      <w:r w:rsidRPr="00D24FE4">
        <w:rPr>
          <w:szCs w:val="22"/>
        </w:rPr>
        <w:t>of equipment categories in this report are generally consistent with the product profiles</w:t>
      </w:r>
      <w:r w:rsidR="00C438B6">
        <w:rPr>
          <w:szCs w:val="22"/>
        </w:rPr>
        <w:t xml:space="preserve"> used in Australian government </w:t>
      </w:r>
      <w:r w:rsidRPr="00D24FE4">
        <w:rPr>
          <w:szCs w:val="22"/>
        </w:rPr>
        <w:t xml:space="preserve">regulatory impact statements for split systems, close control air conditioning, chillers and hot water heatpumps. Portable air conditioner stock </w:t>
      </w:r>
      <w:r w:rsidRPr="00D24FE4">
        <w:rPr>
          <w:szCs w:val="22"/>
        </w:rPr>
        <w:lastRenderedPageBreak/>
        <w:t xml:space="preserve">levels </w:t>
      </w:r>
      <w:r w:rsidR="00805727">
        <w:rPr>
          <w:szCs w:val="22"/>
        </w:rPr>
        <w:t xml:space="preserve">are </w:t>
      </w:r>
      <w:r w:rsidR="00805727" w:rsidRPr="00D24FE4">
        <w:rPr>
          <w:szCs w:val="22"/>
        </w:rPr>
        <w:t xml:space="preserve">based on pre-charged </w:t>
      </w:r>
      <w:r w:rsidR="00805727">
        <w:rPr>
          <w:szCs w:val="22"/>
        </w:rPr>
        <w:t xml:space="preserve">equipment </w:t>
      </w:r>
      <w:r w:rsidR="00805727" w:rsidRPr="00D24FE4">
        <w:rPr>
          <w:szCs w:val="22"/>
        </w:rPr>
        <w:t>imports and consultation with suppliers of hydrocarbon charged models</w:t>
      </w:r>
      <w:r w:rsidR="00805727">
        <w:rPr>
          <w:szCs w:val="22"/>
        </w:rPr>
        <w:t xml:space="preserve"> which allowed more </w:t>
      </w:r>
      <w:r w:rsidR="00805727" w:rsidRPr="00D24FE4">
        <w:rPr>
          <w:szCs w:val="22"/>
        </w:rPr>
        <w:t xml:space="preserve">accurate </w:t>
      </w:r>
      <w:r w:rsidR="00AF4DC9">
        <w:rPr>
          <w:szCs w:val="22"/>
        </w:rPr>
        <w:t xml:space="preserve">estimates </w:t>
      </w:r>
      <w:r w:rsidR="00805727" w:rsidRPr="00D24FE4">
        <w:rPr>
          <w:szCs w:val="22"/>
        </w:rPr>
        <w:t>of sales over the last decade.</w:t>
      </w:r>
      <w:r w:rsidR="00805727">
        <w:rPr>
          <w:szCs w:val="22"/>
        </w:rPr>
        <w:t xml:space="preserve"> </w:t>
      </w:r>
      <w:r w:rsidRPr="00D24FE4">
        <w:rPr>
          <w:szCs w:val="22"/>
        </w:rPr>
        <w:t xml:space="preserve">The stock </w:t>
      </w:r>
      <w:r>
        <w:rPr>
          <w:szCs w:val="22"/>
        </w:rPr>
        <w:t xml:space="preserve">estimates </w:t>
      </w:r>
      <w:r w:rsidRPr="00E633DA">
        <w:rPr>
          <w:szCs w:val="22"/>
        </w:rPr>
        <w:t xml:space="preserve">of the various product categories are listed in </w:t>
      </w:r>
      <w:r w:rsidRPr="00E633DA">
        <w:rPr>
          <w:i/>
          <w:szCs w:val="22"/>
        </w:rPr>
        <w:t>Table 4</w:t>
      </w:r>
      <w:r w:rsidRPr="00E633DA">
        <w:rPr>
          <w:szCs w:val="22"/>
        </w:rPr>
        <w:t>.</w:t>
      </w:r>
      <w:r>
        <w:rPr>
          <w:szCs w:val="22"/>
        </w:rPr>
        <w:t xml:space="preserve"> </w:t>
      </w:r>
    </w:p>
    <w:p w14:paraId="6C36F5EF" w14:textId="01669FC0" w:rsidR="003E19E1" w:rsidRPr="001D1518" w:rsidRDefault="003E19E1">
      <w:pPr>
        <w:spacing w:before="0"/>
        <w:jc w:val="left"/>
        <w:rPr>
          <w:szCs w:val="22"/>
        </w:rPr>
      </w:pPr>
    </w:p>
    <w:p w14:paraId="3D3A5078" w14:textId="425C5BB5" w:rsidR="0043456E" w:rsidRPr="00D16B26" w:rsidRDefault="0043456E" w:rsidP="0043456E">
      <w:pPr>
        <w:rPr>
          <w:i/>
          <w:szCs w:val="22"/>
        </w:rPr>
      </w:pPr>
      <w:bookmarkStart w:id="14" w:name="_Toc233084048"/>
      <w:r w:rsidRPr="00D16B26">
        <w:rPr>
          <w:i/>
          <w:szCs w:val="22"/>
        </w:rPr>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4</w:t>
      </w:r>
      <w:r w:rsidRPr="00D16B26">
        <w:rPr>
          <w:i/>
          <w:szCs w:val="22"/>
        </w:rPr>
        <w:fldChar w:fldCharType="end"/>
      </w:r>
      <w:r w:rsidRPr="00D16B26">
        <w:rPr>
          <w:i/>
          <w:szCs w:val="22"/>
        </w:rPr>
        <w:t xml:space="preserve">: </w:t>
      </w:r>
      <w:r w:rsidRPr="0043456E">
        <w:rPr>
          <w:i/>
          <w:szCs w:val="22"/>
        </w:rPr>
        <w:t xml:space="preserve">Stationary air conditioning by </w:t>
      </w:r>
      <w:r>
        <w:rPr>
          <w:i/>
          <w:szCs w:val="22"/>
        </w:rPr>
        <w:t>c</w:t>
      </w:r>
      <w:r w:rsidRPr="0043456E">
        <w:rPr>
          <w:i/>
          <w:szCs w:val="22"/>
        </w:rPr>
        <w:t>ategory and stock numbers</w:t>
      </w:r>
      <w:bookmarkEnd w:id="14"/>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2552"/>
        <w:gridCol w:w="3969"/>
        <w:gridCol w:w="1984"/>
      </w:tblGrid>
      <w:tr w:rsidR="001D1518" w:rsidRPr="00923150" w14:paraId="44450C9A" w14:textId="77777777" w:rsidTr="001D1518">
        <w:trPr>
          <w:trHeight w:val="456"/>
        </w:trPr>
        <w:tc>
          <w:tcPr>
            <w:tcW w:w="1134" w:type="dxa"/>
            <w:tcBorders>
              <w:top w:val="single" w:sz="4" w:space="0" w:color="000000"/>
              <w:right w:val="single" w:sz="4" w:space="0" w:color="FFFFFF" w:themeColor="background1"/>
            </w:tcBorders>
            <w:shd w:val="clear" w:color="auto" w:fill="000000"/>
            <w:vAlign w:val="center"/>
          </w:tcPr>
          <w:p w14:paraId="0B86938C" w14:textId="56CF2CB1" w:rsidR="0043456E" w:rsidRPr="003E19E1" w:rsidRDefault="003E19E1" w:rsidP="003E19E1">
            <w:pPr>
              <w:spacing w:before="60" w:after="60"/>
              <w:jc w:val="left"/>
            </w:pPr>
            <w:r w:rsidRPr="003E19E1">
              <w:t>Category code</w:t>
            </w:r>
          </w:p>
        </w:tc>
        <w:tc>
          <w:tcPr>
            <w:tcW w:w="2552"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44D7237F" w14:textId="64F2550C" w:rsidR="0043456E" w:rsidRPr="003E19E1" w:rsidRDefault="003E19E1" w:rsidP="003E19E1">
            <w:pPr>
              <w:spacing w:before="60" w:after="60"/>
              <w:jc w:val="left"/>
            </w:pPr>
            <w:r w:rsidRPr="003E19E1">
              <w:t>Segment</w:t>
            </w:r>
          </w:p>
        </w:tc>
        <w:tc>
          <w:tcPr>
            <w:tcW w:w="3969"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0C799D7A" w14:textId="39B007E8" w:rsidR="0043456E" w:rsidRPr="003E19E1" w:rsidRDefault="003E19E1" w:rsidP="003E19E1">
            <w:pPr>
              <w:spacing w:before="60" w:after="60"/>
              <w:jc w:val="left"/>
            </w:pPr>
            <w:r w:rsidRPr="003E19E1">
              <w:t>Product category</w:t>
            </w:r>
          </w:p>
        </w:tc>
        <w:tc>
          <w:tcPr>
            <w:tcW w:w="1984" w:type="dxa"/>
            <w:tcBorders>
              <w:top w:val="single" w:sz="4" w:space="0" w:color="000000"/>
              <w:left w:val="single" w:sz="4" w:space="0" w:color="FFFFFF" w:themeColor="background1"/>
            </w:tcBorders>
            <w:shd w:val="clear" w:color="auto" w:fill="000000"/>
            <w:vAlign w:val="center"/>
          </w:tcPr>
          <w:p w14:paraId="309AF8BC" w14:textId="312C2F1E" w:rsidR="0043456E" w:rsidRPr="003F2CDC" w:rsidRDefault="003E19E1" w:rsidP="003E19E1">
            <w:pPr>
              <w:spacing w:before="60" w:after="60"/>
              <w:jc w:val="center"/>
            </w:pPr>
            <w:r w:rsidRPr="003E19E1">
              <w:t>Total (units)</w:t>
            </w:r>
          </w:p>
        </w:tc>
      </w:tr>
      <w:tr w:rsidR="00265A2C" w:rsidRPr="00923150" w14:paraId="2156705B" w14:textId="77777777" w:rsidTr="00265A2C">
        <w:trPr>
          <w:trHeight w:val="456"/>
        </w:trPr>
        <w:tc>
          <w:tcPr>
            <w:tcW w:w="1134" w:type="dxa"/>
            <w:tcBorders>
              <w:top w:val="single" w:sz="4" w:space="0" w:color="000000"/>
            </w:tcBorders>
            <w:vAlign w:val="center"/>
          </w:tcPr>
          <w:p w14:paraId="249C607A" w14:textId="08040417" w:rsidR="00265A2C" w:rsidRDefault="00265A2C" w:rsidP="003E19E1">
            <w:pPr>
              <w:spacing w:before="60" w:after="60"/>
              <w:jc w:val="left"/>
              <w:rPr>
                <w:sz w:val="20"/>
              </w:rPr>
            </w:pPr>
            <w:r w:rsidRPr="003F2CDC">
              <w:t>AC1</w:t>
            </w:r>
          </w:p>
        </w:tc>
        <w:tc>
          <w:tcPr>
            <w:tcW w:w="2552" w:type="dxa"/>
            <w:tcBorders>
              <w:top w:val="single" w:sz="4" w:space="0" w:color="000000"/>
            </w:tcBorders>
            <w:vAlign w:val="center"/>
          </w:tcPr>
          <w:p w14:paraId="1E2DEB3C" w14:textId="77777777" w:rsidR="00265A2C" w:rsidRDefault="00265A2C" w:rsidP="003E19E1">
            <w:pPr>
              <w:spacing w:before="60" w:after="60"/>
              <w:jc w:val="left"/>
              <w:rPr>
                <w:sz w:val="20"/>
              </w:rPr>
            </w:pPr>
            <w:r w:rsidRPr="003F2CDC">
              <w:t>Single split: non-ducted</w:t>
            </w:r>
          </w:p>
        </w:tc>
        <w:tc>
          <w:tcPr>
            <w:tcW w:w="3969" w:type="dxa"/>
            <w:tcBorders>
              <w:top w:val="single" w:sz="4" w:space="0" w:color="000000"/>
            </w:tcBorders>
            <w:vAlign w:val="center"/>
          </w:tcPr>
          <w:p w14:paraId="62A61823" w14:textId="36A59D27" w:rsidR="00265A2C" w:rsidRPr="008343EF" w:rsidRDefault="00265A2C" w:rsidP="003E19E1">
            <w:pPr>
              <w:spacing w:before="60" w:after="60"/>
              <w:jc w:val="left"/>
              <w:rPr>
                <w:sz w:val="20"/>
              </w:rPr>
            </w:pPr>
            <w:r w:rsidRPr="003F2CDC">
              <w:t xml:space="preserve">Single split: non-ducted: </w:t>
            </w:r>
            <w:r>
              <w:t xml:space="preserve">1 &amp; </w:t>
            </w:r>
            <w:r w:rsidRPr="003F2CDC">
              <w:t>3</w:t>
            </w:r>
            <w:r>
              <w:t xml:space="preserve"> </w:t>
            </w:r>
            <w:r w:rsidRPr="003F2CDC">
              <w:t>phase</w:t>
            </w:r>
          </w:p>
        </w:tc>
        <w:tc>
          <w:tcPr>
            <w:tcW w:w="1984" w:type="dxa"/>
            <w:tcBorders>
              <w:top w:val="single" w:sz="4" w:space="0" w:color="000000"/>
            </w:tcBorders>
            <w:vAlign w:val="center"/>
          </w:tcPr>
          <w:p w14:paraId="18F8F186" w14:textId="2BE818CE" w:rsidR="00265A2C" w:rsidRPr="00923150" w:rsidRDefault="00265A2C" w:rsidP="003E19E1">
            <w:pPr>
              <w:spacing w:before="60" w:after="60"/>
              <w:jc w:val="center"/>
              <w:rPr>
                <w:sz w:val="20"/>
              </w:rPr>
            </w:pPr>
            <w:r w:rsidRPr="00E405D5">
              <w:t>7,145,000</w:t>
            </w:r>
          </w:p>
        </w:tc>
      </w:tr>
      <w:tr w:rsidR="00265A2C" w:rsidRPr="00923150" w14:paraId="28D8C4B8" w14:textId="77777777" w:rsidTr="00265A2C">
        <w:trPr>
          <w:trHeight w:val="456"/>
        </w:trPr>
        <w:tc>
          <w:tcPr>
            <w:tcW w:w="1134" w:type="dxa"/>
            <w:tcBorders>
              <w:top w:val="single" w:sz="4" w:space="0" w:color="000000"/>
            </w:tcBorders>
            <w:vAlign w:val="center"/>
          </w:tcPr>
          <w:p w14:paraId="2C91DEFD" w14:textId="2FCCE670" w:rsidR="00265A2C" w:rsidRDefault="00265A2C" w:rsidP="003E19E1">
            <w:pPr>
              <w:spacing w:before="60" w:after="60"/>
              <w:jc w:val="left"/>
              <w:rPr>
                <w:sz w:val="20"/>
              </w:rPr>
            </w:pPr>
            <w:r w:rsidRPr="003F2CDC">
              <w:t>AC2</w:t>
            </w:r>
          </w:p>
        </w:tc>
        <w:tc>
          <w:tcPr>
            <w:tcW w:w="2552" w:type="dxa"/>
            <w:tcBorders>
              <w:top w:val="single" w:sz="4" w:space="0" w:color="000000"/>
            </w:tcBorders>
            <w:vAlign w:val="center"/>
          </w:tcPr>
          <w:p w14:paraId="73244F5F" w14:textId="77777777" w:rsidR="00265A2C" w:rsidRDefault="00265A2C" w:rsidP="003E19E1">
            <w:pPr>
              <w:spacing w:before="60" w:after="60"/>
              <w:jc w:val="left"/>
              <w:rPr>
                <w:sz w:val="20"/>
              </w:rPr>
            </w:pPr>
            <w:r w:rsidRPr="003F2CDC">
              <w:t>Single split: non-ducted</w:t>
            </w:r>
          </w:p>
        </w:tc>
        <w:tc>
          <w:tcPr>
            <w:tcW w:w="3969" w:type="dxa"/>
            <w:tcBorders>
              <w:top w:val="single" w:sz="4" w:space="0" w:color="000000"/>
            </w:tcBorders>
            <w:vAlign w:val="center"/>
          </w:tcPr>
          <w:p w14:paraId="5305E9F2" w14:textId="36B738BC" w:rsidR="00265A2C" w:rsidRPr="008343EF" w:rsidRDefault="00265A2C" w:rsidP="00AF4DC9">
            <w:pPr>
              <w:spacing w:before="60" w:after="60"/>
              <w:jc w:val="left"/>
              <w:rPr>
                <w:sz w:val="20"/>
              </w:rPr>
            </w:pPr>
            <w:r w:rsidRPr="003F2CDC">
              <w:t xml:space="preserve">Single split: ducted: </w:t>
            </w:r>
            <w:r>
              <w:t xml:space="preserve">1 &amp; </w:t>
            </w:r>
            <w:r w:rsidRPr="003F2CDC">
              <w:t>3</w:t>
            </w:r>
            <w:r>
              <w:t xml:space="preserve"> </w:t>
            </w:r>
            <w:r w:rsidRPr="003F2CDC">
              <w:t>phase</w:t>
            </w:r>
          </w:p>
        </w:tc>
        <w:tc>
          <w:tcPr>
            <w:tcW w:w="1984" w:type="dxa"/>
            <w:tcBorders>
              <w:top w:val="single" w:sz="4" w:space="0" w:color="000000"/>
            </w:tcBorders>
            <w:vAlign w:val="center"/>
          </w:tcPr>
          <w:p w14:paraId="24ECBB43" w14:textId="2F62F004" w:rsidR="00265A2C" w:rsidRPr="00923150" w:rsidRDefault="00265A2C" w:rsidP="003E19E1">
            <w:pPr>
              <w:spacing w:before="60" w:after="60"/>
              <w:jc w:val="center"/>
              <w:rPr>
                <w:sz w:val="20"/>
              </w:rPr>
            </w:pPr>
            <w:r w:rsidRPr="00E405D5">
              <w:t>1,304,000</w:t>
            </w:r>
          </w:p>
        </w:tc>
      </w:tr>
      <w:tr w:rsidR="00265A2C" w:rsidRPr="00923150" w14:paraId="460F8C18" w14:textId="77777777" w:rsidTr="00265A2C">
        <w:trPr>
          <w:trHeight w:val="456"/>
        </w:trPr>
        <w:tc>
          <w:tcPr>
            <w:tcW w:w="1134" w:type="dxa"/>
            <w:tcBorders>
              <w:top w:val="single" w:sz="4" w:space="0" w:color="000000"/>
            </w:tcBorders>
            <w:vAlign w:val="center"/>
          </w:tcPr>
          <w:p w14:paraId="0908A046" w14:textId="17E33316" w:rsidR="00265A2C" w:rsidRDefault="00265A2C" w:rsidP="003E19E1">
            <w:pPr>
              <w:spacing w:before="60" w:after="60"/>
              <w:jc w:val="left"/>
              <w:rPr>
                <w:sz w:val="20"/>
              </w:rPr>
            </w:pPr>
            <w:r w:rsidRPr="003F2CDC">
              <w:t>AC3</w:t>
            </w:r>
          </w:p>
        </w:tc>
        <w:tc>
          <w:tcPr>
            <w:tcW w:w="2552" w:type="dxa"/>
            <w:tcBorders>
              <w:top w:val="single" w:sz="4" w:space="0" w:color="000000"/>
            </w:tcBorders>
            <w:vAlign w:val="center"/>
          </w:tcPr>
          <w:p w14:paraId="2AF95554" w14:textId="29206AE4" w:rsidR="00265A2C" w:rsidRDefault="00265A2C" w:rsidP="002F2316">
            <w:pPr>
              <w:spacing w:before="60" w:after="60"/>
              <w:jc w:val="left"/>
              <w:rPr>
                <w:sz w:val="20"/>
              </w:rPr>
            </w:pPr>
            <w:r w:rsidRPr="003F2CDC">
              <w:t>Window/</w:t>
            </w:r>
            <w:r>
              <w:t>w</w:t>
            </w:r>
            <w:r w:rsidRPr="003F2CDC">
              <w:t>all</w:t>
            </w:r>
          </w:p>
        </w:tc>
        <w:tc>
          <w:tcPr>
            <w:tcW w:w="3969" w:type="dxa"/>
            <w:tcBorders>
              <w:top w:val="single" w:sz="4" w:space="0" w:color="000000"/>
            </w:tcBorders>
            <w:vAlign w:val="center"/>
          </w:tcPr>
          <w:p w14:paraId="3A4B3E53" w14:textId="703E26F7" w:rsidR="00265A2C" w:rsidRPr="008343EF" w:rsidRDefault="00265A2C" w:rsidP="00870F76">
            <w:pPr>
              <w:spacing w:before="60" w:after="60"/>
              <w:jc w:val="left"/>
              <w:rPr>
                <w:sz w:val="20"/>
              </w:rPr>
            </w:pPr>
            <w:r w:rsidRPr="003F2CDC">
              <w:t>Non-</w:t>
            </w:r>
            <w:r w:rsidR="00870F76">
              <w:t>d</w:t>
            </w:r>
            <w:r w:rsidRPr="003F2CDC">
              <w:t xml:space="preserve">ucted: </w:t>
            </w:r>
            <w:r w:rsidR="00870F76">
              <w:t>u</w:t>
            </w:r>
            <w:r w:rsidRPr="003F2CDC">
              <w:t xml:space="preserve">nitary 0-10 kWr </w:t>
            </w:r>
          </w:p>
        </w:tc>
        <w:tc>
          <w:tcPr>
            <w:tcW w:w="1984" w:type="dxa"/>
            <w:tcBorders>
              <w:top w:val="single" w:sz="4" w:space="0" w:color="000000"/>
            </w:tcBorders>
            <w:vAlign w:val="center"/>
          </w:tcPr>
          <w:p w14:paraId="73A2C294" w14:textId="3CD48977" w:rsidR="00265A2C" w:rsidRPr="00923150" w:rsidRDefault="00265A2C" w:rsidP="003E19E1">
            <w:pPr>
              <w:spacing w:before="60" w:after="60"/>
              <w:jc w:val="center"/>
              <w:rPr>
                <w:sz w:val="20"/>
              </w:rPr>
            </w:pPr>
            <w:r w:rsidRPr="00E405D5">
              <w:t>1,915,000</w:t>
            </w:r>
          </w:p>
        </w:tc>
      </w:tr>
      <w:tr w:rsidR="00265A2C" w:rsidRPr="00923150" w14:paraId="0A5BF583" w14:textId="77777777" w:rsidTr="00265A2C">
        <w:trPr>
          <w:trHeight w:val="456"/>
        </w:trPr>
        <w:tc>
          <w:tcPr>
            <w:tcW w:w="1134" w:type="dxa"/>
            <w:tcBorders>
              <w:top w:val="single" w:sz="4" w:space="0" w:color="000000"/>
            </w:tcBorders>
            <w:vAlign w:val="center"/>
          </w:tcPr>
          <w:p w14:paraId="247F21E8" w14:textId="5D1FC0C1" w:rsidR="00265A2C" w:rsidRDefault="00265A2C" w:rsidP="003E19E1">
            <w:pPr>
              <w:spacing w:before="60" w:after="60"/>
              <w:jc w:val="left"/>
              <w:rPr>
                <w:sz w:val="20"/>
              </w:rPr>
            </w:pPr>
            <w:r w:rsidRPr="003F2CDC">
              <w:t>AC4</w:t>
            </w:r>
          </w:p>
        </w:tc>
        <w:tc>
          <w:tcPr>
            <w:tcW w:w="2552" w:type="dxa"/>
            <w:tcBorders>
              <w:top w:val="single" w:sz="4" w:space="0" w:color="000000"/>
            </w:tcBorders>
            <w:vAlign w:val="center"/>
          </w:tcPr>
          <w:p w14:paraId="3C44931A" w14:textId="77777777" w:rsidR="00265A2C" w:rsidRDefault="00265A2C" w:rsidP="003E19E1">
            <w:pPr>
              <w:spacing w:before="60" w:after="60"/>
              <w:jc w:val="left"/>
              <w:rPr>
                <w:sz w:val="20"/>
              </w:rPr>
            </w:pPr>
            <w:r w:rsidRPr="003F2CDC">
              <w:t>Portable AC</w:t>
            </w:r>
          </w:p>
        </w:tc>
        <w:tc>
          <w:tcPr>
            <w:tcW w:w="3969" w:type="dxa"/>
            <w:tcBorders>
              <w:top w:val="single" w:sz="4" w:space="0" w:color="000000"/>
            </w:tcBorders>
            <w:vAlign w:val="center"/>
          </w:tcPr>
          <w:p w14:paraId="2DCC33C6" w14:textId="49C8E5AC" w:rsidR="00265A2C" w:rsidRPr="008343EF" w:rsidRDefault="00265A2C" w:rsidP="003E19E1">
            <w:pPr>
              <w:spacing w:before="60" w:after="60"/>
              <w:jc w:val="left"/>
              <w:rPr>
                <w:sz w:val="20"/>
              </w:rPr>
            </w:pPr>
            <w:r w:rsidRPr="003F2CDC">
              <w:t>Portable AC 0-10 kWr</w:t>
            </w:r>
          </w:p>
        </w:tc>
        <w:tc>
          <w:tcPr>
            <w:tcW w:w="1984" w:type="dxa"/>
            <w:tcBorders>
              <w:top w:val="single" w:sz="4" w:space="0" w:color="000000"/>
            </w:tcBorders>
            <w:vAlign w:val="center"/>
          </w:tcPr>
          <w:p w14:paraId="0DEAF8EB" w14:textId="6730A84B" w:rsidR="00265A2C" w:rsidRPr="00923150" w:rsidRDefault="00265A2C" w:rsidP="003E19E1">
            <w:pPr>
              <w:spacing w:before="60" w:after="60"/>
              <w:jc w:val="center"/>
              <w:rPr>
                <w:sz w:val="20"/>
              </w:rPr>
            </w:pPr>
            <w:r w:rsidRPr="00E405D5">
              <w:t>606,000</w:t>
            </w:r>
          </w:p>
        </w:tc>
      </w:tr>
      <w:tr w:rsidR="00265A2C" w:rsidRPr="00923150" w14:paraId="14F723E6" w14:textId="77777777" w:rsidTr="00265A2C">
        <w:trPr>
          <w:trHeight w:val="456"/>
        </w:trPr>
        <w:tc>
          <w:tcPr>
            <w:tcW w:w="1134" w:type="dxa"/>
            <w:tcBorders>
              <w:top w:val="single" w:sz="4" w:space="0" w:color="000000"/>
            </w:tcBorders>
            <w:vAlign w:val="center"/>
          </w:tcPr>
          <w:p w14:paraId="25FE0DBF" w14:textId="7B18EC83" w:rsidR="00265A2C" w:rsidRDefault="00265A2C" w:rsidP="003E19E1">
            <w:pPr>
              <w:spacing w:before="60" w:after="60"/>
              <w:jc w:val="left"/>
              <w:rPr>
                <w:sz w:val="20"/>
              </w:rPr>
            </w:pPr>
            <w:r w:rsidRPr="003F2CDC">
              <w:t>AC5-1</w:t>
            </w:r>
          </w:p>
        </w:tc>
        <w:tc>
          <w:tcPr>
            <w:tcW w:w="2552" w:type="dxa"/>
            <w:tcBorders>
              <w:top w:val="single" w:sz="4" w:space="0" w:color="000000"/>
            </w:tcBorders>
            <w:vAlign w:val="center"/>
          </w:tcPr>
          <w:p w14:paraId="1E62312E" w14:textId="77777777" w:rsidR="00265A2C" w:rsidRDefault="00265A2C" w:rsidP="003E19E1">
            <w:pPr>
              <w:spacing w:before="60" w:after="60"/>
              <w:jc w:val="left"/>
              <w:rPr>
                <w:sz w:val="20"/>
              </w:rPr>
            </w:pPr>
            <w:r w:rsidRPr="003F2CDC">
              <w:t>Chillers</w:t>
            </w:r>
          </w:p>
        </w:tc>
        <w:tc>
          <w:tcPr>
            <w:tcW w:w="3969" w:type="dxa"/>
            <w:tcBorders>
              <w:top w:val="single" w:sz="4" w:space="0" w:color="000000"/>
            </w:tcBorders>
            <w:vAlign w:val="center"/>
          </w:tcPr>
          <w:p w14:paraId="38056E8E" w14:textId="3B1FCDA7" w:rsidR="00265A2C" w:rsidRPr="008343EF" w:rsidRDefault="00265A2C" w:rsidP="003E19E1">
            <w:pPr>
              <w:spacing w:before="60" w:after="60"/>
              <w:jc w:val="left"/>
              <w:rPr>
                <w:sz w:val="20"/>
              </w:rPr>
            </w:pPr>
            <w:r w:rsidRPr="003F2CDC">
              <w:t>&lt;500 kWr</w:t>
            </w:r>
          </w:p>
        </w:tc>
        <w:tc>
          <w:tcPr>
            <w:tcW w:w="1984" w:type="dxa"/>
            <w:tcBorders>
              <w:top w:val="single" w:sz="4" w:space="0" w:color="000000"/>
            </w:tcBorders>
            <w:vAlign w:val="center"/>
          </w:tcPr>
          <w:p w14:paraId="436F03F2" w14:textId="51566B11" w:rsidR="00265A2C" w:rsidRPr="00923150" w:rsidRDefault="00265A2C" w:rsidP="003E19E1">
            <w:pPr>
              <w:spacing w:before="60" w:after="60"/>
              <w:jc w:val="center"/>
              <w:rPr>
                <w:sz w:val="20"/>
              </w:rPr>
            </w:pPr>
            <w:r w:rsidRPr="00E405D5">
              <w:t>20,200</w:t>
            </w:r>
          </w:p>
        </w:tc>
      </w:tr>
      <w:tr w:rsidR="00265A2C" w:rsidRPr="00923150" w14:paraId="620F3409" w14:textId="77777777" w:rsidTr="00265A2C">
        <w:trPr>
          <w:trHeight w:val="456"/>
        </w:trPr>
        <w:tc>
          <w:tcPr>
            <w:tcW w:w="1134" w:type="dxa"/>
            <w:tcBorders>
              <w:top w:val="single" w:sz="4" w:space="0" w:color="000000"/>
            </w:tcBorders>
            <w:vAlign w:val="center"/>
          </w:tcPr>
          <w:p w14:paraId="01388DC0" w14:textId="6C4C226D" w:rsidR="00265A2C" w:rsidRDefault="00265A2C" w:rsidP="003E19E1">
            <w:pPr>
              <w:spacing w:before="60" w:after="60"/>
              <w:jc w:val="left"/>
              <w:rPr>
                <w:sz w:val="20"/>
              </w:rPr>
            </w:pPr>
            <w:r w:rsidRPr="003F2CDC">
              <w:t>AC5-2</w:t>
            </w:r>
          </w:p>
        </w:tc>
        <w:tc>
          <w:tcPr>
            <w:tcW w:w="2552" w:type="dxa"/>
            <w:tcBorders>
              <w:top w:val="single" w:sz="4" w:space="0" w:color="000000"/>
            </w:tcBorders>
            <w:vAlign w:val="center"/>
          </w:tcPr>
          <w:p w14:paraId="71A2BD3D" w14:textId="77777777" w:rsidR="00265A2C" w:rsidRDefault="00265A2C" w:rsidP="003E19E1">
            <w:pPr>
              <w:spacing w:before="60" w:after="60"/>
              <w:jc w:val="left"/>
              <w:rPr>
                <w:sz w:val="20"/>
              </w:rPr>
            </w:pPr>
            <w:r w:rsidRPr="003F2CDC">
              <w:t>Chillers</w:t>
            </w:r>
          </w:p>
        </w:tc>
        <w:tc>
          <w:tcPr>
            <w:tcW w:w="3969" w:type="dxa"/>
            <w:tcBorders>
              <w:top w:val="single" w:sz="4" w:space="0" w:color="000000"/>
            </w:tcBorders>
            <w:vAlign w:val="center"/>
          </w:tcPr>
          <w:p w14:paraId="0B42D0BB" w14:textId="4E215529" w:rsidR="00265A2C" w:rsidRPr="008343EF" w:rsidRDefault="00265A2C" w:rsidP="003E19E1">
            <w:pPr>
              <w:spacing w:before="60" w:after="60"/>
              <w:jc w:val="left"/>
              <w:rPr>
                <w:sz w:val="20"/>
              </w:rPr>
            </w:pPr>
            <w:r w:rsidRPr="003F2CDC">
              <w:t>&gt;500 &amp; &lt;1000 kWr</w:t>
            </w:r>
          </w:p>
        </w:tc>
        <w:tc>
          <w:tcPr>
            <w:tcW w:w="1984" w:type="dxa"/>
            <w:tcBorders>
              <w:top w:val="single" w:sz="4" w:space="0" w:color="000000"/>
            </w:tcBorders>
            <w:vAlign w:val="center"/>
          </w:tcPr>
          <w:p w14:paraId="1D4E5B3F" w14:textId="37EA58E5" w:rsidR="00265A2C" w:rsidRPr="00923150" w:rsidRDefault="00265A2C" w:rsidP="003E19E1">
            <w:pPr>
              <w:spacing w:before="60" w:after="60"/>
              <w:jc w:val="center"/>
              <w:rPr>
                <w:sz w:val="20"/>
              </w:rPr>
            </w:pPr>
            <w:r w:rsidRPr="00E405D5">
              <w:t>7,200</w:t>
            </w:r>
          </w:p>
        </w:tc>
      </w:tr>
      <w:tr w:rsidR="00265A2C" w:rsidRPr="00923150" w14:paraId="36E4ADDD" w14:textId="77777777" w:rsidTr="00265A2C">
        <w:trPr>
          <w:trHeight w:val="456"/>
        </w:trPr>
        <w:tc>
          <w:tcPr>
            <w:tcW w:w="1134" w:type="dxa"/>
            <w:tcBorders>
              <w:top w:val="single" w:sz="4" w:space="0" w:color="000000"/>
            </w:tcBorders>
            <w:vAlign w:val="center"/>
          </w:tcPr>
          <w:p w14:paraId="6FEFB664" w14:textId="66B766CE" w:rsidR="00265A2C" w:rsidRDefault="00265A2C" w:rsidP="003E19E1">
            <w:pPr>
              <w:spacing w:before="60" w:after="60"/>
              <w:jc w:val="left"/>
              <w:rPr>
                <w:sz w:val="20"/>
              </w:rPr>
            </w:pPr>
            <w:r w:rsidRPr="003F2CDC">
              <w:t>AC5-3</w:t>
            </w:r>
          </w:p>
        </w:tc>
        <w:tc>
          <w:tcPr>
            <w:tcW w:w="2552" w:type="dxa"/>
            <w:tcBorders>
              <w:top w:val="single" w:sz="4" w:space="0" w:color="000000"/>
            </w:tcBorders>
            <w:vAlign w:val="center"/>
          </w:tcPr>
          <w:p w14:paraId="5A34FAAF" w14:textId="77777777" w:rsidR="00265A2C" w:rsidRDefault="00265A2C" w:rsidP="003E19E1">
            <w:pPr>
              <w:spacing w:before="60" w:after="60"/>
              <w:jc w:val="left"/>
              <w:rPr>
                <w:sz w:val="20"/>
              </w:rPr>
            </w:pPr>
            <w:r w:rsidRPr="003F2CDC">
              <w:t>Chillers</w:t>
            </w:r>
          </w:p>
        </w:tc>
        <w:tc>
          <w:tcPr>
            <w:tcW w:w="3969" w:type="dxa"/>
            <w:tcBorders>
              <w:top w:val="single" w:sz="4" w:space="0" w:color="000000"/>
            </w:tcBorders>
            <w:vAlign w:val="center"/>
          </w:tcPr>
          <w:p w14:paraId="3D81FC31" w14:textId="6FCCE966" w:rsidR="00265A2C" w:rsidRPr="008343EF" w:rsidRDefault="00265A2C" w:rsidP="003E19E1">
            <w:pPr>
              <w:spacing w:before="60" w:after="60"/>
              <w:jc w:val="left"/>
              <w:rPr>
                <w:sz w:val="20"/>
              </w:rPr>
            </w:pPr>
            <w:r w:rsidRPr="003F2CDC">
              <w:t>&gt;1000 kWr</w:t>
            </w:r>
          </w:p>
        </w:tc>
        <w:tc>
          <w:tcPr>
            <w:tcW w:w="1984" w:type="dxa"/>
            <w:tcBorders>
              <w:top w:val="single" w:sz="4" w:space="0" w:color="000000"/>
            </w:tcBorders>
            <w:vAlign w:val="center"/>
          </w:tcPr>
          <w:p w14:paraId="3EB4BDDD" w14:textId="098A699F" w:rsidR="00265A2C" w:rsidRPr="00923150" w:rsidRDefault="00265A2C" w:rsidP="003E19E1">
            <w:pPr>
              <w:spacing w:before="60" w:after="60"/>
              <w:jc w:val="center"/>
              <w:rPr>
                <w:sz w:val="20"/>
              </w:rPr>
            </w:pPr>
            <w:r w:rsidRPr="00E405D5">
              <w:t>1,100</w:t>
            </w:r>
          </w:p>
        </w:tc>
      </w:tr>
      <w:tr w:rsidR="00265A2C" w:rsidRPr="00923150" w14:paraId="7773F153" w14:textId="77777777" w:rsidTr="00265A2C">
        <w:trPr>
          <w:trHeight w:val="456"/>
        </w:trPr>
        <w:tc>
          <w:tcPr>
            <w:tcW w:w="1134" w:type="dxa"/>
            <w:tcBorders>
              <w:top w:val="single" w:sz="4" w:space="0" w:color="000000"/>
            </w:tcBorders>
            <w:vAlign w:val="center"/>
          </w:tcPr>
          <w:p w14:paraId="0492A3C6" w14:textId="2271154D" w:rsidR="00265A2C" w:rsidRDefault="00265A2C" w:rsidP="003E19E1">
            <w:pPr>
              <w:spacing w:before="60" w:after="60"/>
              <w:jc w:val="left"/>
              <w:rPr>
                <w:sz w:val="20"/>
              </w:rPr>
            </w:pPr>
            <w:r w:rsidRPr="003F2CDC">
              <w:t>AC6-1</w:t>
            </w:r>
          </w:p>
        </w:tc>
        <w:tc>
          <w:tcPr>
            <w:tcW w:w="2552" w:type="dxa"/>
            <w:tcBorders>
              <w:top w:val="single" w:sz="4" w:space="0" w:color="000000"/>
            </w:tcBorders>
            <w:vAlign w:val="center"/>
          </w:tcPr>
          <w:p w14:paraId="08A19E6D" w14:textId="77777777" w:rsidR="00265A2C" w:rsidRDefault="00265A2C" w:rsidP="003E19E1">
            <w:pPr>
              <w:spacing w:before="60" w:after="60"/>
              <w:jc w:val="left"/>
              <w:rPr>
                <w:sz w:val="20"/>
              </w:rPr>
            </w:pPr>
            <w:r w:rsidRPr="003F2CDC">
              <w:t>Light commercial</w:t>
            </w:r>
          </w:p>
        </w:tc>
        <w:tc>
          <w:tcPr>
            <w:tcW w:w="3969" w:type="dxa"/>
            <w:tcBorders>
              <w:top w:val="single" w:sz="4" w:space="0" w:color="000000"/>
            </w:tcBorders>
            <w:vAlign w:val="center"/>
          </w:tcPr>
          <w:p w14:paraId="3B47779E" w14:textId="2322D04A" w:rsidR="00265A2C" w:rsidRPr="008343EF" w:rsidRDefault="00265A2C" w:rsidP="003E19E1">
            <w:pPr>
              <w:spacing w:before="60" w:after="60"/>
              <w:jc w:val="left"/>
              <w:rPr>
                <w:sz w:val="20"/>
              </w:rPr>
            </w:pPr>
            <w:r w:rsidRPr="003F2CDC">
              <w:t>RT Packaged systems</w:t>
            </w:r>
          </w:p>
        </w:tc>
        <w:tc>
          <w:tcPr>
            <w:tcW w:w="1984" w:type="dxa"/>
            <w:tcBorders>
              <w:top w:val="single" w:sz="4" w:space="0" w:color="000000"/>
            </w:tcBorders>
            <w:vAlign w:val="center"/>
          </w:tcPr>
          <w:p w14:paraId="3FC4AED5" w14:textId="68E9A292" w:rsidR="00265A2C" w:rsidRPr="00923150" w:rsidRDefault="00265A2C" w:rsidP="003E19E1">
            <w:pPr>
              <w:spacing w:before="60" w:after="60"/>
              <w:jc w:val="center"/>
              <w:rPr>
                <w:sz w:val="20"/>
              </w:rPr>
            </w:pPr>
            <w:r w:rsidRPr="00E405D5">
              <w:t>70,000</w:t>
            </w:r>
          </w:p>
        </w:tc>
      </w:tr>
      <w:tr w:rsidR="00265A2C" w:rsidRPr="00923150" w14:paraId="684A0D5E" w14:textId="77777777" w:rsidTr="00265A2C">
        <w:trPr>
          <w:trHeight w:val="456"/>
        </w:trPr>
        <w:tc>
          <w:tcPr>
            <w:tcW w:w="1134" w:type="dxa"/>
            <w:tcBorders>
              <w:top w:val="single" w:sz="4" w:space="0" w:color="000000"/>
            </w:tcBorders>
            <w:vAlign w:val="center"/>
          </w:tcPr>
          <w:p w14:paraId="438948AC" w14:textId="3EF40B90" w:rsidR="00265A2C" w:rsidRDefault="00265A2C" w:rsidP="003E19E1">
            <w:pPr>
              <w:spacing w:before="60" w:after="60"/>
              <w:jc w:val="left"/>
              <w:rPr>
                <w:sz w:val="20"/>
              </w:rPr>
            </w:pPr>
            <w:r w:rsidRPr="003F2CDC">
              <w:t>AC6-2</w:t>
            </w:r>
          </w:p>
        </w:tc>
        <w:tc>
          <w:tcPr>
            <w:tcW w:w="2552" w:type="dxa"/>
            <w:tcBorders>
              <w:top w:val="single" w:sz="4" w:space="0" w:color="000000"/>
            </w:tcBorders>
            <w:vAlign w:val="center"/>
          </w:tcPr>
          <w:p w14:paraId="04B5B6A5" w14:textId="77777777" w:rsidR="00265A2C" w:rsidRDefault="00265A2C" w:rsidP="003E19E1">
            <w:pPr>
              <w:spacing w:before="60" w:after="60"/>
              <w:jc w:val="left"/>
              <w:rPr>
                <w:sz w:val="20"/>
              </w:rPr>
            </w:pPr>
            <w:r w:rsidRPr="003F2CDC">
              <w:t>Light commercial</w:t>
            </w:r>
          </w:p>
        </w:tc>
        <w:tc>
          <w:tcPr>
            <w:tcW w:w="3969" w:type="dxa"/>
            <w:tcBorders>
              <w:top w:val="single" w:sz="4" w:space="0" w:color="000000"/>
            </w:tcBorders>
            <w:vAlign w:val="center"/>
          </w:tcPr>
          <w:p w14:paraId="4A2C8858" w14:textId="099D5F75" w:rsidR="00265A2C" w:rsidRPr="008343EF" w:rsidRDefault="00265A2C" w:rsidP="003E19E1">
            <w:pPr>
              <w:spacing w:before="60" w:after="60"/>
              <w:jc w:val="left"/>
              <w:rPr>
                <w:sz w:val="20"/>
              </w:rPr>
            </w:pPr>
            <w:r w:rsidRPr="003F2CDC">
              <w:t>Multi split/VRF</w:t>
            </w:r>
          </w:p>
        </w:tc>
        <w:tc>
          <w:tcPr>
            <w:tcW w:w="1984" w:type="dxa"/>
            <w:tcBorders>
              <w:top w:val="single" w:sz="4" w:space="0" w:color="000000"/>
            </w:tcBorders>
            <w:vAlign w:val="center"/>
          </w:tcPr>
          <w:p w14:paraId="29777ED9" w14:textId="5A3E38B7" w:rsidR="00265A2C" w:rsidRPr="00923150" w:rsidRDefault="00265A2C" w:rsidP="003E19E1">
            <w:pPr>
              <w:spacing w:before="60" w:after="60"/>
              <w:jc w:val="center"/>
              <w:rPr>
                <w:sz w:val="20"/>
              </w:rPr>
            </w:pPr>
            <w:r w:rsidRPr="00E405D5">
              <w:t>276,000</w:t>
            </w:r>
          </w:p>
        </w:tc>
      </w:tr>
      <w:tr w:rsidR="00265A2C" w:rsidRPr="00923150" w14:paraId="088CDF2C" w14:textId="77777777" w:rsidTr="00265A2C">
        <w:trPr>
          <w:trHeight w:val="456"/>
        </w:trPr>
        <w:tc>
          <w:tcPr>
            <w:tcW w:w="1134" w:type="dxa"/>
            <w:tcBorders>
              <w:top w:val="single" w:sz="4" w:space="0" w:color="000000"/>
            </w:tcBorders>
            <w:vAlign w:val="center"/>
          </w:tcPr>
          <w:p w14:paraId="1454E40D" w14:textId="5E658837" w:rsidR="00265A2C" w:rsidRDefault="00265A2C" w:rsidP="003E19E1">
            <w:pPr>
              <w:spacing w:before="60" w:after="60"/>
              <w:jc w:val="left"/>
              <w:rPr>
                <w:sz w:val="20"/>
              </w:rPr>
            </w:pPr>
            <w:r w:rsidRPr="003F2CDC">
              <w:t>AC6-3</w:t>
            </w:r>
          </w:p>
        </w:tc>
        <w:tc>
          <w:tcPr>
            <w:tcW w:w="2552" w:type="dxa"/>
            <w:tcBorders>
              <w:top w:val="single" w:sz="4" w:space="0" w:color="000000"/>
            </w:tcBorders>
            <w:vAlign w:val="center"/>
          </w:tcPr>
          <w:p w14:paraId="17BD8F1B" w14:textId="77777777" w:rsidR="00265A2C" w:rsidRDefault="00265A2C" w:rsidP="003E19E1">
            <w:pPr>
              <w:spacing w:before="60" w:after="60"/>
              <w:jc w:val="left"/>
              <w:rPr>
                <w:sz w:val="20"/>
              </w:rPr>
            </w:pPr>
            <w:r w:rsidRPr="003F2CDC">
              <w:t>Light commercial</w:t>
            </w:r>
          </w:p>
        </w:tc>
        <w:tc>
          <w:tcPr>
            <w:tcW w:w="3969" w:type="dxa"/>
            <w:tcBorders>
              <w:top w:val="single" w:sz="4" w:space="0" w:color="000000"/>
            </w:tcBorders>
            <w:vAlign w:val="center"/>
          </w:tcPr>
          <w:p w14:paraId="5E27C41E" w14:textId="7563C44C" w:rsidR="00265A2C" w:rsidRPr="008343EF" w:rsidRDefault="00265A2C" w:rsidP="003E19E1">
            <w:pPr>
              <w:spacing w:before="60" w:after="60"/>
              <w:jc w:val="left"/>
              <w:rPr>
                <w:sz w:val="20"/>
              </w:rPr>
            </w:pPr>
            <w:r w:rsidRPr="003F2CDC">
              <w:t>Close control</w:t>
            </w:r>
          </w:p>
        </w:tc>
        <w:tc>
          <w:tcPr>
            <w:tcW w:w="1984" w:type="dxa"/>
            <w:tcBorders>
              <w:top w:val="single" w:sz="4" w:space="0" w:color="000000"/>
            </w:tcBorders>
            <w:vAlign w:val="center"/>
          </w:tcPr>
          <w:p w14:paraId="369B8D6A" w14:textId="09EB0C71" w:rsidR="00265A2C" w:rsidRPr="00923150" w:rsidRDefault="00265A2C" w:rsidP="003E19E1">
            <w:pPr>
              <w:spacing w:before="60" w:after="60"/>
              <w:jc w:val="center"/>
              <w:rPr>
                <w:sz w:val="20"/>
              </w:rPr>
            </w:pPr>
            <w:r w:rsidRPr="00E405D5">
              <w:t>11,500</w:t>
            </w:r>
          </w:p>
        </w:tc>
      </w:tr>
      <w:tr w:rsidR="00265A2C" w:rsidRPr="00923150" w14:paraId="3096D38B" w14:textId="77777777" w:rsidTr="00265A2C">
        <w:trPr>
          <w:trHeight w:val="456"/>
        </w:trPr>
        <w:tc>
          <w:tcPr>
            <w:tcW w:w="1134" w:type="dxa"/>
            <w:vAlign w:val="center"/>
          </w:tcPr>
          <w:p w14:paraId="34B9D252" w14:textId="1E904AC4" w:rsidR="00265A2C" w:rsidRDefault="00265A2C" w:rsidP="003E19E1">
            <w:pPr>
              <w:spacing w:before="60" w:after="60"/>
              <w:jc w:val="left"/>
              <w:rPr>
                <w:sz w:val="20"/>
              </w:rPr>
            </w:pPr>
            <w:r w:rsidRPr="003F2CDC">
              <w:t>AC6-4</w:t>
            </w:r>
          </w:p>
        </w:tc>
        <w:tc>
          <w:tcPr>
            <w:tcW w:w="2552" w:type="dxa"/>
            <w:vAlign w:val="center"/>
          </w:tcPr>
          <w:p w14:paraId="57C66622" w14:textId="77777777" w:rsidR="00265A2C" w:rsidRDefault="00265A2C" w:rsidP="003E19E1">
            <w:pPr>
              <w:spacing w:before="60" w:after="60"/>
              <w:jc w:val="left"/>
              <w:rPr>
                <w:sz w:val="20"/>
              </w:rPr>
            </w:pPr>
            <w:r w:rsidRPr="003F2CDC">
              <w:t>Light commercial</w:t>
            </w:r>
          </w:p>
        </w:tc>
        <w:tc>
          <w:tcPr>
            <w:tcW w:w="3969" w:type="dxa"/>
            <w:vAlign w:val="center"/>
          </w:tcPr>
          <w:p w14:paraId="71491817" w14:textId="0F6E8BAD" w:rsidR="00265A2C" w:rsidRDefault="00265A2C" w:rsidP="003E19E1">
            <w:pPr>
              <w:spacing w:before="60" w:after="60"/>
              <w:jc w:val="left"/>
              <w:rPr>
                <w:sz w:val="20"/>
              </w:rPr>
            </w:pPr>
            <w:r w:rsidRPr="003F2CDC">
              <w:t>HW heat pump: commercial</w:t>
            </w:r>
          </w:p>
        </w:tc>
        <w:tc>
          <w:tcPr>
            <w:tcW w:w="1984" w:type="dxa"/>
            <w:vAlign w:val="center"/>
          </w:tcPr>
          <w:p w14:paraId="1C2E2038" w14:textId="2008D657" w:rsidR="00265A2C" w:rsidRDefault="00265A2C" w:rsidP="003E19E1">
            <w:pPr>
              <w:spacing w:before="60" w:after="60"/>
              <w:jc w:val="center"/>
              <w:rPr>
                <w:sz w:val="20"/>
              </w:rPr>
            </w:pPr>
            <w:r w:rsidRPr="00E405D5">
              <w:t>1,000</w:t>
            </w:r>
          </w:p>
        </w:tc>
      </w:tr>
      <w:tr w:rsidR="00265A2C" w:rsidRPr="00923150" w14:paraId="60AEFD41" w14:textId="77777777" w:rsidTr="00265A2C">
        <w:trPr>
          <w:trHeight w:val="456"/>
        </w:trPr>
        <w:tc>
          <w:tcPr>
            <w:tcW w:w="1134" w:type="dxa"/>
            <w:vAlign w:val="center"/>
          </w:tcPr>
          <w:p w14:paraId="271CCDBA" w14:textId="74F8FE04" w:rsidR="00265A2C" w:rsidRDefault="00265A2C" w:rsidP="003E19E1">
            <w:pPr>
              <w:spacing w:before="60" w:after="60"/>
              <w:jc w:val="left"/>
              <w:rPr>
                <w:sz w:val="20"/>
              </w:rPr>
            </w:pPr>
            <w:r w:rsidRPr="003F2CDC">
              <w:t>AC6-5</w:t>
            </w:r>
          </w:p>
        </w:tc>
        <w:tc>
          <w:tcPr>
            <w:tcW w:w="2552" w:type="dxa"/>
            <w:vAlign w:val="center"/>
          </w:tcPr>
          <w:p w14:paraId="170D25AD" w14:textId="77777777" w:rsidR="00265A2C" w:rsidRDefault="00265A2C" w:rsidP="003E19E1">
            <w:pPr>
              <w:spacing w:before="60" w:after="60"/>
              <w:jc w:val="left"/>
              <w:rPr>
                <w:sz w:val="20"/>
              </w:rPr>
            </w:pPr>
            <w:r w:rsidRPr="003F2CDC">
              <w:t>Light commercial</w:t>
            </w:r>
          </w:p>
        </w:tc>
        <w:tc>
          <w:tcPr>
            <w:tcW w:w="3969" w:type="dxa"/>
            <w:vAlign w:val="center"/>
          </w:tcPr>
          <w:p w14:paraId="6E6B0DCD" w14:textId="1EF12D43" w:rsidR="00265A2C" w:rsidRDefault="00265A2C" w:rsidP="003E19E1">
            <w:pPr>
              <w:spacing w:before="60" w:after="60"/>
              <w:jc w:val="left"/>
              <w:rPr>
                <w:sz w:val="20"/>
              </w:rPr>
            </w:pPr>
            <w:r w:rsidRPr="003F2CDC">
              <w:t>Pool heat pump</w:t>
            </w:r>
          </w:p>
        </w:tc>
        <w:tc>
          <w:tcPr>
            <w:tcW w:w="1984" w:type="dxa"/>
            <w:vAlign w:val="center"/>
          </w:tcPr>
          <w:p w14:paraId="1BFD54E8" w14:textId="1C5FE690" w:rsidR="00265A2C" w:rsidRDefault="00265A2C" w:rsidP="003E19E1">
            <w:pPr>
              <w:spacing w:before="60" w:after="60"/>
              <w:jc w:val="center"/>
              <w:rPr>
                <w:sz w:val="20"/>
              </w:rPr>
            </w:pPr>
            <w:r w:rsidRPr="00E405D5">
              <w:t>28,000</w:t>
            </w:r>
          </w:p>
        </w:tc>
      </w:tr>
      <w:tr w:rsidR="00265A2C" w:rsidRPr="00923150" w14:paraId="7E1CC942" w14:textId="77777777" w:rsidTr="00265A2C">
        <w:trPr>
          <w:trHeight w:val="456"/>
        </w:trPr>
        <w:tc>
          <w:tcPr>
            <w:tcW w:w="1134" w:type="dxa"/>
            <w:tcBorders>
              <w:bottom w:val="double" w:sz="4" w:space="0" w:color="auto"/>
            </w:tcBorders>
            <w:vAlign w:val="center"/>
          </w:tcPr>
          <w:p w14:paraId="0F4D89AC" w14:textId="55632537" w:rsidR="00265A2C" w:rsidRPr="003F2CDC" w:rsidRDefault="00265A2C" w:rsidP="003E19E1">
            <w:pPr>
              <w:spacing w:before="60" w:after="60"/>
              <w:jc w:val="left"/>
            </w:pPr>
            <w:r w:rsidRPr="003F2CDC">
              <w:t>AC7</w:t>
            </w:r>
          </w:p>
        </w:tc>
        <w:tc>
          <w:tcPr>
            <w:tcW w:w="2552" w:type="dxa"/>
            <w:tcBorders>
              <w:bottom w:val="double" w:sz="4" w:space="0" w:color="auto"/>
            </w:tcBorders>
            <w:vAlign w:val="center"/>
          </w:tcPr>
          <w:p w14:paraId="2CA745EE" w14:textId="57979F99" w:rsidR="00265A2C" w:rsidRPr="003F2CDC" w:rsidRDefault="00265A2C" w:rsidP="003E19E1">
            <w:pPr>
              <w:spacing w:before="60" w:after="60"/>
              <w:jc w:val="left"/>
            </w:pPr>
            <w:r w:rsidRPr="003F2CDC">
              <w:t>HW Heatpumps</w:t>
            </w:r>
          </w:p>
        </w:tc>
        <w:tc>
          <w:tcPr>
            <w:tcW w:w="3969" w:type="dxa"/>
            <w:tcBorders>
              <w:bottom w:val="double" w:sz="4" w:space="0" w:color="auto"/>
            </w:tcBorders>
            <w:vAlign w:val="center"/>
          </w:tcPr>
          <w:p w14:paraId="28328903" w14:textId="25622CC6" w:rsidR="00265A2C" w:rsidRPr="003F2CDC" w:rsidRDefault="00265A2C" w:rsidP="003E19E1">
            <w:pPr>
              <w:spacing w:before="60" w:after="60"/>
              <w:jc w:val="left"/>
            </w:pPr>
            <w:r w:rsidRPr="003F2CDC">
              <w:t>HW heat pump: domestic</w:t>
            </w:r>
          </w:p>
        </w:tc>
        <w:tc>
          <w:tcPr>
            <w:tcW w:w="1984" w:type="dxa"/>
            <w:tcBorders>
              <w:bottom w:val="double" w:sz="4" w:space="0" w:color="auto"/>
            </w:tcBorders>
            <w:vAlign w:val="center"/>
          </w:tcPr>
          <w:p w14:paraId="35BF11DB" w14:textId="3C6D6A9B" w:rsidR="00265A2C" w:rsidRPr="003F2CDC" w:rsidRDefault="00265A2C" w:rsidP="003E19E1">
            <w:pPr>
              <w:spacing w:before="60" w:after="60"/>
              <w:jc w:val="center"/>
            </w:pPr>
            <w:r w:rsidRPr="00E405D5">
              <w:t>170,000</w:t>
            </w:r>
          </w:p>
        </w:tc>
      </w:tr>
      <w:tr w:rsidR="001D1518" w:rsidRPr="003E19E1" w14:paraId="183534C9" w14:textId="77777777" w:rsidTr="00265A2C">
        <w:trPr>
          <w:trHeight w:val="456"/>
        </w:trPr>
        <w:tc>
          <w:tcPr>
            <w:tcW w:w="1134" w:type="dxa"/>
            <w:tcBorders>
              <w:top w:val="double" w:sz="4" w:space="0" w:color="auto"/>
            </w:tcBorders>
            <w:vAlign w:val="center"/>
          </w:tcPr>
          <w:p w14:paraId="4923FA72" w14:textId="76BC356A" w:rsidR="001D1518" w:rsidRPr="003E19E1" w:rsidRDefault="001D1518" w:rsidP="003E19E1">
            <w:pPr>
              <w:spacing w:before="60" w:after="60"/>
              <w:jc w:val="left"/>
              <w:rPr>
                <w:szCs w:val="22"/>
              </w:rPr>
            </w:pPr>
            <w:r w:rsidRPr="003E19E1">
              <w:rPr>
                <w:szCs w:val="22"/>
              </w:rPr>
              <w:t>AC</w:t>
            </w:r>
          </w:p>
        </w:tc>
        <w:tc>
          <w:tcPr>
            <w:tcW w:w="2552" w:type="dxa"/>
            <w:tcBorders>
              <w:top w:val="double" w:sz="4" w:space="0" w:color="auto"/>
            </w:tcBorders>
            <w:vAlign w:val="center"/>
          </w:tcPr>
          <w:p w14:paraId="044BB977" w14:textId="2D5A2031" w:rsidR="001D1518" w:rsidRPr="003E19E1" w:rsidRDefault="001D1518" w:rsidP="003E19E1">
            <w:pPr>
              <w:spacing w:before="60" w:after="60"/>
              <w:jc w:val="left"/>
              <w:rPr>
                <w:szCs w:val="22"/>
              </w:rPr>
            </w:pPr>
            <w:r w:rsidRPr="003E19E1">
              <w:rPr>
                <w:szCs w:val="22"/>
              </w:rPr>
              <w:t>Total stationary AC</w:t>
            </w:r>
          </w:p>
        </w:tc>
        <w:tc>
          <w:tcPr>
            <w:tcW w:w="3969" w:type="dxa"/>
            <w:tcBorders>
              <w:top w:val="double" w:sz="4" w:space="0" w:color="auto"/>
            </w:tcBorders>
            <w:vAlign w:val="center"/>
          </w:tcPr>
          <w:p w14:paraId="6816B9BC" w14:textId="70ED9969" w:rsidR="001D1518" w:rsidRPr="003E19E1" w:rsidRDefault="001D1518" w:rsidP="003E19E1">
            <w:pPr>
              <w:spacing w:before="60" w:after="60"/>
              <w:jc w:val="left"/>
              <w:rPr>
                <w:szCs w:val="22"/>
              </w:rPr>
            </w:pPr>
          </w:p>
        </w:tc>
        <w:tc>
          <w:tcPr>
            <w:tcW w:w="1984" w:type="dxa"/>
            <w:tcBorders>
              <w:top w:val="double" w:sz="4" w:space="0" w:color="auto"/>
            </w:tcBorders>
            <w:vAlign w:val="center"/>
          </w:tcPr>
          <w:p w14:paraId="4AE04148" w14:textId="177A9CFD" w:rsidR="001D1518" w:rsidRPr="003E19E1" w:rsidRDefault="001D1518" w:rsidP="00265A2C">
            <w:pPr>
              <w:spacing w:before="60" w:after="60"/>
              <w:jc w:val="center"/>
              <w:rPr>
                <w:szCs w:val="22"/>
              </w:rPr>
            </w:pPr>
            <w:r w:rsidRPr="00675866">
              <w:t>11,555,0</w:t>
            </w:r>
            <w:r w:rsidR="00265A2C">
              <w:t>00</w:t>
            </w:r>
          </w:p>
        </w:tc>
      </w:tr>
    </w:tbl>
    <w:p w14:paraId="6042E519" w14:textId="50596199" w:rsidR="0043456E" w:rsidRPr="00116557" w:rsidRDefault="00116557" w:rsidP="00116557">
      <w:pPr>
        <w:spacing w:before="0"/>
        <w:rPr>
          <w:sz w:val="20"/>
          <w:szCs w:val="20"/>
        </w:rPr>
      </w:pPr>
      <w:r w:rsidRPr="00116557">
        <w:rPr>
          <w:sz w:val="20"/>
          <w:szCs w:val="20"/>
        </w:rPr>
        <w:t>(Sources: DSEWPaC 2013b, E3 2012, DSEWPaC 2011, IEA 2011, E3 2009b, E3 2008a</w:t>
      </w:r>
      <w:r w:rsidR="00A32739">
        <w:rPr>
          <w:sz w:val="20"/>
          <w:szCs w:val="20"/>
        </w:rPr>
        <w:t>, E3 2008b</w:t>
      </w:r>
      <w:r w:rsidRPr="00116557">
        <w:rPr>
          <w:sz w:val="20"/>
          <w:szCs w:val="20"/>
        </w:rPr>
        <w:t xml:space="preserve"> and industry informants)</w:t>
      </w:r>
    </w:p>
    <w:p w14:paraId="29AF14F5" w14:textId="77777777" w:rsidR="00E633DA" w:rsidRPr="00E633DA" w:rsidRDefault="00E633DA" w:rsidP="00806CFE">
      <w:pPr>
        <w:spacing w:before="240"/>
        <w:rPr>
          <w:szCs w:val="22"/>
        </w:rPr>
      </w:pPr>
      <w:r w:rsidRPr="00E633DA">
        <w:rPr>
          <w:szCs w:val="22"/>
        </w:rPr>
        <w:t xml:space="preserve">The main product formats include: </w:t>
      </w:r>
    </w:p>
    <w:p w14:paraId="3CC3C8DB" w14:textId="0E4C5F7F" w:rsidR="00E633DA" w:rsidRPr="00E633DA" w:rsidRDefault="00E633DA" w:rsidP="00D05A74">
      <w:pPr>
        <w:pStyle w:val="ListParagraph"/>
        <w:numPr>
          <w:ilvl w:val="0"/>
          <w:numId w:val="20"/>
        </w:numPr>
        <w:spacing w:before="120" w:after="0" w:line="240" w:lineRule="auto"/>
        <w:ind w:left="357" w:hanging="357"/>
        <w:contextualSpacing w:val="0"/>
        <w:jc w:val="both"/>
        <w:rPr>
          <w:rFonts w:ascii="Times New Roman" w:hAnsi="Times New Roman"/>
        </w:rPr>
      </w:pPr>
      <w:r w:rsidRPr="00E633DA">
        <w:rPr>
          <w:rFonts w:ascii="Times New Roman" w:hAnsi="Times New Roman"/>
        </w:rPr>
        <w:t>AC1-1, AC1-2</w:t>
      </w:r>
      <w:r w:rsidR="00EC02DB">
        <w:rPr>
          <w:rFonts w:ascii="Times New Roman" w:hAnsi="Times New Roman"/>
        </w:rPr>
        <w:t xml:space="preserve">: </w:t>
      </w:r>
      <w:r w:rsidRPr="00E633DA">
        <w:rPr>
          <w:rFonts w:ascii="Times New Roman" w:hAnsi="Times New Roman"/>
        </w:rPr>
        <w:t>Non ducted split systems covering a broad class of equipment including single or multiple indoor units in a variety of styles such as wall hung, cassette, console and under ceiling;</w:t>
      </w:r>
    </w:p>
    <w:p w14:paraId="3DFD48D5" w14:textId="707331ED" w:rsidR="00E633DA" w:rsidRPr="00E633DA" w:rsidRDefault="00E633DA" w:rsidP="00D05A74">
      <w:pPr>
        <w:pStyle w:val="ListParagraph"/>
        <w:numPr>
          <w:ilvl w:val="0"/>
          <w:numId w:val="20"/>
        </w:numPr>
        <w:spacing w:before="120" w:after="0" w:line="240" w:lineRule="auto"/>
        <w:ind w:left="357" w:hanging="357"/>
        <w:contextualSpacing w:val="0"/>
        <w:jc w:val="both"/>
        <w:rPr>
          <w:rFonts w:ascii="Times New Roman" w:hAnsi="Times New Roman"/>
        </w:rPr>
      </w:pPr>
      <w:r w:rsidRPr="00E633DA">
        <w:rPr>
          <w:rFonts w:ascii="Times New Roman" w:hAnsi="Times New Roman"/>
        </w:rPr>
        <w:t>AC2-1, AC2-2</w:t>
      </w:r>
      <w:r w:rsidR="00EC02DB">
        <w:rPr>
          <w:rFonts w:ascii="Times New Roman" w:hAnsi="Times New Roman"/>
        </w:rPr>
        <w:t>:</w:t>
      </w:r>
      <w:r w:rsidRPr="00E633DA">
        <w:rPr>
          <w:rFonts w:ascii="Times New Roman" w:hAnsi="Times New Roman"/>
        </w:rPr>
        <w:t xml:space="preserve"> Ducted split systems used in domestic and light commercial applications where the indoor unit is connected to rigid or flexible duct which is ducted around the building to supply air to the conditioned space;</w:t>
      </w:r>
    </w:p>
    <w:p w14:paraId="38DFF3F6" w14:textId="2A11C4A4" w:rsidR="00E633DA" w:rsidRPr="00E633DA" w:rsidRDefault="00E633DA" w:rsidP="00D05A74">
      <w:pPr>
        <w:pStyle w:val="ListParagraph"/>
        <w:numPr>
          <w:ilvl w:val="0"/>
          <w:numId w:val="20"/>
        </w:numPr>
        <w:spacing w:before="120" w:after="0" w:line="240" w:lineRule="auto"/>
        <w:ind w:left="357" w:hanging="357"/>
        <w:contextualSpacing w:val="0"/>
        <w:jc w:val="both"/>
        <w:rPr>
          <w:rFonts w:ascii="Times New Roman" w:hAnsi="Times New Roman"/>
        </w:rPr>
      </w:pPr>
      <w:r w:rsidRPr="00E633DA">
        <w:rPr>
          <w:rFonts w:ascii="Times New Roman" w:hAnsi="Times New Roman"/>
        </w:rPr>
        <w:t>AC3</w:t>
      </w:r>
      <w:r w:rsidR="00EC02DB">
        <w:rPr>
          <w:rFonts w:ascii="Times New Roman" w:hAnsi="Times New Roman"/>
        </w:rPr>
        <w:t>:</w:t>
      </w:r>
      <w:r w:rsidRPr="00E633DA">
        <w:rPr>
          <w:rFonts w:ascii="Times New Roman" w:hAnsi="Times New Roman"/>
        </w:rPr>
        <w:t xml:space="preserve"> Packaged room air conditioning units intended to be inserted through a hole in a wall or through a window aperture of a home, shop or worksite demountable</w:t>
      </w:r>
      <w:r w:rsidR="006D621D">
        <w:rPr>
          <w:rFonts w:ascii="Times New Roman" w:hAnsi="Times New Roman"/>
        </w:rPr>
        <w:t>. T</w:t>
      </w:r>
      <w:r w:rsidR="00C438B6">
        <w:rPr>
          <w:rFonts w:ascii="Times New Roman" w:hAnsi="Times New Roman"/>
        </w:rPr>
        <w:t xml:space="preserve">his </w:t>
      </w:r>
      <w:r w:rsidR="006D621D">
        <w:rPr>
          <w:rFonts w:ascii="Times New Roman" w:hAnsi="Times New Roman"/>
        </w:rPr>
        <w:t xml:space="preserve">product category </w:t>
      </w:r>
      <w:r w:rsidR="00C438B6">
        <w:rPr>
          <w:rFonts w:ascii="Times New Roman" w:hAnsi="Times New Roman"/>
        </w:rPr>
        <w:t xml:space="preserve">is </w:t>
      </w:r>
      <w:r w:rsidRPr="00E633DA">
        <w:rPr>
          <w:rFonts w:ascii="Times New Roman" w:hAnsi="Times New Roman"/>
        </w:rPr>
        <w:t>now predominately a replacement market;</w:t>
      </w:r>
    </w:p>
    <w:p w14:paraId="029F0361" w14:textId="4655A06C" w:rsidR="00E633DA" w:rsidRPr="00E633DA" w:rsidRDefault="00E633DA" w:rsidP="00D05A74">
      <w:pPr>
        <w:pStyle w:val="ListParagraph"/>
        <w:numPr>
          <w:ilvl w:val="0"/>
          <w:numId w:val="20"/>
        </w:numPr>
        <w:spacing w:before="120" w:after="0" w:line="240" w:lineRule="auto"/>
        <w:ind w:left="357" w:hanging="357"/>
        <w:contextualSpacing w:val="0"/>
        <w:jc w:val="both"/>
        <w:rPr>
          <w:rFonts w:ascii="Times New Roman" w:hAnsi="Times New Roman"/>
        </w:rPr>
      </w:pPr>
      <w:r w:rsidRPr="00E633DA">
        <w:rPr>
          <w:rFonts w:ascii="Times New Roman" w:hAnsi="Times New Roman"/>
        </w:rPr>
        <w:t>AC4</w:t>
      </w:r>
      <w:r w:rsidR="00EC02DB">
        <w:rPr>
          <w:rFonts w:ascii="Times New Roman" w:hAnsi="Times New Roman"/>
        </w:rPr>
        <w:t xml:space="preserve">: </w:t>
      </w:r>
      <w:r w:rsidRPr="00E633DA">
        <w:rPr>
          <w:rFonts w:ascii="Times New Roman" w:hAnsi="Times New Roman"/>
        </w:rPr>
        <w:t>Portable air conditioning for domestic use and for spot cooling in commercial and industrial applications, or to provide temporary relief where normal air conditioning systems are inadequate or have broken down;</w:t>
      </w:r>
    </w:p>
    <w:p w14:paraId="29516001" w14:textId="5E549FC7" w:rsidR="00E633DA" w:rsidRPr="00E633DA" w:rsidRDefault="00E633DA" w:rsidP="00D05A74">
      <w:pPr>
        <w:pStyle w:val="ListParagraph"/>
        <w:numPr>
          <w:ilvl w:val="0"/>
          <w:numId w:val="20"/>
        </w:numPr>
        <w:spacing w:before="120" w:after="0" w:line="240" w:lineRule="auto"/>
        <w:ind w:left="357" w:hanging="357"/>
        <w:contextualSpacing w:val="0"/>
        <w:jc w:val="both"/>
        <w:rPr>
          <w:rFonts w:ascii="Times New Roman" w:hAnsi="Times New Roman"/>
        </w:rPr>
      </w:pPr>
      <w:r w:rsidRPr="00E633DA">
        <w:rPr>
          <w:rFonts w:ascii="Times New Roman" w:hAnsi="Times New Roman"/>
        </w:rPr>
        <w:t>AC5</w:t>
      </w:r>
      <w:r w:rsidR="00EC02DB">
        <w:rPr>
          <w:rFonts w:ascii="Times New Roman" w:hAnsi="Times New Roman"/>
        </w:rPr>
        <w:t>:</w:t>
      </w:r>
      <w:r w:rsidRPr="00E633DA">
        <w:rPr>
          <w:rFonts w:ascii="Times New Roman" w:hAnsi="Times New Roman"/>
        </w:rPr>
        <w:t xml:space="preserve"> Chillers that produce cold water across a wide range of refrigeration capacities, up to 4000 kWr, mostly employed for space cooling of commercial buildings. These devices are the critical engines of </w:t>
      </w:r>
      <w:r w:rsidRPr="00E633DA">
        <w:rPr>
          <w:rFonts w:ascii="Times New Roman" w:hAnsi="Times New Roman"/>
        </w:rPr>
        <w:lastRenderedPageBreak/>
        <w:t xml:space="preserve">comfort in every </w:t>
      </w:r>
      <w:r w:rsidR="00AF4DC9">
        <w:rPr>
          <w:rFonts w:ascii="Times New Roman" w:hAnsi="Times New Roman"/>
        </w:rPr>
        <w:t>city</w:t>
      </w:r>
      <w:r w:rsidRPr="00E633DA">
        <w:rPr>
          <w:rFonts w:ascii="Times New Roman" w:hAnsi="Times New Roman"/>
        </w:rPr>
        <w:t xml:space="preserve"> and town centre where summer temperatures would otherwise make many buildings simply uninhabitable;</w:t>
      </w:r>
    </w:p>
    <w:p w14:paraId="31DCCFF2" w14:textId="72252F7A" w:rsidR="00E633DA" w:rsidRPr="00E633DA" w:rsidRDefault="00E633DA" w:rsidP="00D05A74">
      <w:pPr>
        <w:pStyle w:val="ListParagraph"/>
        <w:numPr>
          <w:ilvl w:val="0"/>
          <w:numId w:val="20"/>
        </w:numPr>
        <w:spacing w:before="120" w:after="0" w:line="240" w:lineRule="auto"/>
        <w:ind w:left="357" w:hanging="357"/>
        <w:contextualSpacing w:val="0"/>
        <w:jc w:val="both"/>
        <w:rPr>
          <w:rFonts w:ascii="Times New Roman" w:hAnsi="Times New Roman"/>
        </w:rPr>
      </w:pPr>
      <w:r w:rsidRPr="00E633DA">
        <w:rPr>
          <w:rFonts w:ascii="Times New Roman" w:hAnsi="Times New Roman"/>
        </w:rPr>
        <w:t>AC6-1</w:t>
      </w:r>
      <w:r w:rsidR="00EC02DB">
        <w:rPr>
          <w:rFonts w:ascii="Times New Roman" w:hAnsi="Times New Roman"/>
        </w:rPr>
        <w:t>:</w:t>
      </w:r>
      <w:r w:rsidRPr="00E633DA">
        <w:rPr>
          <w:rFonts w:ascii="Times New Roman" w:hAnsi="Times New Roman"/>
        </w:rPr>
        <w:t xml:space="preserve"> Roof top packaged air conditioning systems that use high static pressure fans which allow long duct runs. These systems are mostly sold now only as replacements for existing units where roof top packaged systems </w:t>
      </w:r>
      <w:r w:rsidR="00EC02DB">
        <w:rPr>
          <w:rFonts w:ascii="Times New Roman" w:hAnsi="Times New Roman"/>
        </w:rPr>
        <w:t xml:space="preserve">are </w:t>
      </w:r>
      <w:r w:rsidRPr="00E633DA">
        <w:rPr>
          <w:rFonts w:ascii="Times New Roman" w:hAnsi="Times New Roman"/>
        </w:rPr>
        <w:t xml:space="preserve">already installed in commercial buildings with suspended tile ceilings; </w:t>
      </w:r>
    </w:p>
    <w:p w14:paraId="7F224FA0" w14:textId="2B8BE15D" w:rsidR="00E633DA" w:rsidRPr="00E633DA" w:rsidRDefault="00E633DA" w:rsidP="00D05A74">
      <w:pPr>
        <w:pStyle w:val="ListParagraph"/>
        <w:numPr>
          <w:ilvl w:val="0"/>
          <w:numId w:val="20"/>
        </w:numPr>
        <w:spacing w:before="120" w:after="0" w:line="240" w:lineRule="auto"/>
        <w:ind w:left="357" w:hanging="357"/>
        <w:contextualSpacing w:val="0"/>
        <w:jc w:val="both"/>
        <w:rPr>
          <w:rFonts w:ascii="Times New Roman" w:hAnsi="Times New Roman"/>
        </w:rPr>
      </w:pPr>
      <w:r w:rsidRPr="00E633DA">
        <w:rPr>
          <w:rFonts w:ascii="Times New Roman" w:hAnsi="Times New Roman"/>
        </w:rPr>
        <w:t>AC6-2</w:t>
      </w:r>
      <w:r w:rsidR="00EC02DB">
        <w:rPr>
          <w:rFonts w:ascii="Times New Roman" w:hAnsi="Times New Roman"/>
        </w:rPr>
        <w:t xml:space="preserve">: </w:t>
      </w:r>
      <w:r w:rsidRPr="00E633DA">
        <w:rPr>
          <w:rFonts w:ascii="Times New Roman" w:hAnsi="Times New Roman"/>
        </w:rPr>
        <w:t>Variable refrigerant volume split systems with multiple indoor units</w:t>
      </w:r>
      <w:r w:rsidR="00C438B6">
        <w:rPr>
          <w:rFonts w:ascii="Times New Roman" w:hAnsi="Times New Roman"/>
        </w:rPr>
        <w:t>. This format has</w:t>
      </w:r>
      <w:r w:rsidRPr="00E633DA">
        <w:rPr>
          <w:rFonts w:ascii="Times New Roman" w:hAnsi="Times New Roman"/>
        </w:rPr>
        <w:t xml:space="preserve"> emerged </w:t>
      </w:r>
      <w:r w:rsidR="006D621D">
        <w:rPr>
          <w:rFonts w:ascii="Times New Roman" w:hAnsi="Times New Roman"/>
        </w:rPr>
        <w:t xml:space="preserve">over </w:t>
      </w:r>
      <w:r w:rsidR="00C438B6">
        <w:rPr>
          <w:rFonts w:ascii="Times New Roman" w:hAnsi="Times New Roman"/>
        </w:rPr>
        <w:t xml:space="preserve">the past decade </w:t>
      </w:r>
      <w:r w:rsidRPr="00E633DA">
        <w:rPr>
          <w:rFonts w:ascii="Times New Roman" w:hAnsi="Times New Roman"/>
        </w:rPr>
        <w:t>as the preferred technology option for medium sized commercial buildings</w:t>
      </w:r>
      <w:r w:rsidR="00EC02DB">
        <w:rPr>
          <w:rFonts w:ascii="Times New Roman" w:hAnsi="Times New Roman"/>
        </w:rPr>
        <w:t xml:space="preserve"> </w:t>
      </w:r>
      <w:r w:rsidR="00EC02DB" w:rsidRPr="00E633DA">
        <w:rPr>
          <w:rFonts w:ascii="Times New Roman" w:hAnsi="Times New Roman"/>
        </w:rPr>
        <w:t xml:space="preserve">because of the </w:t>
      </w:r>
      <w:r w:rsidR="00EC02DB">
        <w:rPr>
          <w:rFonts w:ascii="Times New Roman" w:hAnsi="Times New Roman"/>
        </w:rPr>
        <w:t xml:space="preserve">flexibility and </w:t>
      </w:r>
      <w:r w:rsidR="00EC02DB" w:rsidRPr="00E633DA">
        <w:rPr>
          <w:rFonts w:ascii="Times New Roman" w:hAnsi="Times New Roman"/>
        </w:rPr>
        <w:t>control options they provide</w:t>
      </w:r>
      <w:r w:rsidRPr="00E633DA">
        <w:rPr>
          <w:rFonts w:ascii="Times New Roman" w:hAnsi="Times New Roman"/>
        </w:rPr>
        <w:t>;</w:t>
      </w:r>
    </w:p>
    <w:p w14:paraId="6255AFB9" w14:textId="28EC5C0D" w:rsidR="00E633DA" w:rsidRPr="00E633DA" w:rsidRDefault="00E633DA" w:rsidP="00D05A74">
      <w:pPr>
        <w:pStyle w:val="ListParagraph"/>
        <w:numPr>
          <w:ilvl w:val="0"/>
          <w:numId w:val="20"/>
        </w:numPr>
        <w:spacing w:before="120" w:after="0" w:line="240" w:lineRule="auto"/>
        <w:ind w:left="357" w:hanging="357"/>
        <w:contextualSpacing w:val="0"/>
        <w:jc w:val="both"/>
        <w:rPr>
          <w:rFonts w:ascii="Times New Roman" w:hAnsi="Times New Roman"/>
        </w:rPr>
      </w:pPr>
      <w:r w:rsidRPr="00E633DA">
        <w:rPr>
          <w:rFonts w:ascii="Times New Roman" w:hAnsi="Times New Roman"/>
        </w:rPr>
        <w:t>AC6-3</w:t>
      </w:r>
      <w:r w:rsidR="00EC02DB">
        <w:rPr>
          <w:rFonts w:ascii="Times New Roman" w:hAnsi="Times New Roman"/>
        </w:rPr>
        <w:t xml:space="preserve">: </w:t>
      </w:r>
      <w:r w:rsidRPr="00E633DA">
        <w:rPr>
          <w:rFonts w:ascii="Times New Roman" w:hAnsi="Times New Roman"/>
        </w:rPr>
        <w:t>Close control or precision air conditioning systems that maintain very exact temperature in the air conditioned space are employed in many critical applications where air quality requirements are specified such as in computer rooms, data processing centres, telecommunication facilities, medical technology, clean rooms for production of electronic components and pharmaceuticals, and other industrial process areas; and,</w:t>
      </w:r>
    </w:p>
    <w:p w14:paraId="0C433D21" w14:textId="26625D4D" w:rsidR="00E633DA" w:rsidRPr="00E633DA" w:rsidRDefault="00E633DA" w:rsidP="00D05A74">
      <w:pPr>
        <w:pStyle w:val="ListParagraph"/>
        <w:numPr>
          <w:ilvl w:val="0"/>
          <w:numId w:val="20"/>
        </w:numPr>
        <w:spacing w:before="120" w:after="0" w:line="240" w:lineRule="auto"/>
        <w:ind w:left="357" w:hanging="357"/>
        <w:contextualSpacing w:val="0"/>
        <w:jc w:val="both"/>
        <w:rPr>
          <w:rFonts w:ascii="Times New Roman" w:hAnsi="Times New Roman"/>
        </w:rPr>
      </w:pPr>
      <w:r w:rsidRPr="00E633DA">
        <w:rPr>
          <w:rFonts w:ascii="Times New Roman" w:hAnsi="Times New Roman"/>
        </w:rPr>
        <w:t>AC6-4, AC6-5, AC7</w:t>
      </w:r>
      <w:r w:rsidR="00EC02DB">
        <w:rPr>
          <w:rFonts w:ascii="Times New Roman" w:hAnsi="Times New Roman"/>
        </w:rPr>
        <w:t>:</w:t>
      </w:r>
      <w:r w:rsidRPr="00E633DA">
        <w:rPr>
          <w:rFonts w:ascii="Times New Roman" w:hAnsi="Times New Roman"/>
        </w:rPr>
        <w:t xml:space="preserve"> Other stationary equipment, hot water and swimming pool heat pumps for domestic and commercial applications that have been included in this sector.</w:t>
      </w:r>
    </w:p>
    <w:p w14:paraId="107259EB" w14:textId="3AE65B53" w:rsidR="00C438B6" w:rsidRPr="00E633DA" w:rsidRDefault="00C438B6" w:rsidP="00C438B6">
      <w:pPr>
        <w:rPr>
          <w:szCs w:val="22"/>
        </w:rPr>
      </w:pPr>
      <w:r w:rsidRPr="00E633DA">
        <w:rPr>
          <w:szCs w:val="22"/>
        </w:rPr>
        <w:t xml:space="preserve">Air conditioning units charged with HFC-410A are the fastest growing segment (by gas species) with more than 1,630 tonnes of HFC-410A gas imported in </w:t>
      </w:r>
      <w:r>
        <w:rPr>
          <w:szCs w:val="22"/>
        </w:rPr>
        <w:t>pre-charged equipment (</w:t>
      </w:r>
      <w:r w:rsidRPr="00E633DA">
        <w:rPr>
          <w:szCs w:val="22"/>
        </w:rPr>
        <w:t>PCE</w:t>
      </w:r>
      <w:r>
        <w:rPr>
          <w:szCs w:val="22"/>
        </w:rPr>
        <w:t>)</w:t>
      </w:r>
      <w:r w:rsidRPr="00E633DA">
        <w:rPr>
          <w:szCs w:val="22"/>
        </w:rPr>
        <w:t xml:space="preserve"> in 2012 (around 60 per cent of all refrigerant imported in PCE). The demand for bulk HFC-410A was approximately 510 tonnes in 2010 and 700 tonnes in 2012 which, based on the bank of HFC-410A in the field of more than 14,300 tonnes, suggests the leak rates of HFC-410A split air conditioning equipment is between 4 per cent to 5 per cent per annum. This compares favourably with leak rates of 8 per cent per annum or more on the similar but older HCFC charged equipment.</w:t>
      </w:r>
    </w:p>
    <w:p w14:paraId="0A8CC434" w14:textId="5FB28E06" w:rsidR="00E633DA" w:rsidRPr="00E633DA" w:rsidRDefault="00E633DA" w:rsidP="00E633DA">
      <w:pPr>
        <w:rPr>
          <w:szCs w:val="22"/>
        </w:rPr>
      </w:pPr>
      <w:r w:rsidRPr="00E633DA">
        <w:rPr>
          <w:szCs w:val="22"/>
        </w:rPr>
        <w:t>In the early 2000’s the large majority of all stationary air conditioning equipment contained HCFC-22, and in 2006 more than 30 per cent of refrigerant imported in pre-charged equipment was HCFC-22. The combined effects of technological advances, minimum energy performance regulations and the ban on HCFC pre-charged air conditioners announced in 2010, reduced the proportion of HCFC refrigerant imported in air conditioning equipment to just 3 per cent of total gas in PCE in 2010.</w:t>
      </w:r>
      <w:r w:rsidR="00A96C7C">
        <w:rPr>
          <w:szCs w:val="22"/>
        </w:rPr>
        <w:t xml:space="preserve"> </w:t>
      </w:r>
    </w:p>
    <w:p w14:paraId="6CEAD849" w14:textId="081B1AB1" w:rsidR="00E633DA" w:rsidRPr="00E633DA" w:rsidRDefault="00E633DA" w:rsidP="00E633DA">
      <w:pPr>
        <w:rPr>
          <w:szCs w:val="22"/>
        </w:rPr>
      </w:pPr>
      <w:r w:rsidRPr="00E633DA">
        <w:rPr>
          <w:szCs w:val="22"/>
        </w:rPr>
        <w:t xml:space="preserve">HFC-407C equipment imports are </w:t>
      </w:r>
      <w:r w:rsidR="0097035C">
        <w:rPr>
          <w:szCs w:val="22"/>
        </w:rPr>
        <w:t xml:space="preserve">also </w:t>
      </w:r>
      <w:r w:rsidRPr="00E633DA">
        <w:rPr>
          <w:szCs w:val="22"/>
        </w:rPr>
        <w:t xml:space="preserve">in decline, with a slight increase in bulk imports to service existing stock and new installations. HFC-407C pre-charged air conditioning equipment enjoyed some popularity with the industry from 2003 through to about 2009 as it was relatively simple to substitute HFC-407C in HCFC-22 equipment designs to meet new efficiency ratings imposed during this period. Eventually the majority of stationary air conditioning applications migrated to HFC-410A and HFC-407C will only be consumed in small quantities to service existing equipment. One application where HFC-407C is commonly found is in precision controlled air conditioning. </w:t>
      </w:r>
    </w:p>
    <w:p w14:paraId="08785026" w14:textId="77777777" w:rsidR="00E633DA" w:rsidRPr="00E633DA" w:rsidRDefault="00E633DA" w:rsidP="00E633DA">
      <w:pPr>
        <w:rPr>
          <w:szCs w:val="22"/>
        </w:rPr>
      </w:pPr>
      <w:r w:rsidRPr="00E633DA">
        <w:rPr>
          <w:szCs w:val="22"/>
        </w:rPr>
        <w:t>HFC-134a has gained popularity in some large chillers for space cooling, and is also now used by the majority of local manufacturers of domestic hot water heat pumps in Australia.</w:t>
      </w:r>
    </w:p>
    <w:p w14:paraId="0AA77D60" w14:textId="77777777" w:rsidR="00E633DA" w:rsidRPr="00E633DA" w:rsidRDefault="00E633DA" w:rsidP="00E633DA">
      <w:pPr>
        <w:rPr>
          <w:szCs w:val="22"/>
        </w:rPr>
      </w:pPr>
      <w:r w:rsidRPr="00E633DA">
        <w:rPr>
          <w:szCs w:val="22"/>
        </w:rPr>
        <w:t xml:space="preserve">As it is with most RAC equipment, Australia is largely a ‘technology taker’ of stationary air conditioning, driven almost entirely by product available from overseas suppliers, the vast majority of new equipment in any year (&gt;90 per cent by refrigerant volume) is imported.   </w:t>
      </w:r>
    </w:p>
    <w:p w14:paraId="56818EDC" w14:textId="41281100" w:rsidR="00E633DA" w:rsidRPr="00E633DA" w:rsidRDefault="00E633DA" w:rsidP="00E633DA">
      <w:pPr>
        <w:rPr>
          <w:szCs w:val="22"/>
        </w:rPr>
      </w:pPr>
      <w:r w:rsidRPr="00E633DA">
        <w:rPr>
          <w:szCs w:val="22"/>
        </w:rPr>
        <w:t>Local air conditioning manufacturers (Actron Air, Accent Air, Temperzone, GWA-Brivis, Air-Change and CommAir and a few others) produce about 15 to 20 per cent of total sales of split ducted systems and around 50 per cent of total sales of roof top packaged systems</w:t>
      </w:r>
      <w:r w:rsidR="00837924">
        <w:rPr>
          <w:szCs w:val="22"/>
        </w:rPr>
        <w:t>.</w:t>
      </w:r>
    </w:p>
    <w:p w14:paraId="43527699" w14:textId="5281384B" w:rsidR="00E633DA" w:rsidRDefault="00E633DA" w:rsidP="00E633DA">
      <w:pPr>
        <w:rPr>
          <w:szCs w:val="22"/>
        </w:rPr>
      </w:pPr>
      <w:r w:rsidRPr="00E633DA">
        <w:rPr>
          <w:szCs w:val="22"/>
        </w:rPr>
        <w:t xml:space="preserve">Extremely difficult trading conditions, which in large part resulted from cheaper imported product available from new investment in Chinese and Thai </w:t>
      </w:r>
      <w:r w:rsidR="0097035C">
        <w:rPr>
          <w:szCs w:val="22"/>
        </w:rPr>
        <w:t>‘</w:t>
      </w:r>
      <w:r w:rsidRPr="00E633DA">
        <w:rPr>
          <w:szCs w:val="22"/>
        </w:rPr>
        <w:t>low labour cost</w:t>
      </w:r>
      <w:r w:rsidR="0097035C">
        <w:rPr>
          <w:szCs w:val="22"/>
        </w:rPr>
        <w:t>’</w:t>
      </w:r>
      <w:r w:rsidRPr="00E633DA">
        <w:rPr>
          <w:szCs w:val="22"/>
        </w:rPr>
        <w:t xml:space="preserve"> manufacturing capacity, have forced the closure of a significant proportion of Australian </w:t>
      </w:r>
      <w:r w:rsidR="0097035C">
        <w:rPr>
          <w:szCs w:val="22"/>
        </w:rPr>
        <w:t xml:space="preserve">RAC </w:t>
      </w:r>
      <w:r w:rsidRPr="00E633DA">
        <w:rPr>
          <w:szCs w:val="22"/>
        </w:rPr>
        <w:t xml:space="preserve">manufacturing capacity in the last decade. The 2008 closure of the Carrier APAC factory in Western Australia removed demand for more than 75 tonnes per annum of </w:t>
      </w:r>
      <w:r w:rsidR="004005E9">
        <w:rPr>
          <w:szCs w:val="22"/>
        </w:rPr>
        <w:t xml:space="preserve">mostly </w:t>
      </w:r>
      <w:r w:rsidRPr="00E633DA">
        <w:rPr>
          <w:szCs w:val="22"/>
        </w:rPr>
        <w:t>HFC-407C and HCFC-22 at the time, although some of this demand may have been picked up by new manufacturing capacity re-established under a new venture (CommAir)</w:t>
      </w:r>
      <w:r w:rsidR="004005E9">
        <w:rPr>
          <w:szCs w:val="22"/>
        </w:rPr>
        <w:t xml:space="preserve"> and other local manufacturers</w:t>
      </w:r>
      <w:r w:rsidRPr="00E633DA">
        <w:rPr>
          <w:szCs w:val="22"/>
        </w:rPr>
        <w:t>.</w:t>
      </w:r>
    </w:p>
    <w:p w14:paraId="4D9C9BE8" w14:textId="40C9F3BE" w:rsidR="00E633DA" w:rsidRPr="00E633DA" w:rsidRDefault="00E633DA" w:rsidP="00E633DA">
      <w:pPr>
        <w:rPr>
          <w:szCs w:val="22"/>
        </w:rPr>
      </w:pPr>
      <w:r w:rsidRPr="00E633DA">
        <w:rPr>
          <w:szCs w:val="22"/>
        </w:rPr>
        <w:lastRenderedPageBreak/>
        <w:t xml:space="preserve">Emerson Network’s close control air conditioning manufacturing operations in Regents Park in Sydney was relocated to Asia in mid 2011 to take advantage of the low labour cost environment, relaxed regulatory requirements and, at the time, the </w:t>
      </w:r>
      <w:r w:rsidR="00AF4DC9">
        <w:rPr>
          <w:szCs w:val="22"/>
        </w:rPr>
        <w:t xml:space="preserve">relatively high value </w:t>
      </w:r>
      <w:r w:rsidRPr="00E633DA">
        <w:rPr>
          <w:szCs w:val="22"/>
        </w:rPr>
        <w:t>of the Australian dollar.</w:t>
      </w:r>
    </w:p>
    <w:p w14:paraId="0C15E256" w14:textId="3CC0C809" w:rsidR="00E633DA" w:rsidRDefault="00E633DA" w:rsidP="00E633DA">
      <w:pPr>
        <w:rPr>
          <w:szCs w:val="22"/>
        </w:rPr>
      </w:pPr>
      <w:r w:rsidRPr="00E633DA">
        <w:rPr>
          <w:szCs w:val="22"/>
        </w:rPr>
        <w:t>Rheem, DUX and Quantum, and a few others manufactured around 20,000 to 25,000 hot water heat pumps in Australia in 2012 (requiring around 19 tonnes of HFC-134a). Hot water heat pump annual sales peaked at over 66,000 units per annum and have recently declined due to changes to the solar hot water rebate, product reliability issues and customer perception issues (i.e. not delivering hot enough water in low temperature climates).</w:t>
      </w:r>
    </w:p>
    <w:p w14:paraId="21E99474" w14:textId="77777777" w:rsidR="00B740F5" w:rsidRPr="00E633DA" w:rsidRDefault="00B740F5" w:rsidP="00B740F5">
      <w:pPr>
        <w:rPr>
          <w:szCs w:val="22"/>
        </w:rPr>
      </w:pPr>
      <w:r>
        <w:rPr>
          <w:szCs w:val="22"/>
        </w:rPr>
        <w:t xml:space="preserve">Despite these tough conditions PowerPax, a local manufacturer of innovative high efficiency chillers has gone against this trend and has expanded its operations and grown export sales. </w:t>
      </w:r>
    </w:p>
    <w:p w14:paraId="527C39A6" w14:textId="30A7A17C" w:rsidR="00866793" w:rsidRDefault="00E633DA" w:rsidP="000C0D65">
      <w:pPr>
        <w:rPr>
          <w:szCs w:val="22"/>
        </w:rPr>
      </w:pPr>
      <w:r w:rsidRPr="00E633DA">
        <w:rPr>
          <w:szCs w:val="22"/>
        </w:rPr>
        <w:t>The remaining Australian air conditioning and hea</w:t>
      </w:r>
      <w:r w:rsidR="005D366D">
        <w:rPr>
          <w:szCs w:val="22"/>
        </w:rPr>
        <w:t>t</w:t>
      </w:r>
      <w:r w:rsidRPr="00E633DA">
        <w:rPr>
          <w:szCs w:val="22"/>
        </w:rPr>
        <w:t xml:space="preserve"> pump manufacturers are operating in an increasingly tough environment, </w:t>
      </w:r>
      <w:r w:rsidR="00217142">
        <w:rPr>
          <w:szCs w:val="22"/>
        </w:rPr>
        <w:t xml:space="preserve">and in most product segments </w:t>
      </w:r>
      <w:r w:rsidRPr="00E633DA">
        <w:rPr>
          <w:szCs w:val="22"/>
        </w:rPr>
        <w:t>surviving the flood of cheap</w:t>
      </w:r>
      <w:r w:rsidR="00217142">
        <w:rPr>
          <w:szCs w:val="22"/>
        </w:rPr>
        <w:t>er</w:t>
      </w:r>
      <w:r w:rsidRPr="00E633DA">
        <w:rPr>
          <w:szCs w:val="22"/>
        </w:rPr>
        <w:t xml:space="preserve"> imports by working in categories that require a high degree of bespoke design work</w:t>
      </w:r>
      <w:r w:rsidR="005D366D">
        <w:rPr>
          <w:szCs w:val="22"/>
        </w:rPr>
        <w:t>,</w:t>
      </w:r>
      <w:r w:rsidRPr="00E633DA">
        <w:rPr>
          <w:szCs w:val="22"/>
        </w:rPr>
        <w:t xml:space="preserve"> and where reliability and higher quality engineering are valued.</w:t>
      </w:r>
    </w:p>
    <w:p w14:paraId="2E89FC95" w14:textId="555519D9" w:rsidR="00837924" w:rsidRDefault="00B740F5" w:rsidP="000C0D65">
      <w:pPr>
        <w:rPr>
          <w:szCs w:val="22"/>
        </w:rPr>
      </w:pPr>
      <w:r>
        <w:rPr>
          <w:szCs w:val="22"/>
        </w:rPr>
        <w:t>A</w:t>
      </w:r>
      <w:r w:rsidR="00837924" w:rsidRPr="00E633DA">
        <w:rPr>
          <w:szCs w:val="22"/>
        </w:rPr>
        <w:t xml:space="preserve">s an indication of the relative size of locally manufactured equipment, collectively they consume less than 300 tonnes of </w:t>
      </w:r>
      <w:r w:rsidR="00837924">
        <w:rPr>
          <w:szCs w:val="22"/>
        </w:rPr>
        <w:t xml:space="preserve">bulk </w:t>
      </w:r>
      <w:r w:rsidR="00837924" w:rsidRPr="00E633DA">
        <w:rPr>
          <w:szCs w:val="22"/>
        </w:rPr>
        <w:t>refrigerant per annum, mostly HFC-410A and HFC-134a with some HFC-407C.</w:t>
      </w:r>
      <w:r w:rsidR="00837924">
        <w:rPr>
          <w:szCs w:val="22"/>
        </w:rPr>
        <w:t xml:space="preserve"> This is around 7</w:t>
      </w:r>
      <w:r w:rsidR="00217142">
        <w:rPr>
          <w:szCs w:val="22"/>
        </w:rPr>
        <w:t xml:space="preserve"> per cent </w:t>
      </w:r>
      <w:r w:rsidR="00837924">
        <w:rPr>
          <w:szCs w:val="22"/>
        </w:rPr>
        <w:t xml:space="preserve">of total bulk HFC gas imports.  </w:t>
      </w:r>
      <w:r>
        <w:rPr>
          <w:szCs w:val="22"/>
        </w:rPr>
        <w:t xml:space="preserve">Another </w:t>
      </w:r>
      <w:r w:rsidR="00837924">
        <w:rPr>
          <w:szCs w:val="22"/>
        </w:rPr>
        <w:t>measure of the relative scale of Australian manufacturing is to note that the gas consumed in local manufacturing is equal to 20</w:t>
      </w:r>
      <w:r w:rsidR="00217142">
        <w:rPr>
          <w:szCs w:val="22"/>
        </w:rPr>
        <w:t xml:space="preserve"> per cent</w:t>
      </w:r>
      <w:r w:rsidR="00837924">
        <w:rPr>
          <w:szCs w:val="22"/>
        </w:rPr>
        <w:t xml:space="preserve"> to 25</w:t>
      </w:r>
      <w:r w:rsidR="00217142">
        <w:rPr>
          <w:szCs w:val="22"/>
        </w:rPr>
        <w:t xml:space="preserve"> per cent</w:t>
      </w:r>
      <w:r w:rsidR="00837924">
        <w:rPr>
          <w:szCs w:val="22"/>
        </w:rPr>
        <w:t xml:space="preserve"> of the average annual volume of refrigerant gas </w:t>
      </w:r>
      <w:r>
        <w:rPr>
          <w:szCs w:val="22"/>
        </w:rPr>
        <w:t xml:space="preserve">imported in </w:t>
      </w:r>
      <w:r w:rsidR="00837924">
        <w:rPr>
          <w:szCs w:val="22"/>
        </w:rPr>
        <w:t>pre-charged stationary air conditioning equipment.</w:t>
      </w:r>
      <w:r>
        <w:rPr>
          <w:rStyle w:val="FootnoteReference"/>
          <w:szCs w:val="22"/>
        </w:rPr>
        <w:footnoteReference w:id="6"/>
      </w:r>
    </w:p>
    <w:p w14:paraId="79ABC942" w14:textId="77777777" w:rsidR="000C0D65" w:rsidRPr="000C0D65" w:rsidRDefault="000C0D65" w:rsidP="000C0D65">
      <w:pPr>
        <w:rPr>
          <w:szCs w:val="22"/>
        </w:rPr>
      </w:pPr>
    </w:p>
    <w:p w14:paraId="565F02FB" w14:textId="77777777" w:rsidR="00674E1C" w:rsidRDefault="00674E1C">
      <w:pPr>
        <w:spacing w:before="0"/>
        <w:jc w:val="left"/>
        <w:rPr>
          <w:i/>
          <w:szCs w:val="22"/>
        </w:rPr>
      </w:pPr>
      <w:r>
        <w:rPr>
          <w:i/>
          <w:szCs w:val="22"/>
        </w:rPr>
        <w:br w:type="page"/>
      </w:r>
    </w:p>
    <w:p w14:paraId="5FD74170" w14:textId="49803430" w:rsidR="00866793" w:rsidRPr="00D16B26" w:rsidRDefault="00866793" w:rsidP="00866793">
      <w:pPr>
        <w:rPr>
          <w:i/>
          <w:szCs w:val="22"/>
        </w:rPr>
      </w:pPr>
      <w:bookmarkStart w:id="15" w:name="_Toc233084049"/>
      <w:r w:rsidRPr="00D16B26">
        <w:rPr>
          <w:i/>
          <w:szCs w:val="22"/>
        </w:rPr>
        <w:lastRenderedPageBreak/>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5</w:t>
      </w:r>
      <w:r w:rsidRPr="00D16B26">
        <w:rPr>
          <w:i/>
          <w:szCs w:val="22"/>
        </w:rPr>
        <w:fldChar w:fldCharType="end"/>
      </w:r>
      <w:r w:rsidRPr="00D16B26">
        <w:rPr>
          <w:i/>
          <w:szCs w:val="22"/>
        </w:rPr>
        <w:t xml:space="preserve">: </w:t>
      </w:r>
      <w:r w:rsidRPr="00866793">
        <w:rPr>
          <w:i/>
          <w:szCs w:val="22"/>
        </w:rPr>
        <w:t xml:space="preserve">Stationary </w:t>
      </w:r>
      <w:r w:rsidR="002E1194">
        <w:rPr>
          <w:i/>
          <w:szCs w:val="22"/>
        </w:rPr>
        <w:t>a</w:t>
      </w:r>
      <w:r w:rsidRPr="00866793">
        <w:rPr>
          <w:i/>
          <w:szCs w:val="22"/>
        </w:rPr>
        <w:t xml:space="preserve">ir conditioning </w:t>
      </w:r>
      <w:r w:rsidR="002E1194">
        <w:rPr>
          <w:i/>
          <w:szCs w:val="22"/>
        </w:rPr>
        <w:t>m</w:t>
      </w:r>
      <w:r w:rsidRPr="00866793">
        <w:rPr>
          <w:i/>
          <w:szCs w:val="22"/>
        </w:rPr>
        <w:t>ain metrics</w:t>
      </w:r>
      <w:bookmarkEnd w:id="15"/>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4536"/>
      </w:tblGrid>
      <w:tr w:rsidR="00866793" w:rsidRPr="00866793" w14:paraId="1E520221" w14:textId="77777777" w:rsidTr="00866793">
        <w:trPr>
          <w:trHeight w:val="456"/>
        </w:trPr>
        <w:tc>
          <w:tcPr>
            <w:tcW w:w="9639" w:type="dxa"/>
            <w:gridSpan w:val="2"/>
            <w:tcBorders>
              <w:top w:val="single" w:sz="4" w:space="0" w:color="000000"/>
            </w:tcBorders>
            <w:shd w:val="clear" w:color="auto" w:fill="000000"/>
            <w:vAlign w:val="center"/>
          </w:tcPr>
          <w:p w14:paraId="18D77FE4" w14:textId="153C3559" w:rsidR="00866793" w:rsidRPr="00866793" w:rsidRDefault="00866793" w:rsidP="001B0EF1">
            <w:pPr>
              <w:spacing w:before="60" w:after="60"/>
              <w:jc w:val="left"/>
              <w:rPr>
                <w:szCs w:val="22"/>
              </w:rPr>
            </w:pPr>
            <w:r w:rsidRPr="00866793">
              <w:rPr>
                <w:szCs w:val="22"/>
              </w:rPr>
              <w:t xml:space="preserve">Stationary </w:t>
            </w:r>
            <w:r w:rsidR="001B0EF1">
              <w:rPr>
                <w:szCs w:val="22"/>
              </w:rPr>
              <w:t>air conditioning s</w:t>
            </w:r>
            <w:r w:rsidRPr="00866793">
              <w:rPr>
                <w:szCs w:val="22"/>
              </w:rPr>
              <w:t>ummary all categories</w:t>
            </w:r>
          </w:p>
        </w:tc>
      </w:tr>
      <w:tr w:rsidR="00866793" w:rsidRPr="00923150" w14:paraId="75A8320E" w14:textId="77777777" w:rsidTr="00D133DC">
        <w:trPr>
          <w:trHeight w:val="456"/>
        </w:trPr>
        <w:tc>
          <w:tcPr>
            <w:tcW w:w="5103" w:type="dxa"/>
            <w:tcBorders>
              <w:top w:val="single" w:sz="4" w:space="0" w:color="000000"/>
            </w:tcBorders>
            <w:vAlign w:val="center"/>
          </w:tcPr>
          <w:p w14:paraId="6B66B5E9" w14:textId="3C39A6EC" w:rsidR="00866793" w:rsidRPr="00866793" w:rsidRDefault="00866793" w:rsidP="00217142">
            <w:pPr>
              <w:spacing w:before="60" w:after="60"/>
              <w:jc w:val="left"/>
              <w:rPr>
                <w:rFonts w:cs="Times New Roman"/>
                <w:szCs w:val="22"/>
              </w:rPr>
            </w:pPr>
            <w:r w:rsidRPr="00866793">
              <w:rPr>
                <w:rFonts w:cs="Times New Roman"/>
                <w:szCs w:val="22"/>
              </w:rPr>
              <w:t xml:space="preserve">Share of </w:t>
            </w:r>
            <w:r w:rsidR="00217142">
              <w:rPr>
                <w:rFonts w:cs="Times New Roman"/>
                <w:szCs w:val="22"/>
              </w:rPr>
              <w:t>refrigerant</w:t>
            </w:r>
            <w:r w:rsidRPr="00866793">
              <w:rPr>
                <w:rFonts w:cs="Times New Roman"/>
                <w:szCs w:val="22"/>
              </w:rPr>
              <w:t xml:space="preserve"> bank:</w:t>
            </w:r>
          </w:p>
        </w:tc>
        <w:tc>
          <w:tcPr>
            <w:tcW w:w="4536" w:type="dxa"/>
            <w:tcBorders>
              <w:top w:val="single" w:sz="4" w:space="0" w:color="000000"/>
            </w:tcBorders>
            <w:vAlign w:val="center"/>
          </w:tcPr>
          <w:p w14:paraId="49770283" w14:textId="1F4AA699" w:rsidR="00866793" w:rsidRPr="00866793" w:rsidRDefault="00866793" w:rsidP="00866793">
            <w:pPr>
              <w:spacing w:before="60" w:after="60"/>
              <w:jc w:val="left"/>
              <w:rPr>
                <w:rFonts w:cs="Times New Roman"/>
                <w:szCs w:val="22"/>
              </w:rPr>
            </w:pPr>
            <w:r w:rsidRPr="00866793">
              <w:rPr>
                <w:rFonts w:cs="Times New Roman"/>
                <w:szCs w:val="22"/>
              </w:rPr>
              <w:t>63%</w:t>
            </w:r>
          </w:p>
        </w:tc>
      </w:tr>
      <w:tr w:rsidR="00866793" w:rsidRPr="00923150" w14:paraId="5968C141" w14:textId="77777777" w:rsidTr="00D133DC">
        <w:trPr>
          <w:trHeight w:val="456"/>
        </w:trPr>
        <w:tc>
          <w:tcPr>
            <w:tcW w:w="5103" w:type="dxa"/>
            <w:tcBorders>
              <w:top w:val="single" w:sz="4" w:space="0" w:color="000000"/>
            </w:tcBorders>
            <w:vAlign w:val="center"/>
          </w:tcPr>
          <w:p w14:paraId="070A193D" w14:textId="5B0D8F1A" w:rsidR="00866793" w:rsidRPr="00866793" w:rsidRDefault="00866793" w:rsidP="00217142">
            <w:pPr>
              <w:spacing w:before="60" w:after="60"/>
              <w:jc w:val="left"/>
              <w:rPr>
                <w:rFonts w:cs="Times New Roman"/>
                <w:szCs w:val="22"/>
              </w:rPr>
            </w:pPr>
            <w:r w:rsidRPr="00866793">
              <w:rPr>
                <w:rFonts w:cs="Times New Roman"/>
                <w:szCs w:val="22"/>
              </w:rPr>
              <w:t xml:space="preserve">Size of </w:t>
            </w:r>
            <w:r w:rsidR="00217142">
              <w:rPr>
                <w:rFonts w:cs="Times New Roman"/>
                <w:szCs w:val="22"/>
              </w:rPr>
              <w:t>refrigerant</w:t>
            </w:r>
            <w:r w:rsidRPr="00866793">
              <w:rPr>
                <w:rFonts w:cs="Times New Roman"/>
                <w:szCs w:val="22"/>
              </w:rPr>
              <w:t xml:space="preserve"> bank:</w:t>
            </w:r>
          </w:p>
        </w:tc>
        <w:tc>
          <w:tcPr>
            <w:tcW w:w="4536" w:type="dxa"/>
            <w:tcBorders>
              <w:top w:val="single" w:sz="4" w:space="0" w:color="000000"/>
            </w:tcBorders>
            <w:vAlign w:val="center"/>
          </w:tcPr>
          <w:p w14:paraId="54E7BDCA" w14:textId="00A8F529" w:rsidR="00866793" w:rsidRPr="00866793" w:rsidRDefault="00866793" w:rsidP="00866793">
            <w:pPr>
              <w:spacing w:before="60" w:after="60"/>
              <w:jc w:val="left"/>
              <w:rPr>
                <w:rFonts w:cs="Times New Roman"/>
                <w:szCs w:val="22"/>
              </w:rPr>
            </w:pPr>
            <w:r>
              <w:rPr>
                <w:rFonts w:cs="Times New Roman"/>
                <w:szCs w:val="22"/>
              </w:rPr>
              <w:t>27,200 tonnes</w:t>
            </w:r>
          </w:p>
        </w:tc>
      </w:tr>
      <w:tr w:rsidR="00866793" w:rsidRPr="00923150" w14:paraId="58FEDFA0" w14:textId="77777777" w:rsidTr="00D133DC">
        <w:trPr>
          <w:trHeight w:val="456"/>
        </w:trPr>
        <w:tc>
          <w:tcPr>
            <w:tcW w:w="5103" w:type="dxa"/>
            <w:tcBorders>
              <w:top w:val="single" w:sz="4" w:space="0" w:color="000000"/>
            </w:tcBorders>
            <w:vAlign w:val="center"/>
          </w:tcPr>
          <w:p w14:paraId="54DE5ECC" w14:textId="037D08D7" w:rsidR="00866793" w:rsidRPr="00866793" w:rsidRDefault="00866793" w:rsidP="00866793">
            <w:pPr>
              <w:spacing w:before="60" w:after="60"/>
              <w:jc w:val="left"/>
              <w:rPr>
                <w:rFonts w:cs="Times New Roman"/>
                <w:szCs w:val="22"/>
              </w:rPr>
            </w:pPr>
            <w:r w:rsidRPr="00866793">
              <w:rPr>
                <w:rFonts w:cs="Times New Roman"/>
                <w:szCs w:val="22"/>
              </w:rPr>
              <w:t>Annual consumption to replace leaks</w:t>
            </w:r>
            <w:r w:rsidR="0026022C">
              <w:rPr>
                <w:rFonts w:cs="Times New Roman"/>
                <w:szCs w:val="22"/>
              </w:rPr>
              <w:t xml:space="preserve"> (excl. OEM)</w:t>
            </w:r>
            <w:r w:rsidRPr="00866793">
              <w:rPr>
                <w:rFonts w:cs="Times New Roman"/>
                <w:szCs w:val="22"/>
              </w:rPr>
              <w:t>:</w:t>
            </w:r>
          </w:p>
        </w:tc>
        <w:tc>
          <w:tcPr>
            <w:tcW w:w="4536" w:type="dxa"/>
            <w:tcBorders>
              <w:top w:val="single" w:sz="4" w:space="0" w:color="000000"/>
            </w:tcBorders>
            <w:vAlign w:val="center"/>
          </w:tcPr>
          <w:p w14:paraId="5AA076EA" w14:textId="2B1F6C24" w:rsidR="00866793" w:rsidRPr="00866793" w:rsidRDefault="00866793" w:rsidP="00866793">
            <w:pPr>
              <w:spacing w:before="60" w:after="60"/>
              <w:jc w:val="left"/>
              <w:rPr>
                <w:rFonts w:cs="Times New Roman"/>
                <w:szCs w:val="22"/>
              </w:rPr>
            </w:pPr>
            <w:r w:rsidRPr="00866793">
              <w:rPr>
                <w:rFonts w:cs="Times New Roman"/>
                <w:szCs w:val="22"/>
              </w:rPr>
              <w:t>1,470 tonnes</w:t>
            </w:r>
          </w:p>
        </w:tc>
      </w:tr>
      <w:tr w:rsidR="00866793" w:rsidRPr="00923150" w14:paraId="72A8B574" w14:textId="77777777" w:rsidTr="00D133DC">
        <w:trPr>
          <w:trHeight w:val="456"/>
        </w:trPr>
        <w:tc>
          <w:tcPr>
            <w:tcW w:w="5103" w:type="dxa"/>
            <w:tcBorders>
              <w:top w:val="single" w:sz="4" w:space="0" w:color="000000"/>
            </w:tcBorders>
            <w:vAlign w:val="center"/>
          </w:tcPr>
          <w:p w14:paraId="5AAD3303" w14:textId="6F845C92" w:rsidR="00866793" w:rsidRPr="00866793" w:rsidRDefault="00866793" w:rsidP="00866793">
            <w:pPr>
              <w:spacing w:before="60" w:after="60"/>
              <w:jc w:val="left"/>
              <w:rPr>
                <w:rFonts w:cs="Times New Roman"/>
                <w:szCs w:val="22"/>
              </w:rPr>
            </w:pPr>
            <w:r w:rsidRPr="00866793">
              <w:rPr>
                <w:rFonts w:cs="Times New Roman"/>
                <w:szCs w:val="22"/>
              </w:rPr>
              <w:t>Share of total annual bulk imports to replace leaks:</w:t>
            </w:r>
          </w:p>
        </w:tc>
        <w:tc>
          <w:tcPr>
            <w:tcW w:w="4536" w:type="dxa"/>
            <w:tcBorders>
              <w:top w:val="single" w:sz="4" w:space="0" w:color="000000"/>
            </w:tcBorders>
            <w:vAlign w:val="center"/>
          </w:tcPr>
          <w:p w14:paraId="09C55709" w14:textId="619B7C72" w:rsidR="00866793" w:rsidRPr="00866793" w:rsidRDefault="00A949FA" w:rsidP="00A949FA">
            <w:pPr>
              <w:spacing w:before="60" w:after="60"/>
              <w:jc w:val="left"/>
              <w:rPr>
                <w:rFonts w:cs="Times New Roman"/>
                <w:szCs w:val="22"/>
              </w:rPr>
            </w:pPr>
            <w:r>
              <w:rPr>
                <w:rFonts w:cs="Times New Roman"/>
                <w:szCs w:val="22"/>
              </w:rPr>
              <w:t>47</w:t>
            </w:r>
            <w:r w:rsidR="00866793" w:rsidRPr="00866793">
              <w:rPr>
                <w:rFonts w:cs="Times New Roman"/>
                <w:szCs w:val="22"/>
              </w:rPr>
              <w:t>%</w:t>
            </w:r>
          </w:p>
        </w:tc>
      </w:tr>
      <w:tr w:rsidR="00866793" w:rsidRPr="00923150" w14:paraId="25E7A8EA" w14:textId="77777777" w:rsidTr="00D133DC">
        <w:trPr>
          <w:trHeight w:val="456"/>
        </w:trPr>
        <w:tc>
          <w:tcPr>
            <w:tcW w:w="5103" w:type="dxa"/>
            <w:tcBorders>
              <w:top w:val="single" w:sz="4" w:space="0" w:color="000000"/>
            </w:tcBorders>
            <w:vAlign w:val="center"/>
          </w:tcPr>
          <w:p w14:paraId="16EEF6E8" w14:textId="66CA1786" w:rsidR="00866793" w:rsidRPr="00866793" w:rsidRDefault="00866793" w:rsidP="00A949FA">
            <w:pPr>
              <w:spacing w:before="60" w:after="60"/>
              <w:jc w:val="left"/>
              <w:rPr>
                <w:rFonts w:cs="Times New Roman"/>
                <w:szCs w:val="22"/>
              </w:rPr>
            </w:pPr>
            <w:r w:rsidRPr="00866793">
              <w:rPr>
                <w:rFonts w:cs="Times New Roman"/>
                <w:szCs w:val="22"/>
              </w:rPr>
              <w:t xml:space="preserve">Gas in pre-charged equipment imports </w:t>
            </w:r>
            <w:r w:rsidR="00A949FA">
              <w:rPr>
                <w:rFonts w:cs="Times New Roman"/>
                <w:szCs w:val="22"/>
              </w:rPr>
              <w:t>over last five years</w:t>
            </w:r>
            <w:r w:rsidR="00F53D13">
              <w:rPr>
                <w:rFonts w:cs="Times New Roman"/>
                <w:szCs w:val="22"/>
              </w:rPr>
              <w:t xml:space="preserve"> (excl. 2012)</w:t>
            </w:r>
            <w:r w:rsidRPr="00866793">
              <w:rPr>
                <w:rFonts w:cs="Times New Roman"/>
                <w:szCs w:val="22"/>
              </w:rPr>
              <w:t>:</w:t>
            </w:r>
          </w:p>
        </w:tc>
        <w:tc>
          <w:tcPr>
            <w:tcW w:w="4536" w:type="dxa"/>
            <w:tcBorders>
              <w:top w:val="single" w:sz="4" w:space="0" w:color="000000"/>
            </w:tcBorders>
            <w:vAlign w:val="center"/>
          </w:tcPr>
          <w:p w14:paraId="0223790D" w14:textId="6B677F17" w:rsidR="00866793" w:rsidRPr="00866793" w:rsidRDefault="00A949FA" w:rsidP="00A949FA">
            <w:pPr>
              <w:spacing w:before="60" w:after="60"/>
              <w:jc w:val="left"/>
              <w:rPr>
                <w:rFonts w:cs="Times New Roman"/>
                <w:szCs w:val="22"/>
              </w:rPr>
            </w:pPr>
            <w:r>
              <w:rPr>
                <w:rFonts w:cs="Times New Roman"/>
                <w:szCs w:val="22"/>
              </w:rPr>
              <w:t>970 to 1,285</w:t>
            </w:r>
            <w:r w:rsidR="00866793" w:rsidRPr="00866793">
              <w:rPr>
                <w:rFonts w:cs="Times New Roman"/>
                <w:szCs w:val="22"/>
              </w:rPr>
              <w:t xml:space="preserve"> tonnes per annum</w:t>
            </w:r>
          </w:p>
        </w:tc>
      </w:tr>
      <w:tr w:rsidR="00866793" w:rsidRPr="00923150" w14:paraId="22D59348" w14:textId="77777777" w:rsidTr="00D133DC">
        <w:trPr>
          <w:trHeight w:val="456"/>
        </w:trPr>
        <w:tc>
          <w:tcPr>
            <w:tcW w:w="5103" w:type="dxa"/>
            <w:tcBorders>
              <w:top w:val="single" w:sz="4" w:space="0" w:color="000000"/>
            </w:tcBorders>
            <w:vAlign w:val="center"/>
          </w:tcPr>
          <w:p w14:paraId="3881BD33" w14:textId="45A2E700" w:rsidR="00866793" w:rsidRPr="00866793" w:rsidRDefault="00866793" w:rsidP="00866793">
            <w:pPr>
              <w:spacing w:before="60" w:after="60"/>
              <w:jc w:val="left"/>
              <w:rPr>
                <w:rFonts w:cs="Times New Roman"/>
                <w:szCs w:val="22"/>
              </w:rPr>
            </w:pPr>
            <w:r w:rsidRPr="00866793">
              <w:rPr>
                <w:rFonts w:cs="Times New Roman"/>
                <w:szCs w:val="22"/>
              </w:rPr>
              <w:t>Estimated stock of equipment:</w:t>
            </w:r>
          </w:p>
        </w:tc>
        <w:tc>
          <w:tcPr>
            <w:tcW w:w="4536" w:type="dxa"/>
            <w:tcBorders>
              <w:top w:val="single" w:sz="4" w:space="0" w:color="000000"/>
            </w:tcBorders>
            <w:vAlign w:val="center"/>
          </w:tcPr>
          <w:p w14:paraId="6444148F" w14:textId="595E30AF" w:rsidR="00866793" w:rsidRPr="00866793" w:rsidRDefault="00866793" w:rsidP="00866793">
            <w:pPr>
              <w:spacing w:before="60" w:after="60"/>
              <w:jc w:val="left"/>
              <w:rPr>
                <w:rFonts w:cs="Times New Roman"/>
                <w:szCs w:val="22"/>
              </w:rPr>
            </w:pPr>
            <w:r w:rsidRPr="00866793">
              <w:rPr>
                <w:rFonts w:cs="Times New Roman"/>
                <w:szCs w:val="22"/>
              </w:rPr>
              <w:t>&gt; 11</w:t>
            </w:r>
            <w:r w:rsidR="00FA5B85">
              <w:rPr>
                <w:rFonts w:cs="Times New Roman"/>
                <w:szCs w:val="22"/>
              </w:rPr>
              <w:t>.5</w:t>
            </w:r>
            <w:r w:rsidRPr="00866793">
              <w:rPr>
                <w:rFonts w:cs="Times New Roman"/>
                <w:szCs w:val="22"/>
              </w:rPr>
              <w:t xml:space="preserve"> million units</w:t>
            </w:r>
          </w:p>
        </w:tc>
      </w:tr>
      <w:tr w:rsidR="00866793" w:rsidRPr="00923150" w14:paraId="52DC1AE5" w14:textId="77777777" w:rsidTr="00D133DC">
        <w:trPr>
          <w:trHeight w:val="456"/>
        </w:trPr>
        <w:tc>
          <w:tcPr>
            <w:tcW w:w="5103" w:type="dxa"/>
            <w:tcBorders>
              <w:top w:val="single" w:sz="4" w:space="0" w:color="000000"/>
            </w:tcBorders>
            <w:vAlign w:val="center"/>
          </w:tcPr>
          <w:p w14:paraId="7680091E" w14:textId="2285D203" w:rsidR="00866793" w:rsidRPr="00866793" w:rsidRDefault="00866793" w:rsidP="00866793">
            <w:pPr>
              <w:spacing w:before="60" w:after="60"/>
              <w:jc w:val="left"/>
              <w:rPr>
                <w:rFonts w:cs="Times New Roman"/>
                <w:szCs w:val="22"/>
              </w:rPr>
            </w:pPr>
            <w:r w:rsidRPr="00866793">
              <w:rPr>
                <w:rFonts w:cs="Times New Roman"/>
                <w:szCs w:val="22"/>
              </w:rPr>
              <w:t>Charge size:</w:t>
            </w:r>
          </w:p>
        </w:tc>
        <w:tc>
          <w:tcPr>
            <w:tcW w:w="4536" w:type="dxa"/>
            <w:tcBorders>
              <w:top w:val="single" w:sz="4" w:space="0" w:color="000000"/>
            </w:tcBorders>
            <w:vAlign w:val="center"/>
          </w:tcPr>
          <w:p w14:paraId="28EACD8B" w14:textId="01D6CDC5" w:rsidR="00C0215F" w:rsidRPr="00866793" w:rsidRDefault="00C0215F" w:rsidP="00C0215F">
            <w:pPr>
              <w:spacing w:before="60" w:after="60"/>
              <w:jc w:val="left"/>
              <w:rPr>
                <w:rFonts w:cs="Times New Roman"/>
                <w:szCs w:val="22"/>
              </w:rPr>
            </w:pPr>
            <w:r>
              <w:rPr>
                <w:rFonts w:cs="Times New Roman"/>
                <w:szCs w:val="22"/>
              </w:rPr>
              <w:t>500 grams to &gt; 1 tonne</w:t>
            </w:r>
            <w:r>
              <w:rPr>
                <w:rStyle w:val="FootnoteReference"/>
                <w:rFonts w:cs="Times New Roman"/>
                <w:szCs w:val="22"/>
              </w:rPr>
              <w:footnoteReference w:id="7"/>
            </w:r>
          </w:p>
        </w:tc>
      </w:tr>
      <w:tr w:rsidR="00866793" w:rsidRPr="00923150" w14:paraId="439B2E9F" w14:textId="77777777" w:rsidTr="00D133DC">
        <w:trPr>
          <w:trHeight w:val="456"/>
        </w:trPr>
        <w:tc>
          <w:tcPr>
            <w:tcW w:w="5103" w:type="dxa"/>
            <w:tcBorders>
              <w:top w:val="single" w:sz="4" w:space="0" w:color="000000"/>
            </w:tcBorders>
            <w:vAlign w:val="center"/>
          </w:tcPr>
          <w:p w14:paraId="6100B561" w14:textId="4D7F5B86" w:rsidR="00866793" w:rsidRPr="00866793" w:rsidRDefault="00866793" w:rsidP="00866793">
            <w:pPr>
              <w:spacing w:before="60" w:after="60"/>
              <w:jc w:val="left"/>
              <w:rPr>
                <w:rFonts w:cs="Times New Roman"/>
                <w:szCs w:val="22"/>
              </w:rPr>
            </w:pPr>
            <w:r w:rsidRPr="00866793">
              <w:rPr>
                <w:rFonts w:cs="Times New Roman"/>
                <w:szCs w:val="22"/>
              </w:rPr>
              <w:t>Estimated leak rate:</w:t>
            </w:r>
          </w:p>
        </w:tc>
        <w:tc>
          <w:tcPr>
            <w:tcW w:w="4536" w:type="dxa"/>
            <w:tcBorders>
              <w:top w:val="single" w:sz="4" w:space="0" w:color="000000"/>
            </w:tcBorders>
            <w:vAlign w:val="center"/>
          </w:tcPr>
          <w:p w14:paraId="733B438B" w14:textId="43A87730" w:rsidR="00866793" w:rsidRPr="00866793" w:rsidRDefault="00866793" w:rsidP="00866793">
            <w:pPr>
              <w:spacing w:before="60" w:after="60"/>
              <w:jc w:val="left"/>
              <w:rPr>
                <w:rFonts w:cs="Times New Roman"/>
                <w:szCs w:val="22"/>
              </w:rPr>
            </w:pPr>
            <w:r w:rsidRPr="00866793">
              <w:rPr>
                <w:rFonts w:cs="Times New Roman"/>
                <w:szCs w:val="22"/>
              </w:rPr>
              <w:t>3% to 9% of charge per annum</w:t>
            </w:r>
            <w:r>
              <w:rPr>
                <w:rStyle w:val="FootnoteReference"/>
                <w:rFonts w:cs="Times New Roman"/>
                <w:szCs w:val="22"/>
              </w:rPr>
              <w:footnoteReference w:id="8"/>
            </w:r>
          </w:p>
        </w:tc>
      </w:tr>
      <w:tr w:rsidR="00866793" w:rsidRPr="00923150" w14:paraId="280EF9CA" w14:textId="77777777" w:rsidTr="00D133DC">
        <w:trPr>
          <w:trHeight w:val="456"/>
        </w:trPr>
        <w:tc>
          <w:tcPr>
            <w:tcW w:w="5103" w:type="dxa"/>
            <w:tcBorders>
              <w:top w:val="single" w:sz="4" w:space="0" w:color="000000"/>
            </w:tcBorders>
            <w:vAlign w:val="center"/>
          </w:tcPr>
          <w:p w14:paraId="33585ECE" w14:textId="674FF39C" w:rsidR="00866793" w:rsidRPr="00866793" w:rsidRDefault="00866793" w:rsidP="00866793">
            <w:pPr>
              <w:spacing w:before="60" w:after="60"/>
              <w:jc w:val="left"/>
              <w:rPr>
                <w:rFonts w:cs="Times New Roman"/>
                <w:szCs w:val="22"/>
              </w:rPr>
            </w:pPr>
            <w:r w:rsidRPr="00866793">
              <w:rPr>
                <w:rFonts w:cs="Times New Roman"/>
                <w:szCs w:val="22"/>
              </w:rPr>
              <w:t>Predominant gas species used by volume:</w:t>
            </w:r>
          </w:p>
        </w:tc>
        <w:tc>
          <w:tcPr>
            <w:tcW w:w="4536" w:type="dxa"/>
            <w:tcBorders>
              <w:top w:val="single" w:sz="4" w:space="0" w:color="000000"/>
            </w:tcBorders>
            <w:vAlign w:val="center"/>
          </w:tcPr>
          <w:p w14:paraId="6039E4E4" w14:textId="17D890F0" w:rsidR="00866793" w:rsidRPr="00866793" w:rsidRDefault="00866793" w:rsidP="00866793">
            <w:pPr>
              <w:spacing w:before="60" w:after="60"/>
              <w:jc w:val="left"/>
              <w:rPr>
                <w:rFonts w:cs="Times New Roman"/>
                <w:szCs w:val="22"/>
              </w:rPr>
            </w:pPr>
            <w:r w:rsidRPr="00866793">
              <w:rPr>
                <w:rFonts w:cs="Times New Roman"/>
                <w:szCs w:val="22"/>
              </w:rPr>
              <w:t xml:space="preserve">HCFC-22, HFC-410A, HFC-407C and </w:t>
            </w:r>
            <w:r>
              <w:rPr>
                <w:rFonts w:cs="Times New Roman"/>
                <w:szCs w:val="22"/>
              </w:rPr>
              <w:t>HFC-134a</w:t>
            </w:r>
          </w:p>
        </w:tc>
      </w:tr>
      <w:tr w:rsidR="00866793" w:rsidRPr="00923150" w14:paraId="7BFBFC37" w14:textId="77777777" w:rsidTr="00D133DC">
        <w:trPr>
          <w:trHeight w:val="456"/>
        </w:trPr>
        <w:tc>
          <w:tcPr>
            <w:tcW w:w="5103" w:type="dxa"/>
            <w:tcBorders>
              <w:top w:val="single" w:sz="4" w:space="0" w:color="000000"/>
            </w:tcBorders>
            <w:vAlign w:val="center"/>
          </w:tcPr>
          <w:p w14:paraId="3233D867" w14:textId="78CC1241" w:rsidR="00866793" w:rsidRPr="00866793" w:rsidRDefault="00866793" w:rsidP="00E141EE">
            <w:pPr>
              <w:spacing w:before="60" w:after="60"/>
              <w:jc w:val="left"/>
              <w:rPr>
                <w:rFonts w:cs="Times New Roman"/>
                <w:szCs w:val="22"/>
              </w:rPr>
            </w:pPr>
            <w:r w:rsidRPr="00866793">
              <w:rPr>
                <w:rFonts w:cs="Times New Roman"/>
                <w:szCs w:val="22"/>
              </w:rPr>
              <w:t xml:space="preserve">Annual </w:t>
            </w:r>
            <w:r w:rsidR="00E141EE">
              <w:rPr>
                <w:rFonts w:cs="Times New Roman"/>
                <w:szCs w:val="22"/>
              </w:rPr>
              <w:t>e</w:t>
            </w:r>
            <w:r w:rsidRPr="00866793">
              <w:rPr>
                <w:rFonts w:cs="Times New Roman"/>
                <w:szCs w:val="22"/>
              </w:rPr>
              <w:t xml:space="preserve">xpenditure on </w:t>
            </w:r>
            <w:r w:rsidR="00E141EE">
              <w:rPr>
                <w:rFonts w:cs="Times New Roman"/>
                <w:szCs w:val="22"/>
              </w:rPr>
              <w:t>n</w:t>
            </w:r>
            <w:r w:rsidRPr="00866793">
              <w:rPr>
                <w:rFonts w:cs="Times New Roman"/>
                <w:szCs w:val="22"/>
              </w:rPr>
              <w:t xml:space="preserve">ew </w:t>
            </w:r>
            <w:r w:rsidR="00E141EE">
              <w:rPr>
                <w:rFonts w:cs="Times New Roman"/>
                <w:szCs w:val="22"/>
              </w:rPr>
              <w:t>e</w:t>
            </w:r>
            <w:r w:rsidRPr="00866793">
              <w:rPr>
                <w:rFonts w:cs="Times New Roman"/>
                <w:szCs w:val="22"/>
              </w:rPr>
              <w:t>quipment</w:t>
            </w:r>
            <w:r w:rsidR="00467BC5">
              <w:rPr>
                <w:rFonts w:cs="Times New Roman"/>
                <w:szCs w:val="22"/>
              </w:rPr>
              <w:t>:</w:t>
            </w:r>
          </w:p>
        </w:tc>
        <w:tc>
          <w:tcPr>
            <w:tcW w:w="4536" w:type="dxa"/>
            <w:tcBorders>
              <w:top w:val="single" w:sz="4" w:space="0" w:color="000000"/>
            </w:tcBorders>
            <w:vAlign w:val="center"/>
          </w:tcPr>
          <w:p w14:paraId="0A01A3F7" w14:textId="47B57865" w:rsidR="00866793" w:rsidRPr="00866793" w:rsidRDefault="00866793" w:rsidP="00866793">
            <w:pPr>
              <w:spacing w:before="60" w:after="60"/>
              <w:jc w:val="left"/>
              <w:rPr>
                <w:rFonts w:cs="Times New Roman"/>
                <w:szCs w:val="22"/>
              </w:rPr>
            </w:pPr>
            <w:r w:rsidRPr="00866793">
              <w:rPr>
                <w:rFonts w:cs="Times New Roman"/>
                <w:szCs w:val="22"/>
              </w:rPr>
              <w:t>~$3.35 B</w:t>
            </w:r>
            <w:r>
              <w:rPr>
                <w:rFonts w:cs="Times New Roman"/>
                <w:szCs w:val="22"/>
              </w:rPr>
              <w:t>illion</w:t>
            </w:r>
          </w:p>
        </w:tc>
      </w:tr>
      <w:tr w:rsidR="00866793" w:rsidRPr="00923150" w14:paraId="4EA2C06C" w14:textId="77777777" w:rsidTr="00D133DC">
        <w:trPr>
          <w:trHeight w:val="456"/>
        </w:trPr>
        <w:tc>
          <w:tcPr>
            <w:tcW w:w="5103" w:type="dxa"/>
            <w:tcBorders>
              <w:top w:val="single" w:sz="4" w:space="0" w:color="000000"/>
            </w:tcBorders>
            <w:vAlign w:val="center"/>
          </w:tcPr>
          <w:p w14:paraId="0D07C0BF" w14:textId="47E53B3A" w:rsidR="00866793" w:rsidRPr="00866793" w:rsidRDefault="00866793" w:rsidP="00E141EE">
            <w:pPr>
              <w:spacing w:before="60" w:after="60"/>
              <w:jc w:val="left"/>
              <w:rPr>
                <w:rFonts w:cs="Times New Roman"/>
                <w:szCs w:val="22"/>
              </w:rPr>
            </w:pPr>
            <w:r w:rsidRPr="00866793">
              <w:rPr>
                <w:rFonts w:cs="Times New Roman"/>
                <w:szCs w:val="22"/>
              </w:rPr>
              <w:t xml:space="preserve">Annual </w:t>
            </w:r>
            <w:r w:rsidR="00E141EE">
              <w:rPr>
                <w:rFonts w:cs="Times New Roman"/>
                <w:szCs w:val="22"/>
              </w:rPr>
              <w:t>e</w:t>
            </w:r>
            <w:r w:rsidRPr="00866793">
              <w:rPr>
                <w:rFonts w:cs="Times New Roman"/>
                <w:szCs w:val="22"/>
              </w:rPr>
              <w:t xml:space="preserve">lectricity </w:t>
            </w:r>
            <w:r w:rsidR="00E141EE">
              <w:rPr>
                <w:rFonts w:cs="Times New Roman"/>
                <w:szCs w:val="22"/>
              </w:rPr>
              <w:t>c</w:t>
            </w:r>
            <w:r w:rsidRPr="00866793">
              <w:rPr>
                <w:rFonts w:cs="Times New Roman"/>
                <w:szCs w:val="22"/>
              </w:rPr>
              <w:t>onsumption</w:t>
            </w:r>
            <w:r w:rsidR="00467BC5">
              <w:rPr>
                <w:rFonts w:cs="Times New Roman"/>
                <w:szCs w:val="22"/>
              </w:rPr>
              <w:t>:</w:t>
            </w:r>
          </w:p>
        </w:tc>
        <w:tc>
          <w:tcPr>
            <w:tcW w:w="4536" w:type="dxa"/>
            <w:tcBorders>
              <w:top w:val="single" w:sz="4" w:space="0" w:color="000000"/>
            </w:tcBorders>
            <w:vAlign w:val="center"/>
          </w:tcPr>
          <w:p w14:paraId="7D7A0F1D" w14:textId="3146EC24" w:rsidR="00866793" w:rsidRPr="00866793" w:rsidRDefault="00866793" w:rsidP="00866793">
            <w:pPr>
              <w:spacing w:before="60" w:after="60"/>
              <w:jc w:val="left"/>
              <w:rPr>
                <w:rFonts w:cs="Times New Roman"/>
                <w:szCs w:val="22"/>
              </w:rPr>
            </w:pPr>
            <w:r w:rsidRPr="00866793">
              <w:rPr>
                <w:rFonts w:cs="Times New Roman"/>
                <w:szCs w:val="22"/>
              </w:rPr>
              <w:t>36,845 GWh</w:t>
            </w:r>
          </w:p>
        </w:tc>
      </w:tr>
      <w:tr w:rsidR="00866793" w:rsidRPr="00923150" w14:paraId="646198D9" w14:textId="77777777" w:rsidTr="00D133DC">
        <w:trPr>
          <w:trHeight w:val="456"/>
        </w:trPr>
        <w:tc>
          <w:tcPr>
            <w:tcW w:w="5103" w:type="dxa"/>
            <w:tcBorders>
              <w:top w:val="single" w:sz="4" w:space="0" w:color="000000"/>
            </w:tcBorders>
            <w:vAlign w:val="center"/>
          </w:tcPr>
          <w:p w14:paraId="6DB74F32" w14:textId="1F37B283" w:rsidR="00866793" w:rsidRPr="00866793" w:rsidRDefault="00866793" w:rsidP="00467BC5">
            <w:pPr>
              <w:spacing w:before="60" w:after="60"/>
              <w:jc w:val="left"/>
              <w:rPr>
                <w:rFonts w:cs="Times New Roman"/>
                <w:szCs w:val="22"/>
              </w:rPr>
            </w:pPr>
            <w:r w:rsidRPr="00866793">
              <w:rPr>
                <w:rFonts w:cs="Times New Roman"/>
                <w:szCs w:val="22"/>
              </w:rPr>
              <w:t xml:space="preserve">Share of HVAC&amp;R Electricity </w:t>
            </w:r>
            <w:r w:rsidR="00467BC5">
              <w:rPr>
                <w:rFonts w:cs="Times New Roman"/>
                <w:szCs w:val="22"/>
              </w:rPr>
              <w:t>c</w:t>
            </w:r>
            <w:r w:rsidRPr="00866793">
              <w:rPr>
                <w:rFonts w:cs="Times New Roman"/>
                <w:szCs w:val="22"/>
              </w:rPr>
              <w:t>onsumption</w:t>
            </w:r>
            <w:r w:rsidR="00467BC5">
              <w:rPr>
                <w:rFonts w:cs="Times New Roman"/>
                <w:szCs w:val="22"/>
              </w:rPr>
              <w:t>:</w:t>
            </w:r>
          </w:p>
        </w:tc>
        <w:tc>
          <w:tcPr>
            <w:tcW w:w="4536" w:type="dxa"/>
            <w:tcBorders>
              <w:top w:val="single" w:sz="4" w:space="0" w:color="000000"/>
            </w:tcBorders>
            <w:vAlign w:val="center"/>
          </w:tcPr>
          <w:p w14:paraId="2C661C8A" w14:textId="62024990" w:rsidR="00866793" w:rsidRPr="00866793" w:rsidRDefault="00467BC5" w:rsidP="00467BC5">
            <w:pPr>
              <w:spacing w:before="60" w:after="60"/>
              <w:jc w:val="left"/>
              <w:rPr>
                <w:rFonts w:cs="Times New Roman"/>
                <w:szCs w:val="22"/>
              </w:rPr>
            </w:pPr>
            <w:r>
              <w:rPr>
                <w:rFonts w:cs="Times New Roman"/>
                <w:szCs w:val="22"/>
              </w:rPr>
              <w:t>62</w:t>
            </w:r>
            <w:r w:rsidR="00866793" w:rsidRPr="00866793">
              <w:rPr>
                <w:rFonts w:cs="Times New Roman"/>
                <w:szCs w:val="22"/>
              </w:rPr>
              <w:t>%</w:t>
            </w:r>
          </w:p>
        </w:tc>
      </w:tr>
      <w:tr w:rsidR="00866793" w:rsidRPr="00923150" w14:paraId="7901DE0F" w14:textId="77777777" w:rsidTr="00D133DC">
        <w:trPr>
          <w:trHeight w:val="456"/>
        </w:trPr>
        <w:tc>
          <w:tcPr>
            <w:tcW w:w="5103" w:type="dxa"/>
            <w:tcBorders>
              <w:top w:val="single" w:sz="4" w:space="0" w:color="000000"/>
            </w:tcBorders>
            <w:vAlign w:val="center"/>
          </w:tcPr>
          <w:p w14:paraId="0F3197F3" w14:textId="36C8018A" w:rsidR="00866793" w:rsidRPr="00866793" w:rsidRDefault="00866793" w:rsidP="00E141EE">
            <w:pPr>
              <w:spacing w:before="60" w:after="60"/>
              <w:jc w:val="left"/>
              <w:rPr>
                <w:rFonts w:cs="Times New Roman"/>
                <w:szCs w:val="22"/>
              </w:rPr>
            </w:pPr>
            <w:r w:rsidRPr="00866793">
              <w:rPr>
                <w:rFonts w:cs="Times New Roman"/>
                <w:szCs w:val="22"/>
              </w:rPr>
              <w:t xml:space="preserve">Annual GHG </w:t>
            </w:r>
            <w:r w:rsidR="00E141EE">
              <w:rPr>
                <w:rFonts w:cs="Times New Roman"/>
                <w:szCs w:val="22"/>
              </w:rPr>
              <w:t>indirect e</w:t>
            </w:r>
            <w:r w:rsidRPr="00866793">
              <w:rPr>
                <w:rFonts w:cs="Times New Roman"/>
                <w:szCs w:val="22"/>
              </w:rPr>
              <w:t>missions</w:t>
            </w:r>
            <w:r w:rsidR="00467BC5">
              <w:rPr>
                <w:rFonts w:cs="Times New Roman"/>
                <w:szCs w:val="22"/>
              </w:rPr>
              <w:t>:</w:t>
            </w:r>
          </w:p>
        </w:tc>
        <w:tc>
          <w:tcPr>
            <w:tcW w:w="4536" w:type="dxa"/>
            <w:tcBorders>
              <w:top w:val="single" w:sz="4" w:space="0" w:color="000000"/>
            </w:tcBorders>
            <w:vAlign w:val="center"/>
          </w:tcPr>
          <w:p w14:paraId="7C9EF3F4" w14:textId="27D93892" w:rsidR="00866793" w:rsidRPr="00866793" w:rsidRDefault="00866793" w:rsidP="00866793">
            <w:pPr>
              <w:spacing w:before="60" w:after="60"/>
              <w:jc w:val="left"/>
              <w:rPr>
                <w:rFonts w:cs="Times New Roman"/>
                <w:szCs w:val="22"/>
              </w:rPr>
            </w:pPr>
            <w:r w:rsidRPr="00866793">
              <w:rPr>
                <w:rFonts w:cs="Times New Roman"/>
                <w:szCs w:val="22"/>
              </w:rPr>
              <w:t>33.67 Mt CO</w:t>
            </w:r>
            <w:r w:rsidRPr="00866793">
              <w:rPr>
                <w:rFonts w:cs="Times New Roman"/>
                <w:szCs w:val="22"/>
                <w:vertAlign w:val="subscript"/>
              </w:rPr>
              <w:t>2</w:t>
            </w:r>
            <w:r w:rsidRPr="00866793">
              <w:rPr>
                <w:rFonts w:cs="Times New Roman"/>
                <w:szCs w:val="22"/>
              </w:rPr>
              <w:t>-e</w:t>
            </w:r>
          </w:p>
        </w:tc>
      </w:tr>
      <w:tr w:rsidR="00866793" w:rsidRPr="00923150" w14:paraId="192CE74E" w14:textId="77777777" w:rsidTr="00D133DC">
        <w:trPr>
          <w:trHeight w:val="456"/>
        </w:trPr>
        <w:tc>
          <w:tcPr>
            <w:tcW w:w="5103" w:type="dxa"/>
            <w:tcBorders>
              <w:top w:val="single" w:sz="4" w:space="0" w:color="000000"/>
            </w:tcBorders>
            <w:vAlign w:val="center"/>
          </w:tcPr>
          <w:p w14:paraId="57B0E08E" w14:textId="31EFDC95" w:rsidR="00866793" w:rsidRPr="00866793" w:rsidRDefault="00E141EE" w:rsidP="00E141EE">
            <w:pPr>
              <w:spacing w:before="60" w:after="60"/>
              <w:jc w:val="left"/>
              <w:rPr>
                <w:rFonts w:cs="Times New Roman"/>
                <w:szCs w:val="22"/>
              </w:rPr>
            </w:pPr>
            <w:r>
              <w:rPr>
                <w:rFonts w:cs="Times New Roman"/>
                <w:szCs w:val="22"/>
              </w:rPr>
              <w:t>Share of HVAC&amp;R i</w:t>
            </w:r>
            <w:r w:rsidR="00866793" w:rsidRPr="00866793">
              <w:rPr>
                <w:rFonts w:cs="Times New Roman"/>
                <w:szCs w:val="22"/>
              </w:rPr>
              <w:t xml:space="preserve">ndirect </w:t>
            </w:r>
            <w:r>
              <w:rPr>
                <w:rFonts w:cs="Times New Roman"/>
                <w:szCs w:val="22"/>
              </w:rPr>
              <w:t>e</w:t>
            </w:r>
            <w:r w:rsidR="00866793" w:rsidRPr="00866793">
              <w:rPr>
                <w:rFonts w:cs="Times New Roman"/>
                <w:szCs w:val="22"/>
              </w:rPr>
              <w:t>missions</w:t>
            </w:r>
            <w:r w:rsidR="00467BC5">
              <w:rPr>
                <w:rFonts w:cs="Times New Roman"/>
                <w:szCs w:val="22"/>
              </w:rPr>
              <w:t>:</w:t>
            </w:r>
          </w:p>
        </w:tc>
        <w:tc>
          <w:tcPr>
            <w:tcW w:w="4536" w:type="dxa"/>
            <w:tcBorders>
              <w:top w:val="single" w:sz="4" w:space="0" w:color="000000"/>
            </w:tcBorders>
            <w:vAlign w:val="center"/>
          </w:tcPr>
          <w:p w14:paraId="37A39236" w14:textId="32DA3451" w:rsidR="00866793" w:rsidRPr="00866793" w:rsidRDefault="00866793" w:rsidP="00467BC5">
            <w:pPr>
              <w:spacing w:before="60" w:after="60"/>
              <w:jc w:val="left"/>
              <w:rPr>
                <w:rFonts w:cs="Times New Roman"/>
                <w:szCs w:val="22"/>
              </w:rPr>
            </w:pPr>
            <w:r w:rsidRPr="00866793">
              <w:rPr>
                <w:rFonts w:cs="Times New Roman"/>
                <w:szCs w:val="22"/>
              </w:rPr>
              <w:t>59%</w:t>
            </w:r>
          </w:p>
        </w:tc>
      </w:tr>
      <w:tr w:rsidR="00866793" w:rsidRPr="00923150" w14:paraId="3EC04657" w14:textId="77777777" w:rsidTr="00D133DC">
        <w:trPr>
          <w:trHeight w:val="456"/>
        </w:trPr>
        <w:tc>
          <w:tcPr>
            <w:tcW w:w="5103" w:type="dxa"/>
            <w:tcBorders>
              <w:top w:val="single" w:sz="4" w:space="0" w:color="000000"/>
            </w:tcBorders>
            <w:vAlign w:val="center"/>
          </w:tcPr>
          <w:p w14:paraId="6AB24BF6" w14:textId="539CF46E" w:rsidR="00866793" w:rsidRPr="00866793" w:rsidRDefault="00866793" w:rsidP="00467BC5">
            <w:pPr>
              <w:spacing w:before="60" w:after="60"/>
              <w:jc w:val="left"/>
              <w:rPr>
                <w:rFonts w:cs="Times New Roman"/>
                <w:szCs w:val="22"/>
              </w:rPr>
            </w:pPr>
            <w:r w:rsidRPr="00866793">
              <w:rPr>
                <w:rFonts w:cs="Times New Roman"/>
                <w:szCs w:val="22"/>
              </w:rPr>
              <w:t xml:space="preserve">Annual GHG </w:t>
            </w:r>
            <w:r w:rsidR="00E141EE">
              <w:rPr>
                <w:rFonts w:cs="Times New Roman"/>
                <w:szCs w:val="22"/>
              </w:rPr>
              <w:t>direct e</w:t>
            </w:r>
            <w:r w:rsidRPr="00866793">
              <w:rPr>
                <w:rFonts w:cs="Times New Roman"/>
                <w:szCs w:val="22"/>
              </w:rPr>
              <w:t>missions</w:t>
            </w:r>
            <w:r w:rsidR="00467BC5">
              <w:rPr>
                <w:rFonts w:cs="Times New Roman"/>
                <w:szCs w:val="22"/>
              </w:rPr>
              <w:t xml:space="preserve"> (ODS):</w:t>
            </w:r>
          </w:p>
        </w:tc>
        <w:tc>
          <w:tcPr>
            <w:tcW w:w="4536" w:type="dxa"/>
            <w:tcBorders>
              <w:top w:val="single" w:sz="4" w:space="0" w:color="000000"/>
            </w:tcBorders>
            <w:vAlign w:val="center"/>
          </w:tcPr>
          <w:p w14:paraId="55191826" w14:textId="1798B73E" w:rsidR="00866793" w:rsidRPr="00866793" w:rsidRDefault="00467BC5" w:rsidP="00467BC5">
            <w:pPr>
              <w:spacing w:before="60" w:after="60"/>
              <w:jc w:val="left"/>
              <w:rPr>
                <w:rFonts w:cs="Times New Roman"/>
                <w:szCs w:val="22"/>
              </w:rPr>
            </w:pPr>
            <w:r>
              <w:rPr>
                <w:rFonts w:cs="Times New Roman"/>
                <w:szCs w:val="22"/>
              </w:rPr>
              <w:t>1.18</w:t>
            </w:r>
            <w:r w:rsidR="00866793" w:rsidRPr="00866793">
              <w:rPr>
                <w:rFonts w:cs="Times New Roman"/>
                <w:szCs w:val="22"/>
              </w:rPr>
              <w:t xml:space="preserve"> Mt CO</w:t>
            </w:r>
            <w:r w:rsidR="00866793" w:rsidRPr="00866793">
              <w:rPr>
                <w:rFonts w:cs="Times New Roman"/>
                <w:szCs w:val="22"/>
                <w:vertAlign w:val="subscript"/>
              </w:rPr>
              <w:t>2</w:t>
            </w:r>
            <w:r w:rsidR="00866793" w:rsidRPr="00866793">
              <w:rPr>
                <w:rFonts w:cs="Times New Roman"/>
                <w:szCs w:val="22"/>
              </w:rPr>
              <w:t>-e</w:t>
            </w:r>
          </w:p>
        </w:tc>
      </w:tr>
      <w:tr w:rsidR="00467BC5" w:rsidRPr="00923150" w14:paraId="47606F2E" w14:textId="77777777" w:rsidTr="00D133DC">
        <w:trPr>
          <w:trHeight w:val="456"/>
        </w:trPr>
        <w:tc>
          <w:tcPr>
            <w:tcW w:w="5103" w:type="dxa"/>
            <w:tcBorders>
              <w:top w:val="single" w:sz="4" w:space="0" w:color="000000"/>
            </w:tcBorders>
            <w:vAlign w:val="center"/>
          </w:tcPr>
          <w:p w14:paraId="00F0E544" w14:textId="6D7B2C60" w:rsidR="00467BC5" w:rsidRPr="00866793" w:rsidRDefault="00467BC5" w:rsidP="00E141EE">
            <w:pPr>
              <w:spacing w:before="60" w:after="60"/>
              <w:jc w:val="left"/>
              <w:rPr>
                <w:rFonts w:cs="Times New Roman"/>
                <w:szCs w:val="22"/>
              </w:rPr>
            </w:pPr>
            <w:r w:rsidRPr="00866793">
              <w:rPr>
                <w:rFonts w:cs="Times New Roman"/>
                <w:szCs w:val="22"/>
              </w:rPr>
              <w:t xml:space="preserve">Annual GHG </w:t>
            </w:r>
            <w:r>
              <w:rPr>
                <w:rFonts w:cs="Times New Roman"/>
                <w:szCs w:val="22"/>
              </w:rPr>
              <w:t>direct e</w:t>
            </w:r>
            <w:r w:rsidRPr="00866793">
              <w:rPr>
                <w:rFonts w:cs="Times New Roman"/>
                <w:szCs w:val="22"/>
              </w:rPr>
              <w:t>missions</w:t>
            </w:r>
            <w:r>
              <w:rPr>
                <w:rFonts w:cs="Times New Roman"/>
                <w:szCs w:val="22"/>
              </w:rPr>
              <w:t xml:space="preserve"> (SGG):</w:t>
            </w:r>
          </w:p>
        </w:tc>
        <w:tc>
          <w:tcPr>
            <w:tcW w:w="4536" w:type="dxa"/>
            <w:tcBorders>
              <w:top w:val="single" w:sz="4" w:space="0" w:color="000000"/>
            </w:tcBorders>
            <w:vAlign w:val="center"/>
          </w:tcPr>
          <w:p w14:paraId="34980765" w14:textId="02CE0F90" w:rsidR="00467BC5" w:rsidRPr="00866793" w:rsidRDefault="00467BC5" w:rsidP="00467BC5">
            <w:pPr>
              <w:spacing w:before="60" w:after="60"/>
              <w:jc w:val="left"/>
              <w:rPr>
                <w:rFonts w:cs="Times New Roman"/>
                <w:szCs w:val="22"/>
              </w:rPr>
            </w:pPr>
            <w:r>
              <w:rPr>
                <w:rFonts w:cs="Times New Roman"/>
                <w:szCs w:val="22"/>
              </w:rPr>
              <w:t>1,14</w:t>
            </w:r>
            <w:r w:rsidRPr="00866793">
              <w:rPr>
                <w:rFonts w:cs="Times New Roman"/>
                <w:szCs w:val="22"/>
              </w:rPr>
              <w:t xml:space="preserve"> Mt CO</w:t>
            </w:r>
            <w:r w:rsidRPr="00866793">
              <w:rPr>
                <w:rFonts w:cs="Times New Roman"/>
                <w:szCs w:val="22"/>
                <w:vertAlign w:val="subscript"/>
              </w:rPr>
              <w:t>2</w:t>
            </w:r>
            <w:r w:rsidRPr="00866793">
              <w:rPr>
                <w:rFonts w:cs="Times New Roman"/>
                <w:szCs w:val="22"/>
              </w:rPr>
              <w:t>-e</w:t>
            </w:r>
          </w:p>
        </w:tc>
      </w:tr>
      <w:tr w:rsidR="00866793" w:rsidRPr="00923150" w14:paraId="4C81E0ED" w14:textId="77777777" w:rsidTr="00D133DC">
        <w:trPr>
          <w:trHeight w:val="456"/>
        </w:trPr>
        <w:tc>
          <w:tcPr>
            <w:tcW w:w="5103" w:type="dxa"/>
            <w:tcBorders>
              <w:top w:val="single" w:sz="4" w:space="0" w:color="000000"/>
            </w:tcBorders>
            <w:vAlign w:val="center"/>
          </w:tcPr>
          <w:p w14:paraId="2072B965" w14:textId="1B33D5A0" w:rsidR="00866793" w:rsidRPr="00866793" w:rsidRDefault="00866793" w:rsidP="00E141EE">
            <w:pPr>
              <w:spacing w:before="60" w:after="60"/>
              <w:jc w:val="left"/>
              <w:rPr>
                <w:rFonts w:cs="Times New Roman"/>
                <w:szCs w:val="22"/>
              </w:rPr>
            </w:pPr>
            <w:r w:rsidRPr="00866793">
              <w:rPr>
                <w:rFonts w:cs="Times New Roman"/>
                <w:szCs w:val="22"/>
              </w:rPr>
              <w:t xml:space="preserve">Share of HVAC&amp;R </w:t>
            </w:r>
            <w:r w:rsidR="00E141EE">
              <w:rPr>
                <w:rFonts w:cs="Times New Roman"/>
                <w:szCs w:val="22"/>
              </w:rPr>
              <w:t>d</w:t>
            </w:r>
            <w:r w:rsidRPr="00866793">
              <w:rPr>
                <w:rFonts w:cs="Times New Roman"/>
                <w:szCs w:val="22"/>
              </w:rPr>
              <w:t xml:space="preserve">irect </w:t>
            </w:r>
            <w:r w:rsidR="00E141EE">
              <w:rPr>
                <w:rFonts w:cs="Times New Roman"/>
                <w:szCs w:val="22"/>
              </w:rPr>
              <w:t>e</w:t>
            </w:r>
            <w:r w:rsidRPr="00866793">
              <w:rPr>
                <w:rFonts w:cs="Times New Roman"/>
                <w:szCs w:val="22"/>
              </w:rPr>
              <w:t>missions</w:t>
            </w:r>
            <w:r w:rsidR="00467BC5">
              <w:rPr>
                <w:rFonts w:cs="Times New Roman"/>
                <w:szCs w:val="22"/>
              </w:rPr>
              <w:t>:</w:t>
            </w:r>
          </w:p>
        </w:tc>
        <w:tc>
          <w:tcPr>
            <w:tcW w:w="4536" w:type="dxa"/>
            <w:tcBorders>
              <w:top w:val="single" w:sz="4" w:space="0" w:color="000000"/>
            </w:tcBorders>
            <w:vAlign w:val="center"/>
          </w:tcPr>
          <w:p w14:paraId="6C3F1E7F" w14:textId="57C46760" w:rsidR="00866793" w:rsidRPr="00866793" w:rsidRDefault="00FC2E99" w:rsidP="00FC2E99">
            <w:pPr>
              <w:spacing w:before="60" w:after="60"/>
              <w:jc w:val="left"/>
              <w:rPr>
                <w:rFonts w:cs="Times New Roman"/>
                <w:szCs w:val="22"/>
              </w:rPr>
            </w:pPr>
            <w:r>
              <w:rPr>
                <w:rFonts w:cs="Times New Roman"/>
                <w:szCs w:val="22"/>
              </w:rPr>
              <w:t>44</w:t>
            </w:r>
            <w:r w:rsidR="00866793" w:rsidRPr="00866793">
              <w:rPr>
                <w:rFonts w:cs="Times New Roman"/>
                <w:szCs w:val="22"/>
              </w:rPr>
              <w:t>%</w:t>
            </w:r>
          </w:p>
        </w:tc>
      </w:tr>
      <w:tr w:rsidR="00866793" w:rsidRPr="00923150" w14:paraId="4DDAA318" w14:textId="77777777" w:rsidTr="00D133DC">
        <w:trPr>
          <w:trHeight w:val="456"/>
        </w:trPr>
        <w:tc>
          <w:tcPr>
            <w:tcW w:w="5103" w:type="dxa"/>
            <w:tcBorders>
              <w:top w:val="single" w:sz="4" w:space="0" w:color="000000"/>
            </w:tcBorders>
            <w:vAlign w:val="center"/>
          </w:tcPr>
          <w:p w14:paraId="59364DAC" w14:textId="1F511BD3" w:rsidR="00866793" w:rsidRPr="00866793" w:rsidRDefault="00866793" w:rsidP="00F85ABE">
            <w:pPr>
              <w:spacing w:before="60" w:after="60"/>
              <w:jc w:val="left"/>
              <w:rPr>
                <w:rFonts w:cs="Times New Roman"/>
                <w:szCs w:val="22"/>
              </w:rPr>
            </w:pPr>
            <w:r w:rsidRPr="00866793">
              <w:rPr>
                <w:rFonts w:cs="Times New Roman"/>
                <w:szCs w:val="22"/>
              </w:rPr>
              <w:t xml:space="preserve">Share of HVAC&amp;R </w:t>
            </w:r>
            <w:r w:rsidR="00E141EE">
              <w:rPr>
                <w:rFonts w:cs="Times New Roman"/>
                <w:szCs w:val="22"/>
              </w:rPr>
              <w:t>t</w:t>
            </w:r>
            <w:r w:rsidRPr="00866793">
              <w:rPr>
                <w:rFonts w:cs="Times New Roman"/>
                <w:szCs w:val="22"/>
              </w:rPr>
              <w:t xml:space="preserve">otal </w:t>
            </w:r>
            <w:r w:rsidR="00E141EE">
              <w:rPr>
                <w:rFonts w:cs="Times New Roman"/>
                <w:szCs w:val="22"/>
              </w:rPr>
              <w:t>e</w:t>
            </w:r>
            <w:r w:rsidRPr="00866793">
              <w:rPr>
                <w:rFonts w:cs="Times New Roman"/>
                <w:szCs w:val="22"/>
              </w:rPr>
              <w:t xml:space="preserve">missions </w:t>
            </w:r>
            <w:r w:rsidR="00441A11">
              <w:rPr>
                <w:rFonts w:cs="Times New Roman"/>
                <w:szCs w:val="22"/>
              </w:rPr>
              <w:t xml:space="preserve">                                                </w:t>
            </w:r>
            <w:r w:rsidRPr="00866793">
              <w:rPr>
                <w:rFonts w:cs="Times New Roman"/>
                <w:szCs w:val="22"/>
              </w:rPr>
              <w:t>(</w:t>
            </w:r>
            <w:r w:rsidR="00E141EE">
              <w:rPr>
                <w:rFonts w:cs="Times New Roman"/>
                <w:szCs w:val="22"/>
              </w:rPr>
              <w:t>d</w:t>
            </w:r>
            <w:r w:rsidRPr="00866793">
              <w:rPr>
                <w:rFonts w:cs="Times New Roman"/>
                <w:szCs w:val="22"/>
              </w:rPr>
              <w:t xml:space="preserve">irect and </w:t>
            </w:r>
            <w:r w:rsidR="00E141EE">
              <w:rPr>
                <w:rFonts w:cs="Times New Roman"/>
                <w:szCs w:val="22"/>
              </w:rPr>
              <w:t>i</w:t>
            </w:r>
            <w:r w:rsidRPr="00866793">
              <w:rPr>
                <w:rFonts w:cs="Times New Roman"/>
                <w:szCs w:val="22"/>
              </w:rPr>
              <w:t>ndirect</w:t>
            </w:r>
            <w:r w:rsidR="00E141EE">
              <w:rPr>
                <w:rFonts w:cs="Times New Roman"/>
                <w:szCs w:val="22"/>
              </w:rPr>
              <w:t xml:space="preserve">, </w:t>
            </w:r>
            <w:r w:rsidRPr="00866793">
              <w:rPr>
                <w:rFonts w:cs="Times New Roman"/>
                <w:szCs w:val="22"/>
              </w:rPr>
              <w:t>not including EOL)</w:t>
            </w:r>
            <w:r w:rsidR="00F85ABE">
              <w:rPr>
                <w:rFonts w:cs="Times New Roman"/>
                <w:szCs w:val="22"/>
              </w:rPr>
              <w:t>:</w:t>
            </w:r>
          </w:p>
        </w:tc>
        <w:tc>
          <w:tcPr>
            <w:tcW w:w="4536" w:type="dxa"/>
            <w:tcBorders>
              <w:top w:val="single" w:sz="4" w:space="0" w:color="000000"/>
            </w:tcBorders>
            <w:vAlign w:val="center"/>
          </w:tcPr>
          <w:p w14:paraId="134EB74C" w14:textId="44B2E0EF" w:rsidR="00866793" w:rsidRPr="00866793" w:rsidRDefault="00866793" w:rsidP="00FC2E99">
            <w:pPr>
              <w:spacing w:before="60" w:after="60"/>
              <w:jc w:val="left"/>
              <w:rPr>
                <w:rFonts w:cs="Times New Roman"/>
                <w:szCs w:val="22"/>
              </w:rPr>
            </w:pPr>
            <w:r w:rsidRPr="00866793">
              <w:rPr>
                <w:rFonts w:cs="Times New Roman"/>
                <w:szCs w:val="22"/>
              </w:rPr>
              <w:t>5</w:t>
            </w:r>
            <w:r w:rsidR="00FC2E99">
              <w:rPr>
                <w:rFonts w:cs="Times New Roman"/>
                <w:szCs w:val="22"/>
              </w:rPr>
              <w:t>8</w:t>
            </w:r>
            <w:r w:rsidRPr="00866793">
              <w:rPr>
                <w:rFonts w:cs="Times New Roman"/>
                <w:szCs w:val="22"/>
              </w:rPr>
              <w:t>%</w:t>
            </w:r>
          </w:p>
        </w:tc>
      </w:tr>
      <w:tr w:rsidR="00866793" w:rsidRPr="00923150" w14:paraId="19578FD1" w14:textId="77777777" w:rsidTr="00D133DC">
        <w:trPr>
          <w:trHeight w:val="456"/>
        </w:trPr>
        <w:tc>
          <w:tcPr>
            <w:tcW w:w="5103" w:type="dxa"/>
            <w:tcBorders>
              <w:top w:val="single" w:sz="4" w:space="0" w:color="000000"/>
            </w:tcBorders>
            <w:vAlign w:val="center"/>
          </w:tcPr>
          <w:p w14:paraId="2E2B7ECC" w14:textId="658B160D" w:rsidR="00866793" w:rsidRPr="00866793" w:rsidRDefault="00866793" w:rsidP="00467BC5">
            <w:pPr>
              <w:spacing w:before="60" w:after="60"/>
              <w:jc w:val="left"/>
              <w:rPr>
                <w:rFonts w:cs="Times New Roman"/>
                <w:szCs w:val="22"/>
              </w:rPr>
            </w:pPr>
            <w:r w:rsidRPr="00866793">
              <w:rPr>
                <w:rFonts w:cs="Times New Roman"/>
                <w:szCs w:val="22"/>
              </w:rPr>
              <w:t xml:space="preserve">Commercial Building </w:t>
            </w:r>
            <w:r w:rsidR="00467BC5">
              <w:rPr>
                <w:rFonts w:cs="Times New Roman"/>
                <w:szCs w:val="22"/>
              </w:rPr>
              <w:t>s</w:t>
            </w:r>
            <w:r w:rsidRPr="00866793">
              <w:rPr>
                <w:rFonts w:cs="Times New Roman"/>
                <w:szCs w:val="22"/>
              </w:rPr>
              <w:t>tock serviced by AC</w:t>
            </w:r>
            <w:r w:rsidR="00F85ABE">
              <w:rPr>
                <w:rFonts w:cs="Times New Roman"/>
                <w:szCs w:val="22"/>
              </w:rPr>
              <w:t>:</w:t>
            </w:r>
          </w:p>
        </w:tc>
        <w:tc>
          <w:tcPr>
            <w:tcW w:w="4536" w:type="dxa"/>
            <w:tcBorders>
              <w:top w:val="single" w:sz="4" w:space="0" w:color="000000"/>
            </w:tcBorders>
            <w:vAlign w:val="center"/>
          </w:tcPr>
          <w:p w14:paraId="46B7EEF9" w14:textId="3377DC2B" w:rsidR="00866793" w:rsidRPr="00866793" w:rsidRDefault="00866793" w:rsidP="00866793">
            <w:pPr>
              <w:spacing w:before="60" w:after="60"/>
              <w:jc w:val="left"/>
              <w:rPr>
                <w:rFonts w:cs="Times New Roman"/>
                <w:szCs w:val="22"/>
              </w:rPr>
            </w:pPr>
            <w:r w:rsidRPr="00B51964">
              <w:rPr>
                <w:rFonts w:cs="Times New Roman"/>
                <w:szCs w:val="22"/>
              </w:rPr>
              <w:t>143</w:t>
            </w:r>
            <w:r w:rsidRPr="00866793">
              <w:rPr>
                <w:rFonts w:cs="Times New Roman"/>
                <w:szCs w:val="22"/>
              </w:rPr>
              <w:t xml:space="preserve"> million m</w:t>
            </w:r>
            <w:r w:rsidRPr="00866793">
              <w:rPr>
                <w:rFonts w:cs="Times New Roman"/>
                <w:szCs w:val="22"/>
                <w:vertAlign w:val="superscript"/>
              </w:rPr>
              <w:t>2</w:t>
            </w:r>
          </w:p>
        </w:tc>
      </w:tr>
    </w:tbl>
    <w:p w14:paraId="6DCBE2B8" w14:textId="4092DB80" w:rsidR="00116557" w:rsidRPr="00116557" w:rsidRDefault="00116557" w:rsidP="00116557">
      <w:pPr>
        <w:spacing w:before="0"/>
        <w:rPr>
          <w:sz w:val="20"/>
          <w:szCs w:val="20"/>
        </w:rPr>
      </w:pPr>
      <w:r w:rsidRPr="00116557">
        <w:rPr>
          <w:sz w:val="20"/>
          <w:szCs w:val="20"/>
        </w:rPr>
        <w:t xml:space="preserve">(Sources: </w:t>
      </w:r>
      <w:r>
        <w:rPr>
          <w:sz w:val="20"/>
          <w:szCs w:val="20"/>
        </w:rPr>
        <w:t xml:space="preserve">DSEWPaC 2013a, </w:t>
      </w:r>
      <w:r w:rsidRPr="00116557">
        <w:rPr>
          <w:sz w:val="20"/>
          <w:szCs w:val="20"/>
        </w:rPr>
        <w:t xml:space="preserve">DSEWPaC 2013b, E3 2012, </w:t>
      </w:r>
      <w:r w:rsidR="005B797F" w:rsidRPr="005B797F">
        <w:rPr>
          <w:sz w:val="20"/>
          <w:szCs w:val="20"/>
        </w:rPr>
        <w:t>DCCEE 2012b</w:t>
      </w:r>
      <w:r w:rsidR="005B797F">
        <w:rPr>
          <w:sz w:val="20"/>
          <w:szCs w:val="20"/>
        </w:rPr>
        <w:t>,</w:t>
      </w:r>
      <w:r w:rsidR="005B797F" w:rsidRPr="005B797F">
        <w:rPr>
          <w:sz w:val="20"/>
          <w:szCs w:val="20"/>
        </w:rPr>
        <w:t xml:space="preserve"> </w:t>
      </w:r>
      <w:r w:rsidRPr="00116557">
        <w:rPr>
          <w:sz w:val="20"/>
          <w:szCs w:val="20"/>
        </w:rPr>
        <w:t>DSEWPaC 2011, IEA 2011, E3 2009b, E3 2008a</w:t>
      </w:r>
      <w:r w:rsidR="00A32739">
        <w:rPr>
          <w:sz w:val="20"/>
          <w:szCs w:val="20"/>
        </w:rPr>
        <w:t>, E3 2008b</w:t>
      </w:r>
      <w:r w:rsidRPr="00116557">
        <w:rPr>
          <w:sz w:val="20"/>
          <w:szCs w:val="20"/>
        </w:rPr>
        <w:t xml:space="preserve"> and industry informants)</w:t>
      </w:r>
    </w:p>
    <w:p w14:paraId="2F94CF4C" w14:textId="404C3096" w:rsidR="00866793" w:rsidRDefault="00866793" w:rsidP="00BE3B27">
      <w:pPr>
        <w:rPr>
          <w:szCs w:val="22"/>
        </w:rPr>
      </w:pPr>
    </w:p>
    <w:p w14:paraId="7FEA5C21" w14:textId="77777777" w:rsidR="00C97391" w:rsidRDefault="00C97391">
      <w:pPr>
        <w:spacing w:before="0"/>
        <w:jc w:val="left"/>
        <w:rPr>
          <w:rFonts w:ascii="Calibri" w:eastAsia="Times New Roman" w:hAnsi="Calibri" w:cs="Times New Roman"/>
          <w:b/>
          <w:bCs/>
          <w:i/>
          <w:iCs/>
          <w:sz w:val="28"/>
          <w:szCs w:val="28"/>
          <w:lang w:val="en-US"/>
        </w:rPr>
      </w:pPr>
      <w:r>
        <w:br w:type="page"/>
      </w:r>
    </w:p>
    <w:p w14:paraId="30DE146A" w14:textId="51533378" w:rsidR="00866793" w:rsidRDefault="00C0215F" w:rsidP="007B6646">
      <w:pPr>
        <w:pStyle w:val="Heading2"/>
        <w:ind w:left="567" w:hanging="567"/>
      </w:pPr>
      <w:bookmarkStart w:id="16" w:name="_Toc233084139"/>
      <w:r>
        <w:lastRenderedPageBreak/>
        <w:t xml:space="preserve">Mobile </w:t>
      </w:r>
      <w:r w:rsidR="00866793">
        <w:t>air conditioning</w:t>
      </w:r>
      <w:bookmarkEnd w:id="16"/>
    </w:p>
    <w:p w14:paraId="7055272B" w14:textId="7715F133" w:rsidR="005C3266" w:rsidRPr="005C3266" w:rsidRDefault="005C3266" w:rsidP="005C3266">
      <w:pPr>
        <w:rPr>
          <w:szCs w:val="22"/>
        </w:rPr>
      </w:pPr>
      <w:r w:rsidRPr="005C3266">
        <w:rPr>
          <w:szCs w:val="22"/>
        </w:rPr>
        <w:t xml:space="preserve">Mobile air conditioning includes equipment found in passenger vehicles, light commercial vehicles, buses, trucks, and </w:t>
      </w:r>
      <w:r w:rsidR="00536FFE">
        <w:rPr>
          <w:szCs w:val="22"/>
        </w:rPr>
        <w:t xml:space="preserve">in </w:t>
      </w:r>
      <w:r w:rsidRPr="005C3266">
        <w:rPr>
          <w:szCs w:val="22"/>
        </w:rPr>
        <w:t>a number of un</w:t>
      </w:r>
      <w:r>
        <w:rPr>
          <w:szCs w:val="22"/>
        </w:rPr>
        <w:t xml:space="preserve">registered </w:t>
      </w:r>
      <w:r w:rsidRPr="005C3266">
        <w:rPr>
          <w:szCs w:val="22"/>
        </w:rPr>
        <w:t>and off road applications including locomotives, passenger rail, mining equipment, harvesters, fork</w:t>
      </w:r>
      <w:r w:rsidR="00C4046E">
        <w:rPr>
          <w:szCs w:val="22"/>
        </w:rPr>
        <w:t>lift</w:t>
      </w:r>
      <w:r w:rsidRPr="005C3266">
        <w:rPr>
          <w:szCs w:val="22"/>
        </w:rPr>
        <w:t xml:space="preserve"> trucks, road making vehicles, mobile cranes, military vehicles and earthmoving equipment.</w:t>
      </w:r>
    </w:p>
    <w:p w14:paraId="0DCC92A3" w14:textId="529D0005" w:rsidR="005C3266" w:rsidRPr="005C3266" w:rsidRDefault="005C3266" w:rsidP="005C3266">
      <w:pPr>
        <w:rPr>
          <w:szCs w:val="22"/>
        </w:rPr>
      </w:pPr>
      <w:r w:rsidRPr="005C3266">
        <w:rPr>
          <w:szCs w:val="22"/>
        </w:rPr>
        <w:t xml:space="preserve">The four segments and nine product categories that make up this class contained approximately 21 per cent of the bank of working gases in Australia, or around 9,100 tonnes, in more than </w:t>
      </w:r>
      <w:r w:rsidR="0093777E">
        <w:rPr>
          <w:szCs w:val="22"/>
        </w:rPr>
        <w:t>16 million</w:t>
      </w:r>
      <w:r w:rsidRPr="005C3266">
        <w:rPr>
          <w:szCs w:val="22"/>
        </w:rPr>
        <w:t xml:space="preserve"> vehicles</w:t>
      </w:r>
      <w:r w:rsidR="005D366D">
        <w:rPr>
          <w:szCs w:val="22"/>
        </w:rPr>
        <w:t>. The vehicle fleet also</w:t>
      </w:r>
      <w:r w:rsidRPr="005C3266">
        <w:rPr>
          <w:szCs w:val="22"/>
        </w:rPr>
        <w:t xml:space="preserve"> consumed an estimated </w:t>
      </w:r>
      <w:r w:rsidR="0060544B">
        <w:rPr>
          <w:szCs w:val="22"/>
        </w:rPr>
        <w:t>3</w:t>
      </w:r>
      <w:r w:rsidR="00EC0E17">
        <w:rPr>
          <w:szCs w:val="22"/>
        </w:rPr>
        <w:t>3</w:t>
      </w:r>
      <w:r w:rsidRPr="005C3266">
        <w:rPr>
          <w:szCs w:val="22"/>
        </w:rPr>
        <w:t xml:space="preserve"> per cent (~1,</w:t>
      </w:r>
      <w:r w:rsidR="0060544B">
        <w:rPr>
          <w:szCs w:val="22"/>
        </w:rPr>
        <w:t>04</w:t>
      </w:r>
      <w:r w:rsidR="00EC0E17">
        <w:rPr>
          <w:szCs w:val="22"/>
        </w:rPr>
        <w:t>8</w:t>
      </w:r>
      <w:r w:rsidRPr="005C3266">
        <w:rPr>
          <w:szCs w:val="22"/>
        </w:rPr>
        <w:t xml:space="preserve"> t</w:t>
      </w:r>
      <w:r w:rsidR="00833856">
        <w:rPr>
          <w:szCs w:val="22"/>
        </w:rPr>
        <w:t>onnes</w:t>
      </w:r>
      <w:r w:rsidRPr="005C3266">
        <w:rPr>
          <w:szCs w:val="22"/>
        </w:rPr>
        <w:t xml:space="preserve">) of all bulk HFCs imported into Australia in 2012 to replace leaked gas. </w:t>
      </w:r>
    </w:p>
    <w:p w14:paraId="7C222DFC" w14:textId="4269DF78" w:rsidR="005C3266" w:rsidRDefault="005C3266" w:rsidP="005C3266">
      <w:pPr>
        <w:rPr>
          <w:szCs w:val="22"/>
        </w:rPr>
      </w:pPr>
      <w:r w:rsidRPr="005C3266">
        <w:rPr>
          <w:szCs w:val="22"/>
        </w:rPr>
        <w:t xml:space="preserve">The large majority of </w:t>
      </w:r>
      <w:r w:rsidR="005D366D">
        <w:rPr>
          <w:szCs w:val="22"/>
        </w:rPr>
        <w:t xml:space="preserve">this bulk </w:t>
      </w:r>
      <w:r w:rsidRPr="005C3266">
        <w:rPr>
          <w:szCs w:val="22"/>
        </w:rPr>
        <w:t>gas was consumed servicing air conditioning systems in existing vehicles, which have an estimated leak rate of 10 per cent per annum</w:t>
      </w:r>
      <w:r w:rsidR="005D366D">
        <w:rPr>
          <w:szCs w:val="22"/>
        </w:rPr>
        <w:t>.</w:t>
      </w:r>
      <w:r w:rsidRPr="005C3266">
        <w:rPr>
          <w:szCs w:val="22"/>
        </w:rPr>
        <w:t xml:space="preserve"> </w:t>
      </w:r>
      <w:r w:rsidR="0060544B">
        <w:rPr>
          <w:szCs w:val="22"/>
        </w:rPr>
        <w:t xml:space="preserve">An additional allowance of 1.5 per cent per annum is included for passenger and light commercial vehicles to </w:t>
      </w:r>
      <w:r w:rsidRPr="005C3266">
        <w:rPr>
          <w:szCs w:val="22"/>
        </w:rPr>
        <w:t>replac</w:t>
      </w:r>
      <w:r w:rsidR="00217142">
        <w:rPr>
          <w:szCs w:val="22"/>
        </w:rPr>
        <w:t>e</w:t>
      </w:r>
      <w:r w:rsidRPr="005C3266">
        <w:rPr>
          <w:szCs w:val="22"/>
        </w:rPr>
        <w:t xml:space="preserve"> gas lost from vehicles that had some form of collision or </w:t>
      </w:r>
      <w:r>
        <w:rPr>
          <w:szCs w:val="22"/>
        </w:rPr>
        <w:t xml:space="preserve">catastrophic </w:t>
      </w:r>
      <w:r w:rsidRPr="005C3266">
        <w:rPr>
          <w:szCs w:val="22"/>
        </w:rPr>
        <w:t>failure</w:t>
      </w:r>
      <w:r>
        <w:rPr>
          <w:szCs w:val="22"/>
        </w:rPr>
        <w:t xml:space="preserve"> (i.e. compressor)</w:t>
      </w:r>
      <w:r w:rsidRPr="005C3266">
        <w:rPr>
          <w:szCs w:val="22"/>
        </w:rPr>
        <w:t>.</w:t>
      </w:r>
    </w:p>
    <w:p w14:paraId="1268961B" w14:textId="77777777" w:rsidR="00C97391" w:rsidRPr="005C3266" w:rsidRDefault="00C97391" w:rsidP="005C3266">
      <w:pPr>
        <w:rPr>
          <w:szCs w:val="22"/>
        </w:rPr>
      </w:pPr>
    </w:p>
    <w:p w14:paraId="58D0C485" w14:textId="0C4FFDA7" w:rsidR="00215A1A" w:rsidRPr="00D16B26" w:rsidRDefault="00215A1A" w:rsidP="00215A1A">
      <w:pPr>
        <w:rPr>
          <w:i/>
          <w:szCs w:val="22"/>
        </w:rPr>
      </w:pPr>
      <w:bookmarkStart w:id="17" w:name="_Toc233084050"/>
      <w:r w:rsidRPr="00D16B26">
        <w:rPr>
          <w:i/>
          <w:szCs w:val="22"/>
        </w:rPr>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6</w:t>
      </w:r>
      <w:r w:rsidRPr="00D16B26">
        <w:rPr>
          <w:i/>
          <w:szCs w:val="22"/>
        </w:rPr>
        <w:fldChar w:fldCharType="end"/>
      </w:r>
      <w:r w:rsidRPr="00D16B26">
        <w:rPr>
          <w:i/>
          <w:szCs w:val="22"/>
        </w:rPr>
        <w:t xml:space="preserve">: </w:t>
      </w:r>
      <w:r>
        <w:rPr>
          <w:i/>
          <w:szCs w:val="22"/>
        </w:rPr>
        <w:t xml:space="preserve">Mobile </w:t>
      </w:r>
      <w:r w:rsidR="001B0EF1">
        <w:rPr>
          <w:i/>
          <w:szCs w:val="22"/>
        </w:rPr>
        <w:t>a</w:t>
      </w:r>
      <w:r w:rsidRPr="00866793">
        <w:rPr>
          <w:i/>
          <w:szCs w:val="22"/>
        </w:rPr>
        <w:t xml:space="preserve">ir conditioning </w:t>
      </w:r>
      <w:r w:rsidR="001B0EF1">
        <w:rPr>
          <w:i/>
          <w:szCs w:val="22"/>
        </w:rPr>
        <w:t>t</w:t>
      </w:r>
      <w:r>
        <w:rPr>
          <w:i/>
          <w:szCs w:val="22"/>
        </w:rPr>
        <w:t>axonomy</w:t>
      </w:r>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850"/>
        <w:gridCol w:w="1134"/>
        <w:gridCol w:w="2268"/>
        <w:gridCol w:w="1418"/>
        <w:gridCol w:w="3118"/>
      </w:tblGrid>
      <w:tr w:rsidR="00215A1A" w:rsidRPr="00923150" w14:paraId="3164C284" w14:textId="77777777" w:rsidTr="00F85C28">
        <w:trPr>
          <w:trHeight w:val="684"/>
        </w:trPr>
        <w:tc>
          <w:tcPr>
            <w:tcW w:w="851" w:type="dxa"/>
            <w:tcBorders>
              <w:top w:val="single" w:sz="8" w:space="0" w:color="auto"/>
              <w:left w:val="single" w:sz="8" w:space="0" w:color="auto"/>
              <w:bottom w:val="single" w:sz="4" w:space="0" w:color="000000"/>
              <w:right w:val="single" w:sz="4" w:space="0" w:color="FFFFFF"/>
            </w:tcBorders>
            <w:shd w:val="clear" w:color="auto" w:fill="000000"/>
            <w:vAlign w:val="center"/>
          </w:tcPr>
          <w:p w14:paraId="12A7815F" w14:textId="77777777" w:rsidR="00215A1A" w:rsidRPr="00923150" w:rsidRDefault="00215A1A" w:rsidP="00215A1A">
            <w:pPr>
              <w:spacing w:after="120"/>
            </w:pPr>
            <w:r>
              <w:t>Item</w:t>
            </w:r>
          </w:p>
        </w:tc>
        <w:tc>
          <w:tcPr>
            <w:tcW w:w="850" w:type="dxa"/>
            <w:tcBorders>
              <w:top w:val="single" w:sz="8" w:space="0" w:color="auto"/>
              <w:left w:val="single" w:sz="4" w:space="0" w:color="FFFFFF"/>
              <w:bottom w:val="single" w:sz="4" w:space="0" w:color="000000"/>
              <w:right w:val="single" w:sz="4" w:space="0" w:color="FFFFFF"/>
            </w:tcBorders>
            <w:shd w:val="clear" w:color="auto" w:fill="000000"/>
            <w:vAlign w:val="center"/>
          </w:tcPr>
          <w:p w14:paraId="3F1ACC3D" w14:textId="77777777" w:rsidR="00215A1A" w:rsidRDefault="00215A1A" w:rsidP="00215A1A">
            <w:pPr>
              <w:spacing w:after="120"/>
              <w:jc w:val="center"/>
            </w:pPr>
            <w:r>
              <w:t>Major class</w:t>
            </w:r>
          </w:p>
        </w:tc>
        <w:tc>
          <w:tcPr>
            <w:tcW w:w="3402" w:type="dxa"/>
            <w:gridSpan w:val="2"/>
            <w:tcBorders>
              <w:top w:val="single" w:sz="8" w:space="0" w:color="auto"/>
              <w:left w:val="single" w:sz="4" w:space="0" w:color="FFFFFF"/>
              <w:bottom w:val="single" w:sz="4" w:space="0" w:color="000000"/>
              <w:right w:val="single" w:sz="4" w:space="0" w:color="FFFFFF"/>
            </w:tcBorders>
            <w:shd w:val="clear" w:color="auto" w:fill="000000"/>
            <w:vAlign w:val="center"/>
          </w:tcPr>
          <w:p w14:paraId="021A18E1" w14:textId="77777777" w:rsidR="00215A1A" w:rsidRDefault="00215A1A" w:rsidP="00215A1A">
            <w:pPr>
              <w:spacing w:after="120"/>
              <w:jc w:val="center"/>
            </w:pPr>
            <w:r>
              <w:t>Segments (application/product)</w:t>
            </w:r>
          </w:p>
        </w:tc>
        <w:tc>
          <w:tcPr>
            <w:tcW w:w="4536" w:type="dxa"/>
            <w:gridSpan w:val="2"/>
            <w:tcBorders>
              <w:top w:val="single" w:sz="8" w:space="0" w:color="auto"/>
              <w:left w:val="single" w:sz="4" w:space="0" w:color="FFFFFF"/>
              <w:bottom w:val="single" w:sz="4" w:space="0" w:color="000000"/>
              <w:right w:val="single" w:sz="8" w:space="0" w:color="auto"/>
            </w:tcBorders>
            <w:shd w:val="clear" w:color="auto" w:fill="000000"/>
            <w:vAlign w:val="center"/>
          </w:tcPr>
          <w:p w14:paraId="3E39259D" w14:textId="77777777" w:rsidR="00215A1A" w:rsidRPr="00923150" w:rsidRDefault="00215A1A" w:rsidP="00215A1A">
            <w:pPr>
              <w:spacing w:after="120"/>
              <w:jc w:val="center"/>
            </w:pPr>
            <w:r>
              <w:t>Product/equipment categories</w:t>
            </w:r>
          </w:p>
        </w:tc>
      </w:tr>
      <w:tr w:rsidR="00215A1A" w:rsidRPr="00923150" w14:paraId="7D83CA8C" w14:textId="77777777" w:rsidTr="00215A1A">
        <w:trPr>
          <w:trHeight w:val="456"/>
        </w:trPr>
        <w:tc>
          <w:tcPr>
            <w:tcW w:w="9639" w:type="dxa"/>
            <w:gridSpan w:val="6"/>
            <w:tcBorders>
              <w:top w:val="single" w:sz="4" w:space="0" w:color="000000"/>
            </w:tcBorders>
            <w:shd w:val="clear" w:color="auto" w:fill="CCFFFF"/>
            <w:vAlign w:val="center"/>
          </w:tcPr>
          <w:p w14:paraId="6F1E6E8B" w14:textId="77777777" w:rsidR="00215A1A" w:rsidRPr="00923150" w:rsidRDefault="00215A1A" w:rsidP="00215A1A">
            <w:pPr>
              <w:spacing w:before="60" w:after="60"/>
              <w:jc w:val="center"/>
              <w:rPr>
                <w:sz w:val="20"/>
              </w:rPr>
            </w:pPr>
            <w:r>
              <w:rPr>
                <w:sz w:val="20"/>
              </w:rPr>
              <w:t>MOBILE AIR CONDITIONING</w:t>
            </w:r>
          </w:p>
        </w:tc>
      </w:tr>
      <w:tr w:rsidR="00215A1A" w14:paraId="032E740D" w14:textId="77777777" w:rsidTr="00215A1A">
        <w:trPr>
          <w:trHeight w:val="456"/>
        </w:trPr>
        <w:tc>
          <w:tcPr>
            <w:tcW w:w="851" w:type="dxa"/>
          </w:tcPr>
          <w:p w14:paraId="43FE4708" w14:textId="77777777" w:rsidR="00215A1A" w:rsidRDefault="00215A1A" w:rsidP="00215A1A">
            <w:pPr>
              <w:spacing w:before="60" w:after="60"/>
              <w:ind w:left="284" w:hanging="250"/>
              <w:jc w:val="center"/>
              <w:rPr>
                <w:sz w:val="20"/>
              </w:rPr>
            </w:pPr>
            <w:r w:rsidRPr="00A035BA">
              <w:t>16</w:t>
            </w:r>
          </w:p>
        </w:tc>
        <w:tc>
          <w:tcPr>
            <w:tcW w:w="850" w:type="dxa"/>
            <w:vMerge w:val="restart"/>
            <w:textDirection w:val="btLr"/>
            <w:vAlign w:val="center"/>
          </w:tcPr>
          <w:p w14:paraId="0CF7E696" w14:textId="77777777" w:rsidR="00215A1A" w:rsidRDefault="00215A1A" w:rsidP="00215A1A">
            <w:pPr>
              <w:spacing w:before="60" w:after="60"/>
              <w:ind w:left="113" w:right="113"/>
              <w:jc w:val="center"/>
              <w:rPr>
                <w:sz w:val="20"/>
              </w:rPr>
            </w:pPr>
            <w:r w:rsidRPr="00A035BA">
              <w:t>Mobile air conditioning</w:t>
            </w:r>
            <w:r>
              <w:t xml:space="preserve"> (MAC)</w:t>
            </w:r>
          </w:p>
        </w:tc>
        <w:tc>
          <w:tcPr>
            <w:tcW w:w="1134" w:type="dxa"/>
          </w:tcPr>
          <w:p w14:paraId="1D55B274" w14:textId="77777777" w:rsidR="00215A1A" w:rsidRDefault="00215A1A" w:rsidP="00215A1A">
            <w:pPr>
              <w:spacing w:before="60" w:after="60"/>
              <w:jc w:val="center"/>
              <w:rPr>
                <w:sz w:val="20"/>
              </w:rPr>
            </w:pPr>
            <w:r w:rsidRPr="00A035BA">
              <w:t>MAC1</w:t>
            </w:r>
          </w:p>
        </w:tc>
        <w:tc>
          <w:tcPr>
            <w:tcW w:w="2268" w:type="dxa"/>
          </w:tcPr>
          <w:p w14:paraId="7BABDB30" w14:textId="77777777" w:rsidR="00215A1A" w:rsidRDefault="00215A1A" w:rsidP="00215A1A">
            <w:pPr>
              <w:spacing w:before="60" w:after="60"/>
              <w:jc w:val="left"/>
              <w:rPr>
                <w:sz w:val="20"/>
              </w:rPr>
            </w:pPr>
            <w:r w:rsidRPr="00A035BA">
              <w:t>Registered vehicles &lt;3.5 GMV</w:t>
            </w:r>
          </w:p>
        </w:tc>
        <w:tc>
          <w:tcPr>
            <w:tcW w:w="1418" w:type="dxa"/>
          </w:tcPr>
          <w:p w14:paraId="0B04B27B" w14:textId="77777777" w:rsidR="00215A1A" w:rsidRDefault="00215A1A" w:rsidP="00215A1A">
            <w:pPr>
              <w:spacing w:before="60" w:after="60"/>
              <w:jc w:val="center"/>
              <w:rPr>
                <w:sz w:val="20"/>
              </w:rPr>
            </w:pPr>
            <w:r w:rsidRPr="00A035BA">
              <w:t>MAC1-1</w:t>
            </w:r>
          </w:p>
        </w:tc>
        <w:tc>
          <w:tcPr>
            <w:tcW w:w="3118" w:type="dxa"/>
          </w:tcPr>
          <w:p w14:paraId="4E3FDDD8" w14:textId="77777777" w:rsidR="00215A1A" w:rsidRDefault="00215A1A" w:rsidP="00215A1A">
            <w:pPr>
              <w:spacing w:before="60" w:after="60"/>
              <w:jc w:val="left"/>
              <w:rPr>
                <w:sz w:val="20"/>
              </w:rPr>
            </w:pPr>
            <w:r w:rsidRPr="00A035BA">
              <w:t>Passenger vehicles</w:t>
            </w:r>
          </w:p>
        </w:tc>
      </w:tr>
      <w:tr w:rsidR="00215A1A" w14:paraId="58CC812F" w14:textId="77777777" w:rsidTr="00215A1A">
        <w:trPr>
          <w:trHeight w:val="456"/>
        </w:trPr>
        <w:tc>
          <w:tcPr>
            <w:tcW w:w="851" w:type="dxa"/>
          </w:tcPr>
          <w:p w14:paraId="2826BC43" w14:textId="77777777" w:rsidR="00215A1A" w:rsidRDefault="00215A1A" w:rsidP="00215A1A">
            <w:pPr>
              <w:spacing w:before="60" w:after="60"/>
              <w:ind w:left="284" w:hanging="250"/>
              <w:jc w:val="center"/>
              <w:rPr>
                <w:sz w:val="20"/>
              </w:rPr>
            </w:pPr>
            <w:r w:rsidRPr="00A035BA">
              <w:t>17</w:t>
            </w:r>
          </w:p>
        </w:tc>
        <w:tc>
          <w:tcPr>
            <w:tcW w:w="850" w:type="dxa"/>
            <w:vMerge/>
          </w:tcPr>
          <w:p w14:paraId="71113041" w14:textId="77777777" w:rsidR="00215A1A" w:rsidRDefault="00215A1A" w:rsidP="00215A1A">
            <w:pPr>
              <w:spacing w:before="60" w:after="60"/>
              <w:jc w:val="center"/>
              <w:rPr>
                <w:sz w:val="20"/>
              </w:rPr>
            </w:pPr>
          </w:p>
        </w:tc>
        <w:tc>
          <w:tcPr>
            <w:tcW w:w="1134" w:type="dxa"/>
          </w:tcPr>
          <w:p w14:paraId="3B751D42" w14:textId="77777777" w:rsidR="00215A1A" w:rsidRDefault="00215A1A" w:rsidP="00215A1A">
            <w:pPr>
              <w:spacing w:before="60" w:after="60"/>
              <w:jc w:val="center"/>
              <w:rPr>
                <w:sz w:val="20"/>
              </w:rPr>
            </w:pPr>
            <w:r w:rsidRPr="00A035BA">
              <w:t>MAC1</w:t>
            </w:r>
          </w:p>
        </w:tc>
        <w:tc>
          <w:tcPr>
            <w:tcW w:w="2268" w:type="dxa"/>
          </w:tcPr>
          <w:p w14:paraId="16F03955" w14:textId="77777777" w:rsidR="00215A1A" w:rsidRDefault="00215A1A" w:rsidP="00215A1A">
            <w:pPr>
              <w:spacing w:before="60" w:after="60"/>
              <w:jc w:val="left"/>
              <w:rPr>
                <w:sz w:val="20"/>
              </w:rPr>
            </w:pPr>
            <w:r w:rsidRPr="00A035BA">
              <w:t>Registered vehicles &lt;3.5 GMV</w:t>
            </w:r>
          </w:p>
        </w:tc>
        <w:tc>
          <w:tcPr>
            <w:tcW w:w="1418" w:type="dxa"/>
          </w:tcPr>
          <w:p w14:paraId="18D428E1" w14:textId="77777777" w:rsidR="00215A1A" w:rsidRDefault="00215A1A" w:rsidP="00215A1A">
            <w:pPr>
              <w:spacing w:before="60" w:after="60"/>
              <w:jc w:val="center"/>
              <w:rPr>
                <w:sz w:val="20"/>
              </w:rPr>
            </w:pPr>
            <w:r w:rsidRPr="00A035BA">
              <w:t>MAC1-2</w:t>
            </w:r>
          </w:p>
        </w:tc>
        <w:tc>
          <w:tcPr>
            <w:tcW w:w="3118" w:type="dxa"/>
          </w:tcPr>
          <w:p w14:paraId="1E30FFA8" w14:textId="77777777" w:rsidR="00215A1A" w:rsidRDefault="00215A1A" w:rsidP="00215A1A">
            <w:pPr>
              <w:spacing w:before="60" w:after="60"/>
              <w:jc w:val="left"/>
              <w:rPr>
                <w:sz w:val="20"/>
              </w:rPr>
            </w:pPr>
            <w:r w:rsidRPr="00A035BA">
              <w:t>Light commercial vehicles</w:t>
            </w:r>
          </w:p>
        </w:tc>
      </w:tr>
      <w:tr w:rsidR="00215A1A" w14:paraId="3B690453" w14:textId="77777777" w:rsidTr="00215A1A">
        <w:trPr>
          <w:trHeight w:val="456"/>
        </w:trPr>
        <w:tc>
          <w:tcPr>
            <w:tcW w:w="851" w:type="dxa"/>
          </w:tcPr>
          <w:p w14:paraId="3884C7E9" w14:textId="77777777" w:rsidR="00215A1A" w:rsidRDefault="00215A1A" w:rsidP="00215A1A">
            <w:pPr>
              <w:spacing w:before="60" w:after="60"/>
              <w:ind w:left="284" w:hanging="250"/>
              <w:jc w:val="center"/>
              <w:rPr>
                <w:sz w:val="20"/>
              </w:rPr>
            </w:pPr>
            <w:r w:rsidRPr="00A035BA">
              <w:t>18</w:t>
            </w:r>
          </w:p>
        </w:tc>
        <w:tc>
          <w:tcPr>
            <w:tcW w:w="850" w:type="dxa"/>
            <w:vMerge/>
          </w:tcPr>
          <w:p w14:paraId="58F5F555" w14:textId="77777777" w:rsidR="00215A1A" w:rsidRDefault="00215A1A" w:rsidP="00215A1A">
            <w:pPr>
              <w:spacing w:before="60" w:after="60"/>
              <w:jc w:val="center"/>
              <w:rPr>
                <w:sz w:val="20"/>
              </w:rPr>
            </w:pPr>
          </w:p>
        </w:tc>
        <w:tc>
          <w:tcPr>
            <w:tcW w:w="1134" w:type="dxa"/>
          </w:tcPr>
          <w:p w14:paraId="6ED1A6DA" w14:textId="77777777" w:rsidR="00215A1A" w:rsidRDefault="00215A1A" w:rsidP="00215A1A">
            <w:pPr>
              <w:spacing w:before="60" w:after="60"/>
              <w:jc w:val="center"/>
              <w:rPr>
                <w:sz w:val="20"/>
              </w:rPr>
            </w:pPr>
            <w:r w:rsidRPr="00A035BA">
              <w:t>MAC2</w:t>
            </w:r>
          </w:p>
        </w:tc>
        <w:tc>
          <w:tcPr>
            <w:tcW w:w="2268" w:type="dxa"/>
          </w:tcPr>
          <w:p w14:paraId="7BFAE563" w14:textId="77777777" w:rsidR="00215A1A" w:rsidRDefault="00215A1A" w:rsidP="00215A1A">
            <w:pPr>
              <w:spacing w:before="60" w:after="60"/>
              <w:jc w:val="left"/>
              <w:rPr>
                <w:sz w:val="20"/>
              </w:rPr>
            </w:pPr>
            <w:r w:rsidRPr="00A035BA">
              <w:t>Registered vehicles ≥3.5 GMV</w:t>
            </w:r>
          </w:p>
        </w:tc>
        <w:tc>
          <w:tcPr>
            <w:tcW w:w="1418" w:type="dxa"/>
          </w:tcPr>
          <w:p w14:paraId="633F1241" w14:textId="77777777" w:rsidR="00215A1A" w:rsidRDefault="00215A1A" w:rsidP="00215A1A">
            <w:pPr>
              <w:spacing w:before="60" w:after="60"/>
              <w:jc w:val="center"/>
              <w:rPr>
                <w:sz w:val="20"/>
              </w:rPr>
            </w:pPr>
            <w:r w:rsidRPr="00A035BA">
              <w:t>MAC2-1</w:t>
            </w:r>
          </w:p>
        </w:tc>
        <w:tc>
          <w:tcPr>
            <w:tcW w:w="3118" w:type="dxa"/>
          </w:tcPr>
          <w:p w14:paraId="05AC3B3B" w14:textId="77777777" w:rsidR="00215A1A" w:rsidRDefault="00215A1A" w:rsidP="00215A1A">
            <w:pPr>
              <w:spacing w:before="60" w:after="60"/>
              <w:jc w:val="left"/>
              <w:rPr>
                <w:sz w:val="20"/>
              </w:rPr>
            </w:pPr>
            <w:r w:rsidRPr="00A035BA">
              <w:t>Rigid truck and other</w:t>
            </w:r>
          </w:p>
        </w:tc>
      </w:tr>
      <w:tr w:rsidR="00215A1A" w14:paraId="25AE844C" w14:textId="77777777" w:rsidTr="00215A1A">
        <w:trPr>
          <w:trHeight w:val="456"/>
        </w:trPr>
        <w:tc>
          <w:tcPr>
            <w:tcW w:w="851" w:type="dxa"/>
          </w:tcPr>
          <w:p w14:paraId="46D7BF57" w14:textId="77777777" w:rsidR="00215A1A" w:rsidRDefault="00215A1A" w:rsidP="00215A1A">
            <w:pPr>
              <w:spacing w:before="60" w:after="60"/>
              <w:ind w:left="284" w:hanging="250"/>
              <w:jc w:val="center"/>
              <w:rPr>
                <w:sz w:val="20"/>
              </w:rPr>
            </w:pPr>
            <w:r w:rsidRPr="00A035BA">
              <w:t>19</w:t>
            </w:r>
          </w:p>
        </w:tc>
        <w:tc>
          <w:tcPr>
            <w:tcW w:w="850" w:type="dxa"/>
            <w:vMerge/>
          </w:tcPr>
          <w:p w14:paraId="5DD4489E" w14:textId="77777777" w:rsidR="00215A1A" w:rsidRDefault="00215A1A" w:rsidP="00215A1A">
            <w:pPr>
              <w:spacing w:before="60" w:after="60"/>
              <w:jc w:val="center"/>
              <w:rPr>
                <w:sz w:val="20"/>
              </w:rPr>
            </w:pPr>
          </w:p>
        </w:tc>
        <w:tc>
          <w:tcPr>
            <w:tcW w:w="1134" w:type="dxa"/>
          </w:tcPr>
          <w:p w14:paraId="33F2B156" w14:textId="77777777" w:rsidR="00215A1A" w:rsidRDefault="00215A1A" w:rsidP="00215A1A">
            <w:pPr>
              <w:spacing w:before="60" w:after="60"/>
              <w:jc w:val="center"/>
              <w:rPr>
                <w:sz w:val="20"/>
              </w:rPr>
            </w:pPr>
            <w:r w:rsidRPr="00A035BA">
              <w:t>MAC2</w:t>
            </w:r>
          </w:p>
        </w:tc>
        <w:tc>
          <w:tcPr>
            <w:tcW w:w="2268" w:type="dxa"/>
          </w:tcPr>
          <w:p w14:paraId="008A0537" w14:textId="77777777" w:rsidR="00215A1A" w:rsidRDefault="00215A1A" w:rsidP="00215A1A">
            <w:pPr>
              <w:spacing w:before="60" w:after="60"/>
              <w:jc w:val="left"/>
              <w:rPr>
                <w:sz w:val="20"/>
              </w:rPr>
            </w:pPr>
            <w:r w:rsidRPr="00A035BA">
              <w:t>Registered vehicles ≥3.5 GMV</w:t>
            </w:r>
          </w:p>
        </w:tc>
        <w:tc>
          <w:tcPr>
            <w:tcW w:w="1418" w:type="dxa"/>
          </w:tcPr>
          <w:p w14:paraId="49F6C1B5" w14:textId="77777777" w:rsidR="00215A1A" w:rsidRDefault="00215A1A" w:rsidP="00215A1A">
            <w:pPr>
              <w:spacing w:before="60" w:after="60"/>
              <w:jc w:val="center"/>
              <w:rPr>
                <w:sz w:val="20"/>
              </w:rPr>
            </w:pPr>
            <w:r w:rsidRPr="00A035BA">
              <w:t>MAC2-2</w:t>
            </w:r>
          </w:p>
        </w:tc>
        <w:tc>
          <w:tcPr>
            <w:tcW w:w="3118" w:type="dxa"/>
          </w:tcPr>
          <w:p w14:paraId="1A721579" w14:textId="77777777" w:rsidR="00215A1A" w:rsidRDefault="00215A1A" w:rsidP="00215A1A">
            <w:pPr>
              <w:spacing w:before="60" w:after="60"/>
              <w:jc w:val="left"/>
              <w:rPr>
                <w:sz w:val="20"/>
              </w:rPr>
            </w:pPr>
            <w:r w:rsidRPr="00A035BA">
              <w:t>Truck: articulated</w:t>
            </w:r>
          </w:p>
        </w:tc>
      </w:tr>
      <w:tr w:rsidR="00215A1A" w14:paraId="07EC6C7E" w14:textId="77777777" w:rsidTr="00215A1A">
        <w:trPr>
          <w:trHeight w:val="456"/>
        </w:trPr>
        <w:tc>
          <w:tcPr>
            <w:tcW w:w="851" w:type="dxa"/>
          </w:tcPr>
          <w:p w14:paraId="33161A12" w14:textId="77777777" w:rsidR="00215A1A" w:rsidRDefault="00215A1A" w:rsidP="00215A1A">
            <w:pPr>
              <w:spacing w:before="60" w:after="60"/>
              <w:ind w:left="284" w:hanging="250"/>
              <w:jc w:val="center"/>
              <w:rPr>
                <w:sz w:val="20"/>
              </w:rPr>
            </w:pPr>
            <w:r w:rsidRPr="00A035BA">
              <w:t>20</w:t>
            </w:r>
          </w:p>
        </w:tc>
        <w:tc>
          <w:tcPr>
            <w:tcW w:w="850" w:type="dxa"/>
            <w:vMerge/>
          </w:tcPr>
          <w:p w14:paraId="71F302CC" w14:textId="77777777" w:rsidR="00215A1A" w:rsidRDefault="00215A1A" w:rsidP="00215A1A">
            <w:pPr>
              <w:spacing w:before="60" w:after="60"/>
              <w:jc w:val="center"/>
              <w:rPr>
                <w:sz w:val="20"/>
              </w:rPr>
            </w:pPr>
          </w:p>
        </w:tc>
        <w:tc>
          <w:tcPr>
            <w:tcW w:w="1134" w:type="dxa"/>
          </w:tcPr>
          <w:p w14:paraId="12BF3948" w14:textId="77777777" w:rsidR="00215A1A" w:rsidRDefault="00215A1A" w:rsidP="00215A1A">
            <w:pPr>
              <w:spacing w:before="60" w:after="60"/>
              <w:jc w:val="center"/>
              <w:rPr>
                <w:sz w:val="20"/>
              </w:rPr>
            </w:pPr>
            <w:r w:rsidRPr="00A035BA">
              <w:t>MAC2</w:t>
            </w:r>
          </w:p>
        </w:tc>
        <w:tc>
          <w:tcPr>
            <w:tcW w:w="2268" w:type="dxa"/>
          </w:tcPr>
          <w:p w14:paraId="4D054BA8" w14:textId="77777777" w:rsidR="00215A1A" w:rsidRDefault="00215A1A" w:rsidP="00215A1A">
            <w:pPr>
              <w:spacing w:before="60" w:after="60"/>
              <w:jc w:val="left"/>
              <w:rPr>
                <w:sz w:val="20"/>
              </w:rPr>
            </w:pPr>
            <w:r w:rsidRPr="00A035BA">
              <w:t>Registered vehicles ≥3.5 GMV</w:t>
            </w:r>
          </w:p>
        </w:tc>
        <w:tc>
          <w:tcPr>
            <w:tcW w:w="1418" w:type="dxa"/>
          </w:tcPr>
          <w:p w14:paraId="5F345754" w14:textId="77777777" w:rsidR="00215A1A" w:rsidRDefault="00215A1A" w:rsidP="00215A1A">
            <w:pPr>
              <w:spacing w:before="60" w:after="60"/>
              <w:jc w:val="center"/>
              <w:rPr>
                <w:sz w:val="20"/>
              </w:rPr>
            </w:pPr>
            <w:r w:rsidRPr="00A035BA">
              <w:t>MAC2-3</w:t>
            </w:r>
          </w:p>
        </w:tc>
        <w:tc>
          <w:tcPr>
            <w:tcW w:w="3118" w:type="dxa"/>
          </w:tcPr>
          <w:p w14:paraId="76070F8C" w14:textId="77777777" w:rsidR="00215A1A" w:rsidRDefault="00215A1A" w:rsidP="00215A1A">
            <w:pPr>
              <w:spacing w:before="60" w:after="60"/>
              <w:jc w:val="left"/>
              <w:rPr>
                <w:sz w:val="20"/>
              </w:rPr>
            </w:pPr>
            <w:r w:rsidRPr="00A035BA">
              <w:t>Commuter buses</w:t>
            </w:r>
          </w:p>
        </w:tc>
      </w:tr>
      <w:tr w:rsidR="00215A1A" w14:paraId="5F78C5D8" w14:textId="77777777" w:rsidTr="00215A1A">
        <w:trPr>
          <w:trHeight w:val="456"/>
        </w:trPr>
        <w:tc>
          <w:tcPr>
            <w:tcW w:w="851" w:type="dxa"/>
          </w:tcPr>
          <w:p w14:paraId="140AD05A" w14:textId="77777777" w:rsidR="00215A1A" w:rsidRDefault="00215A1A" w:rsidP="00215A1A">
            <w:pPr>
              <w:spacing w:before="60" w:after="60"/>
              <w:ind w:left="284" w:hanging="250"/>
              <w:jc w:val="center"/>
              <w:rPr>
                <w:sz w:val="20"/>
              </w:rPr>
            </w:pPr>
            <w:r w:rsidRPr="00A035BA">
              <w:t>21</w:t>
            </w:r>
          </w:p>
        </w:tc>
        <w:tc>
          <w:tcPr>
            <w:tcW w:w="850" w:type="dxa"/>
            <w:vMerge/>
          </w:tcPr>
          <w:p w14:paraId="7DE7D778" w14:textId="77777777" w:rsidR="00215A1A" w:rsidRDefault="00215A1A" w:rsidP="00215A1A">
            <w:pPr>
              <w:spacing w:before="60" w:after="60"/>
              <w:jc w:val="center"/>
              <w:rPr>
                <w:sz w:val="20"/>
              </w:rPr>
            </w:pPr>
          </w:p>
        </w:tc>
        <w:tc>
          <w:tcPr>
            <w:tcW w:w="1134" w:type="dxa"/>
          </w:tcPr>
          <w:p w14:paraId="42422170" w14:textId="77777777" w:rsidR="00215A1A" w:rsidRDefault="00215A1A" w:rsidP="00215A1A">
            <w:pPr>
              <w:spacing w:before="60" w:after="60"/>
              <w:jc w:val="center"/>
              <w:rPr>
                <w:sz w:val="20"/>
              </w:rPr>
            </w:pPr>
            <w:r w:rsidRPr="00A035BA">
              <w:t>MAC2</w:t>
            </w:r>
          </w:p>
        </w:tc>
        <w:tc>
          <w:tcPr>
            <w:tcW w:w="2268" w:type="dxa"/>
          </w:tcPr>
          <w:p w14:paraId="7E098F7D" w14:textId="77777777" w:rsidR="00215A1A" w:rsidRDefault="00215A1A" w:rsidP="00215A1A">
            <w:pPr>
              <w:spacing w:before="60" w:after="60"/>
              <w:jc w:val="left"/>
              <w:rPr>
                <w:sz w:val="20"/>
              </w:rPr>
            </w:pPr>
            <w:r w:rsidRPr="00A035BA">
              <w:t>Registered vehicles ≥3.5 GMV</w:t>
            </w:r>
          </w:p>
        </w:tc>
        <w:tc>
          <w:tcPr>
            <w:tcW w:w="1418" w:type="dxa"/>
          </w:tcPr>
          <w:p w14:paraId="4FD2AB64" w14:textId="77777777" w:rsidR="00215A1A" w:rsidRDefault="00215A1A" w:rsidP="00215A1A">
            <w:pPr>
              <w:spacing w:before="60" w:after="60"/>
              <w:jc w:val="center"/>
              <w:rPr>
                <w:sz w:val="20"/>
              </w:rPr>
            </w:pPr>
            <w:r w:rsidRPr="00A035BA">
              <w:t>MAC2-4</w:t>
            </w:r>
          </w:p>
        </w:tc>
        <w:tc>
          <w:tcPr>
            <w:tcW w:w="3118" w:type="dxa"/>
          </w:tcPr>
          <w:p w14:paraId="6005F444" w14:textId="77777777" w:rsidR="00215A1A" w:rsidRDefault="00215A1A" w:rsidP="00215A1A">
            <w:pPr>
              <w:spacing w:before="60" w:after="60"/>
              <w:jc w:val="left"/>
              <w:rPr>
                <w:sz w:val="20"/>
              </w:rPr>
            </w:pPr>
            <w:r w:rsidRPr="00A035BA">
              <w:t>Buses (&gt; 7m)</w:t>
            </w:r>
          </w:p>
        </w:tc>
      </w:tr>
      <w:tr w:rsidR="00215A1A" w14:paraId="253E76E5" w14:textId="77777777" w:rsidTr="00215A1A">
        <w:trPr>
          <w:trHeight w:val="456"/>
        </w:trPr>
        <w:tc>
          <w:tcPr>
            <w:tcW w:w="851" w:type="dxa"/>
          </w:tcPr>
          <w:p w14:paraId="374AD3F3" w14:textId="77777777" w:rsidR="00215A1A" w:rsidRDefault="00215A1A" w:rsidP="00215A1A">
            <w:pPr>
              <w:spacing w:before="60" w:after="60"/>
              <w:ind w:left="284" w:hanging="250"/>
              <w:jc w:val="center"/>
              <w:rPr>
                <w:sz w:val="20"/>
              </w:rPr>
            </w:pPr>
            <w:r w:rsidRPr="00A035BA">
              <w:t>22</w:t>
            </w:r>
          </w:p>
        </w:tc>
        <w:tc>
          <w:tcPr>
            <w:tcW w:w="850" w:type="dxa"/>
            <w:vMerge/>
          </w:tcPr>
          <w:p w14:paraId="4CB1DB02" w14:textId="77777777" w:rsidR="00215A1A" w:rsidRDefault="00215A1A" w:rsidP="00215A1A">
            <w:pPr>
              <w:spacing w:before="60" w:after="60"/>
              <w:jc w:val="center"/>
              <w:rPr>
                <w:sz w:val="20"/>
              </w:rPr>
            </w:pPr>
          </w:p>
        </w:tc>
        <w:tc>
          <w:tcPr>
            <w:tcW w:w="1134" w:type="dxa"/>
          </w:tcPr>
          <w:p w14:paraId="5E2BAB60" w14:textId="77777777" w:rsidR="00215A1A" w:rsidRDefault="00215A1A" w:rsidP="00215A1A">
            <w:pPr>
              <w:spacing w:before="60" w:after="60"/>
              <w:jc w:val="center"/>
              <w:rPr>
                <w:sz w:val="20"/>
              </w:rPr>
            </w:pPr>
            <w:r w:rsidRPr="00A035BA">
              <w:t>MAC3</w:t>
            </w:r>
          </w:p>
        </w:tc>
        <w:tc>
          <w:tcPr>
            <w:tcW w:w="2268" w:type="dxa"/>
          </w:tcPr>
          <w:p w14:paraId="4C5A5EEF" w14:textId="77777777" w:rsidR="00215A1A" w:rsidRDefault="00215A1A" w:rsidP="00215A1A">
            <w:pPr>
              <w:spacing w:before="60" w:after="60"/>
              <w:jc w:val="left"/>
              <w:rPr>
                <w:sz w:val="20"/>
              </w:rPr>
            </w:pPr>
            <w:r w:rsidRPr="00A035BA">
              <w:t>Rail</w:t>
            </w:r>
          </w:p>
        </w:tc>
        <w:tc>
          <w:tcPr>
            <w:tcW w:w="1418" w:type="dxa"/>
          </w:tcPr>
          <w:p w14:paraId="41F8E797" w14:textId="77777777" w:rsidR="00215A1A" w:rsidRDefault="00215A1A" w:rsidP="00215A1A">
            <w:pPr>
              <w:spacing w:before="60" w:after="60"/>
              <w:jc w:val="center"/>
              <w:rPr>
                <w:sz w:val="20"/>
              </w:rPr>
            </w:pPr>
            <w:r w:rsidRPr="00A035BA">
              <w:t>MAC3-1</w:t>
            </w:r>
          </w:p>
        </w:tc>
        <w:tc>
          <w:tcPr>
            <w:tcW w:w="3118" w:type="dxa"/>
          </w:tcPr>
          <w:p w14:paraId="04D973DC" w14:textId="77777777" w:rsidR="00215A1A" w:rsidRDefault="00215A1A" w:rsidP="00215A1A">
            <w:pPr>
              <w:spacing w:before="60" w:after="60"/>
              <w:jc w:val="left"/>
              <w:rPr>
                <w:sz w:val="20"/>
              </w:rPr>
            </w:pPr>
            <w:r w:rsidRPr="00A035BA">
              <w:t xml:space="preserve">Passenger rail </w:t>
            </w:r>
          </w:p>
        </w:tc>
      </w:tr>
      <w:tr w:rsidR="00215A1A" w14:paraId="4E099129" w14:textId="77777777" w:rsidTr="00215A1A">
        <w:trPr>
          <w:trHeight w:val="456"/>
        </w:trPr>
        <w:tc>
          <w:tcPr>
            <w:tcW w:w="851" w:type="dxa"/>
          </w:tcPr>
          <w:p w14:paraId="6863FCF7" w14:textId="77777777" w:rsidR="00215A1A" w:rsidRDefault="00215A1A" w:rsidP="00215A1A">
            <w:pPr>
              <w:spacing w:before="60" w:after="60"/>
              <w:ind w:left="284" w:hanging="250"/>
              <w:jc w:val="center"/>
              <w:rPr>
                <w:sz w:val="20"/>
              </w:rPr>
            </w:pPr>
            <w:r w:rsidRPr="00A035BA">
              <w:t>23</w:t>
            </w:r>
          </w:p>
        </w:tc>
        <w:tc>
          <w:tcPr>
            <w:tcW w:w="850" w:type="dxa"/>
            <w:vMerge/>
          </w:tcPr>
          <w:p w14:paraId="5EEC7E66" w14:textId="77777777" w:rsidR="00215A1A" w:rsidRDefault="00215A1A" w:rsidP="00215A1A">
            <w:pPr>
              <w:spacing w:before="60" w:after="60"/>
              <w:jc w:val="center"/>
              <w:rPr>
                <w:sz w:val="20"/>
              </w:rPr>
            </w:pPr>
          </w:p>
        </w:tc>
        <w:tc>
          <w:tcPr>
            <w:tcW w:w="1134" w:type="dxa"/>
          </w:tcPr>
          <w:p w14:paraId="31B9F3C2" w14:textId="77777777" w:rsidR="00215A1A" w:rsidRDefault="00215A1A" w:rsidP="00215A1A">
            <w:pPr>
              <w:spacing w:before="60" w:after="60"/>
              <w:jc w:val="center"/>
              <w:rPr>
                <w:sz w:val="20"/>
              </w:rPr>
            </w:pPr>
            <w:r w:rsidRPr="00A035BA">
              <w:t>MAC3</w:t>
            </w:r>
          </w:p>
        </w:tc>
        <w:tc>
          <w:tcPr>
            <w:tcW w:w="2268" w:type="dxa"/>
          </w:tcPr>
          <w:p w14:paraId="45C9381C" w14:textId="77777777" w:rsidR="00215A1A" w:rsidRDefault="00215A1A" w:rsidP="00215A1A">
            <w:pPr>
              <w:spacing w:before="60" w:after="60"/>
              <w:jc w:val="left"/>
              <w:rPr>
                <w:sz w:val="20"/>
              </w:rPr>
            </w:pPr>
            <w:r w:rsidRPr="00A035BA">
              <w:t>Rail</w:t>
            </w:r>
          </w:p>
        </w:tc>
        <w:tc>
          <w:tcPr>
            <w:tcW w:w="1418" w:type="dxa"/>
          </w:tcPr>
          <w:p w14:paraId="537A73D2" w14:textId="77777777" w:rsidR="00215A1A" w:rsidRDefault="00215A1A" w:rsidP="00215A1A">
            <w:pPr>
              <w:spacing w:before="60" w:after="60"/>
              <w:jc w:val="center"/>
              <w:rPr>
                <w:sz w:val="20"/>
              </w:rPr>
            </w:pPr>
            <w:r w:rsidRPr="00A035BA">
              <w:t>MAC3-2</w:t>
            </w:r>
          </w:p>
        </w:tc>
        <w:tc>
          <w:tcPr>
            <w:tcW w:w="3118" w:type="dxa"/>
          </w:tcPr>
          <w:p w14:paraId="1BBA1D7A" w14:textId="77777777" w:rsidR="00215A1A" w:rsidRDefault="00215A1A" w:rsidP="00215A1A">
            <w:pPr>
              <w:spacing w:before="60" w:after="60"/>
              <w:jc w:val="left"/>
              <w:rPr>
                <w:sz w:val="20"/>
              </w:rPr>
            </w:pPr>
            <w:r w:rsidRPr="00A035BA">
              <w:t>Locomotive</w:t>
            </w:r>
          </w:p>
        </w:tc>
      </w:tr>
      <w:tr w:rsidR="00215A1A" w14:paraId="23CD7A74" w14:textId="77777777" w:rsidTr="00215A1A">
        <w:trPr>
          <w:trHeight w:val="456"/>
        </w:trPr>
        <w:tc>
          <w:tcPr>
            <w:tcW w:w="851" w:type="dxa"/>
          </w:tcPr>
          <w:p w14:paraId="6012A271" w14:textId="77777777" w:rsidR="00215A1A" w:rsidRDefault="00215A1A" w:rsidP="00215A1A">
            <w:pPr>
              <w:spacing w:before="60" w:after="60"/>
              <w:ind w:left="284" w:hanging="250"/>
              <w:jc w:val="center"/>
              <w:rPr>
                <w:sz w:val="20"/>
              </w:rPr>
            </w:pPr>
            <w:r w:rsidRPr="00A035BA">
              <w:t>24</w:t>
            </w:r>
          </w:p>
        </w:tc>
        <w:tc>
          <w:tcPr>
            <w:tcW w:w="850" w:type="dxa"/>
            <w:vMerge/>
          </w:tcPr>
          <w:p w14:paraId="45EEAD01" w14:textId="77777777" w:rsidR="00215A1A" w:rsidRDefault="00215A1A" w:rsidP="00215A1A">
            <w:pPr>
              <w:spacing w:before="60" w:after="60"/>
              <w:jc w:val="center"/>
              <w:rPr>
                <w:sz w:val="20"/>
              </w:rPr>
            </w:pPr>
          </w:p>
        </w:tc>
        <w:tc>
          <w:tcPr>
            <w:tcW w:w="1134" w:type="dxa"/>
          </w:tcPr>
          <w:p w14:paraId="706FE50A" w14:textId="77777777" w:rsidR="00215A1A" w:rsidRDefault="00215A1A" w:rsidP="00215A1A">
            <w:pPr>
              <w:spacing w:before="60" w:after="60"/>
              <w:jc w:val="center"/>
              <w:rPr>
                <w:sz w:val="20"/>
              </w:rPr>
            </w:pPr>
            <w:r w:rsidRPr="00A035BA">
              <w:t>MAC4</w:t>
            </w:r>
          </w:p>
        </w:tc>
        <w:tc>
          <w:tcPr>
            <w:tcW w:w="2268" w:type="dxa"/>
          </w:tcPr>
          <w:p w14:paraId="0FB29D22" w14:textId="77777777" w:rsidR="00215A1A" w:rsidRDefault="00215A1A" w:rsidP="00215A1A">
            <w:pPr>
              <w:spacing w:before="60" w:after="60"/>
              <w:jc w:val="left"/>
              <w:rPr>
                <w:sz w:val="20"/>
              </w:rPr>
            </w:pPr>
            <w:r w:rsidRPr="00A035BA">
              <w:t>Vehicles: other</w:t>
            </w:r>
          </w:p>
        </w:tc>
        <w:tc>
          <w:tcPr>
            <w:tcW w:w="1418" w:type="dxa"/>
          </w:tcPr>
          <w:p w14:paraId="5242D56D" w14:textId="77777777" w:rsidR="00215A1A" w:rsidRDefault="00215A1A" w:rsidP="00215A1A">
            <w:pPr>
              <w:spacing w:before="60" w:after="60"/>
              <w:jc w:val="center"/>
              <w:rPr>
                <w:sz w:val="20"/>
              </w:rPr>
            </w:pPr>
            <w:r w:rsidRPr="00A035BA">
              <w:t>MAC4</w:t>
            </w:r>
          </w:p>
        </w:tc>
        <w:tc>
          <w:tcPr>
            <w:tcW w:w="3118" w:type="dxa"/>
          </w:tcPr>
          <w:p w14:paraId="690299A7" w14:textId="77777777" w:rsidR="00215A1A" w:rsidRDefault="00215A1A" w:rsidP="00215A1A">
            <w:pPr>
              <w:spacing w:before="60" w:after="60"/>
              <w:jc w:val="left"/>
              <w:rPr>
                <w:sz w:val="20"/>
              </w:rPr>
            </w:pPr>
            <w:r w:rsidRPr="00A035BA">
              <w:t xml:space="preserve">Off-road, defence and other (boat, etc.) </w:t>
            </w:r>
          </w:p>
        </w:tc>
      </w:tr>
    </w:tbl>
    <w:p w14:paraId="0A9C8514" w14:textId="7C011A27" w:rsidR="005D4B7C" w:rsidRDefault="005D4B7C" w:rsidP="005D4B7C">
      <w:pPr>
        <w:spacing w:before="240"/>
        <w:rPr>
          <w:szCs w:val="22"/>
        </w:rPr>
      </w:pPr>
      <w:r w:rsidRPr="005D4B7C">
        <w:rPr>
          <w:szCs w:val="22"/>
        </w:rPr>
        <w:t>The majority of mobile air conditioning systems (9</w:t>
      </w:r>
      <w:r w:rsidR="00962007">
        <w:rPr>
          <w:szCs w:val="22"/>
        </w:rPr>
        <w:t>5</w:t>
      </w:r>
      <w:r w:rsidRPr="005D4B7C">
        <w:rPr>
          <w:szCs w:val="22"/>
        </w:rPr>
        <w:t xml:space="preserve"> per cent) are found in passenger vehicles</w:t>
      </w:r>
      <w:r w:rsidR="000340C1">
        <w:rPr>
          <w:szCs w:val="22"/>
        </w:rPr>
        <w:t xml:space="preserve">. These systems generally </w:t>
      </w:r>
      <w:r w:rsidRPr="005D4B7C">
        <w:rPr>
          <w:szCs w:val="22"/>
        </w:rPr>
        <w:t xml:space="preserve">contain 600 to 700 grams of </w:t>
      </w:r>
      <w:r w:rsidR="000340C1">
        <w:rPr>
          <w:szCs w:val="22"/>
        </w:rPr>
        <w:t xml:space="preserve">refrigerant </w:t>
      </w:r>
      <w:r w:rsidRPr="005D4B7C">
        <w:rPr>
          <w:szCs w:val="22"/>
        </w:rPr>
        <w:t>gas when fully charged. Due to the timing of the roll out of mobile air conditioning as a standard feature in passenger vehicles, and later in heavy vehicles and public transport, mobile air conditioning largely skipped the transition from CFCs to HCFC refrigerants in the 1990s. The vast majority of mobile equipment either transitioned from CFCs directly to HFC-134a</w:t>
      </w:r>
      <w:r w:rsidR="000340C1">
        <w:rPr>
          <w:szCs w:val="22"/>
        </w:rPr>
        <w:t>,</w:t>
      </w:r>
      <w:r w:rsidRPr="005D4B7C">
        <w:rPr>
          <w:szCs w:val="22"/>
        </w:rPr>
        <w:t xml:space="preserve"> or </w:t>
      </w:r>
      <w:r w:rsidR="000340C1">
        <w:rPr>
          <w:szCs w:val="22"/>
        </w:rPr>
        <w:t xml:space="preserve">it </w:t>
      </w:r>
      <w:r w:rsidRPr="005D4B7C">
        <w:rPr>
          <w:szCs w:val="22"/>
        </w:rPr>
        <w:t>was manufactured with HFC-134a.</w:t>
      </w:r>
    </w:p>
    <w:p w14:paraId="49D11C7F" w14:textId="0E612372" w:rsidR="005D4B7C" w:rsidRDefault="005D4B7C" w:rsidP="005D4B7C">
      <w:pPr>
        <w:rPr>
          <w:szCs w:val="22"/>
        </w:rPr>
      </w:pPr>
      <w:r>
        <w:rPr>
          <w:szCs w:val="22"/>
        </w:rPr>
        <w:t xml:space="preserve">The registered vehicle stock levels by category, growth rates and lifespans </w:t>
      </w:r>
      <w:r w:rsidR="000340C1">
        <w:rPr>
          <w:szCs w:val="22"/>
        </w:rPr>
        <w:t>(</w:t>
      </w:r>
      <w:r>
        <w:rPr>
          <w:szCs w:val="22"/>
        </w:rPr>
        <w:t>or vehicle attrition</w:t>
      </w:r>
      <w:r w:rsidR="000340C1">
        <w:rPr>
          <w:szCs w:val="22"/>
        </w:rPr>
        <w:t>)</w:t>
      </w:r>
      <w:r>
        <w:rPr>
          <w:szCs w:val="22"/>
        </w:rPr>
        <w:t xml:space="preserve"> used in CHF2 </w:t>
      </w:r>
      <w:r w:rsidR="000340C1">
        <w:rPr>
          <w:szCs w:val="22"/>
        </w:rPr>
        <w:t>are</w:t>
      </w:r>
      <w:r>
        <w:rPr>
          <w:szCs w:val="22"/>
        </w:rPr>
        <w:t xml:space="preserve"> consistent with the Australian</w:t>
      </w:r>
      <w:r w:rsidRPr="00974632">
        <w:rPr>
          <w:szCs w:val="22"/>
        </w:rPr>
        <w:t xml:space="preserve"> Bureau of Statistics </w:t>
      </w:r>
      <w:r w:rsidR="00962007">
        <w:rPr>
          <w:szCs w:val="22"/>
        </w:rPr>
        <w:t xml:space="preserve">catalogues </w:t>
      </w:r>
      <w:r>
        <w:rPr>
          <w:szCs w:val="22"/>
        </w:rPr>
        <w:t>referenced</w:t>
      </w:r>
      <w:r w:rsidR="00962007">
        <w:rPr>
          <w:szCs w:val="22"/>
        </w:rPr>
        <w:t xml:space="preserve"> in this report</w:t>
      </w:r>
      <w:r w:rsidR="000340C1">
        <w:rPr>
          <w:szCs w:val="22"/>
        </w:rPr>
        <w:t>.</w:t>
      </w:r>
      <w:r>
        <w:rPr>
          <w:szCs w:val="22"/>
        </w:rPr>
        <w:t xml:space="preserve"> </w:t>
      </w:r>
      <w:r w:rsidR="000340C1">
        <w:rPr>
          <w:szCs w:val="22"/>
        </w:rPr>
        <w:t xml:space="preserve">This </w:t>
      </w:r>
      <w:r>
        <w:rPr>
          <w:szCs w:val="22"/>
        </w:rPr>
        <w:lastRenderedPageBreak/>
        <w:t xml:space="preserve">simplified the methodology as </w:t>
      </w:r>
      <w:r w:rsidR="000340C1">
        <w:rPr>
          <w:szCs w:val="22"/>
        </w:rPr>
        <w:t xml:space="preserve">the </w:t>
      </w:r>
      <w:r>
        <w:rPr>
          <w:szCs w:val="22"/>
        </w:rPr>
        <w:t xml:space="preserve">stock </w:t>
      </w:r>
      <w:r w:rsidR="00E202E8">
        <w:rPr>
          <w:szCs w:val="22"/>
        </w:rPr>
        <w:t xml:space="preserve">of equipment </w:t>
      </w:r>
      <w:r>
        <w:rPr>
          <w:szCs w:val="22"/>
        </w:rPr>
        <w:t>and retirements were derived by multiplying the ABS values by the estimated mobile air conditioning penetration for each product category.</w:t>
      </w:r>
    </w:p>
    <w:p w14:paraId="31AA047E" w14:textId="3FF62A71" w:rsidR="005D4B7C" w:rsidRPr="005D4B7C" w:rsidRDefault="005D4B7C" w:rsidP="005D4B7C">
      <w:pPr>
        <w:rPr>
          <w:szCs w:val="22"/>
        </w:rPr>
      </w:pPr>
      <w:r>
        <w:rPr>
          <w:szCs w:val="22"/>
        </w:rPr>
        <w:t xml:space="preserve">Stock models of air conditioning systems </w:t>
      </w:r>
      <w:r w:rsidR="000340C1">
        <w:rPr>
          <w:szCs w:val="22"/>
        </w:rPr>
        <w:t xml:space="preserve">in </w:t>
      </w:r>
      <w:r>
        <w:rPr>
          <w:szCs w:val="22"/>
        </w:rPr>
        <w:t>rail</w:t>
      </w:r>
      <w:r w:rsidR="000340C1">
        <w:rPr>
          <w:szCs w:val="22"/>
        </w:rPr>
        <w:t xml:space="preserve"> </w:t>
      </w:r>
      <w:r w:rsidR="00E202E8">
        <w:rPr>
          <w:szCs w:val="22"/>
        </w:rPr>
        <w:t>carriages</w:t>
      </w:r>
      <w:r>
        <w:rPr>
          <w:szCs w:val="22"/>
        </w:rPr>
        <w:t xml:space="preserve"> and other mobile </w:t>
      </w:r>
      <w:r w:rsidR="000340C1">
        <w:rPr>
          <w:szCs w:val="22"/>
        </w:rPr>
        <w:t>systems</w:t>
      </w:r>
      <w:r>
        <w:rPr>
          <w:szCs w:val="22"/>
        </w:rPr>
        <w:t xml:space="preserve"> were developed based on consultation with key suppliers which have been on</w:t>
      </w:r>
      <w:r w:rsidR="006E3CDD">
        <w:rPr>
          <w:szCs w:val="22"/>
        </w:rPr>
        <w:t>-</w:t>
      </w:r>
      <w:r>
        <w:rPr>
          <w:szCs w:val="22"/>
        </w:rPr>
        <w:t xml:space="preserve">going since the inception of CHF1. </w:t>
      </w:r>
      <w:r w:rsidRPr="005D4B7C">
        <w:rPr>
          <w:szCs w:val="22"/>
        </w:rPr>
        <w:t xml:space="preserve">Stocks of the various product categories in this class of equipment are listed in </w:t>
      </w:r>
      <w:r w:rsidRPr="005D4B7C">
        <w:rPr>
          <w:i/>
          <w:szCs w:val="22"/>
        </w:rPr>
        <w:t>Table 7</w:t>
      </w:r>
      <w:r w:rsidRPr="005D4B7C">
        <w:rPr>
          <w:szCs w:val="22"/>
        </w:rPr>
        <w:t>.</w:t>
      </w:r>
    </w:p>
    <w:p w14:paraId="3BB6F961" w14:textId="77777777" w:rsidR="0043456E" w:rsidRDefault="0043456E" w:rsidP="00BE3B27">
      <w:pPr>
        <w:rPr>
          <w:szCs w:val="22"/>
        </w:rPr>
      </w:pPr>
    </w:p>
    <w:p w14:paraId="4A3F81D6" w14:textId="599A4035" w:rsidR="00215A1A" w:rsidRPr="00D16B26" w:rsidRDefault="00215A1A" w:rsidP="00215A1A">
      <w:pPr>
        <w:rPr>
          <w:i/>
          <w:szCs w:val="22"/>
        </w:rPr>
      </w:pPr>
      <w:bookmarkStart w:id="18" w:name="_Toc233084051"/>
      <w:r w:rsidRPr="00D16B26">
        <w:rPr>
          <w:i/>
          <w:szCs w:val="22"/>
        </w:rPr>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7</w:t>
      </w:r>
      <w:r w:rsidRPr="00D16B26">
        <w:rPr>
          <w:i/>
          <w:szCs w:val="22"/>
        </w:rPr>
        <w:fldChar w:fldCharType="end"/>
      </w:r>
      <w:r w:rsidRPr="00D16B26">
        <w:rPr>
          <w:i/>
          <w:szCs w:val="22"/>
        </w:rPr>
        <w:t xml:space="preserve">: </w:t>
      </w:r>
      <w:r w:rsidR="001B0EF1">
        <w:rPr>
          <w:i/>
          <w:szCs w:val="22"/>
        </w:rPr>
        <w:t xml:space="preserve">Mobile </w:t>
      </w:r>
      <w:r w:rsidRPr="0043456E">
        <w:rPr>
          <w:i/>
          <w:szCs w:val="22"/>
        </w:rPr>
        <w:t xml:space="preserve">air conditioning by </w:t>
      </w:r>
      <w:r>
        <w:rPr>
          <w:i/>
          <w:szCs w:val="22"/>
        </w:rPr>
        <w:t>c</w:t>
      </w:r>
      <w:r w:rsidRPr="0043456E">
        <w:rPr>
          <w:i/>
          <w:szCs w:val="22"/>
        </w:rPr>
        <w:t>ategory and stock numbers</w:t>
      </w:r>
      <w:bookmarkEnd w:id="18"/>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2552"/>
        <w:gridCol w:w="3969"/>
        <w:gridCol w:w="1984"/>
      </w:tblGrid>
      <w:tr w:rsidR="00215A1A" w:rsidRPr="00923150" w14:paraId="60032C0A" w14:textId="77777777" w:rsidTr="00215A1A">
        <w:trPr>
          <w:trHeight w:val="456"/>
        </w:trPr>
        <w:tc>
          <w:tcPr>
            <w:tcW w:w="1134" w:type="dxa"/>
            <w:tcBorders>
              <w:top w:val="single" w:sz="4" w:space="0" w:color="000000"/>
              <w:right w:val="single" w:sz="4" w:space="0" w:color="FFFFFF" w:themeColor="background1"/>
            </w:tcBorders>
            <w:shd w:val="clear" w:color="auto" w:fill="000000"/>
            <w:vAlign w:val="center"/>
          </w:tcPr>
          <w:p w14:paraId="0164D925" w14:textId="77777777" w:rsidR="00215A1A" w:rsidRPr="003E19E1" w:rsidRDefault="00215A1A" w:rsidP="00215A1A">
            <w:pPr>
              <w:spacing w:before="60" w:after="60"/>
              <w:jc w:val="left"/>
            </w:pPr>
            <w:r w:rsidRPr="003E19E1">
              <w:t>Category code</w:t>
            </w:r>
          </w:p>
        </w:tc>
        <w:tc>
          <w:tcPr>
            <w:tcW w:w="2552"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14EB1139" w14:textId="77777777" w:rsidR="00215A1A" w:rsidRPr="003E19E1" w:rsidRDefault="00215A1A" w:rsidP="00215A1A">
            <w:pPr>
              <w:spacing w:before="60" w:after="60"/>
              <w:jc w:val="left"/>
            </w:pPr>
            <w:r w:rsidRPr="003E19E1">
              <w:t>Segment</w:t>
            </w:r>
          </w:p>
        </w:tc>
        <w:tc>
          <w:tcPr>
            <w:tcW w:w="3969"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190074B4" w14:textId="77777777" w:rsidR="00215A1A" w:rsidRPr="003E19E1" w:rsidRDefault="00215A1A" w:rsidP="00215A1A">
            <w:pPr>
              <w:spacing w:before="60" w:after="60"/>
              <w:jc w:val="left"/>
            </w:pPr>
            <w:r w:rsidRPr="003E19E1">
              <w:t>Product category</w:t>
            </w:r>
          </w:p>
        </w:tc>
        <w:tc>
          <w:tcPr>
            <w:tcW w:w="1984" w:type="dxa"/>
            <w:tcBorders>
              <w:top w:val="single" w:sz="4" w:space="0" w:color="000000"/>
              <w:left w:val="single" w:sz="4" w:space="0" w:color="FFFFFF" w:themeColor="background1"/>
            </w:tcBorders>
            <w:shd w:val="clear" w:color="auto" w:fill="000000"/>
            <w:vAlign w:val="center"/>
          </w:tcPr>
          <w:p w14:paraId="4189D6D3" w14:textId="77777777" w:rsidR="00215A1A" w:rsidRPr="003F2CDC" w:rsidRDefault="00215A1A" w:rsidP="00215A1A">
            <w:pPr>
              <w:spacing w:before="60" w:after="60"/>
              <w:jc w:val="center"/>
            </w:pPr>
            <w:r w:rsidRPr="003E19E1">
              <w:t>Total (units)</w:t>
            </w:r>
          </w:p>
        </w:tc>
      </w:tr>
      <w:tr w:rsidR="00E8704E" w:rsidRPr="00923150" w14:paraId="1B3A786A" w14:textId="77777777" w:rsidTr="00E8704E">
        <w:trPr>
          <w:trHeight w:val="456"/>
        </w:trPr>
        <w:tc>
          <w:tcPr>
            <w:tcW w:w="1134" w:type="dxa"/>
            <w:tcBorders>
              <w:top w:val="single" w:sz="4" w:space="0" w:color="000000"/>
            </w:tcBorders>
            <w:vAlign w:val="center"/>
          </w:tcPr>
          <w:p w14:paraId="74BD5372" w14:textId="5EE8F9D7" w:rsidR="00E8704E" w:rsidRDefault="00E8704E" w:rsidP="00215A1A">
            <w:pPr>
              <w:spacing w:before="60" w:after="60"/>
              <w:jc w:val="left"/>
              <w:rPr>
                <w:sz w:val="20"/>
              </w:rPr>
            </w:pPr>
            <w:r w:rsidRPr="00481C6A">
              <w:t>MAC1</w:t>
            </w:r>
          </w:p>
        </w:tc>
        <w:tc>
          <w:tcPr>
            <w:tcW w:w="2552" w:type="dxa"/>
            <w:tcBorders>
              <w:top w:val="single" w:sz="4" w:space="0" w:color="000000"/>
            </w:tcBorders>
            <w:vAlign w:val="center"/>
          </w:tcPr>
          <w:p w14:paraId="1E373820" w14:textId="4F4BFDFF" w:rsidR="00E8704E" w:rsidRDefault="00E8704E" w:rsidP="00215A1A">
            <w:pPr>
              <w:spacing w:before="60" w:after="60"/>
              <w:jc w:val="left"/>
              <w:rPr>
                <w:sz w:val="20"/>
              </w:rPr>
            </w:pPr>
            <w:r w:rsidRPr="007A225B">
              <w:t>Registered vehicles &lt;3.5 GMV</w:t>
            </w:r>
          </w:p>
        </w:tc>
        <w:tc>
          <w:tcPr>
            <w:tcW w:w="3969" w:type="dxa"/>
            <w:tcBorders>
              <w:top w:val="single" w:sz="4" w:space="0" w:color="000000"/>
            </w:tcBorders>
            <w:vAlign w:val="center"/>
          </w:tcPr>
          <w:p w14:paraId="4770D2E8" w14:textId="68FB8049" w:rsidR="00E8704E" w:rsidRPr="008343EF" w:rsidRDefault="00E8704E" w:rsidP="00215A1A">
            <w:pPr>
              <w:spacing w:before="60" w:after="60"/>
              <w:jc w:val="left"/>
              <w:rPr>
                <w:sz w:val="20"/>
              </w:rPr>
            </w:pPr>
            <w:r w:rsidRPr="00D22FDF">
              <w:t>Passenger vehicles</w:t>
            </w:r>
          </w:p>
        </w:tc>
        <w:tc>
          <w:tcPr>
            <w:tcW w:w="1984" w:type="dxa"/>
            <w:tcBorders>
              <w:top w:val="single" w:sz="4" w:space="0" w:color="000000"/>
            </w:tcBorders>
            <w:vAlign w:val="center"/>
          </w:tcPr>
          <w:p w14:paraId="4E57D95C" w14:textId="56F45577" w:rsidR="00E8704E" w:rsidRPr="00923150" w:rsidRDefault="00E8704E" w:rsidP="00215A1A">
            <w:pPr>
              <w:spacing w:before="60" w:after="60"/>
              <w:jc w:val="center"/>
              <w:rPr>
                <w:sz w:val="20"/>
              </w:rPr>
            </w:pPr>
            <w:r w:rsidRPr="00E00DBB">
              <w:t>12,079,000</w:t>
            </w:r>
          </w:p>
        </w:tc>
      </w:tr>
      <w:tr w:rsidR="00E8704E" w:rsidRPr="00923150" w14:paraId="542504D8" w14:textId="77777777" w:rsidTr="00E8704E">
        <w:trPr>
          <w:trHeight w:val="456"/>
        </w:trPr>
        <w:tc>
          <w:tcPr>
            <w:tcW w:w="1134" w:type="dxa"/>
            <w:tcBorders>
              <w:top w:val="single" w:sz="4" w:space="0" w:color="000000"/>
            </w:tcBorders>
            <w:vAlign w:val="center"/>
          </w:tcPr>
          <w:p w14:paraId="2D2A33C1" w14:textId="7A299D4D" w:rsidR="00E8704E" w:rsidRDefault="00E8704E" w:rsidP="00215A1A">
            <w:pPr>
              <w:spacing w:before="60" w:after="60"/>
              <w:jc w:val="left"/>
              <w:rPr>
                <w:sz w:val="20"/>
              </w:rPr>
            </w:pPr>
            <w:r w:rsidRPr="00481C6A">
              <w:t>MAC1</w:t>
            </w:r>
          </w:p>
        </w:tc>
        <w:tc>
          <w:tcPr>
            <w:tcW w:w="2552" w:type="dxa"/>
            <w:tcBorders>
              <w:top w:val="single" w:sz="4" w:space="0" w:color="000000"/>
            </w:tcBorders>
            <w:vAlign w:val="center"/>
          </w:tcPr>
          <w:p w14:paraId="47104443" w14:textId="32C614BD" w:rsidR="00E8704E" w:rsidRDefault="00E8704E" w:rsidP="00215A1A">
            <w:pPr>
              <w:spacing w:before="60" w:after="60"/>
              <w:jc w:val="left"/>
              <w:rPr>
                <w:sz w:val="20"/>
              </w:rPr>
            </w:pPr>
            <w:r w:rsidRPr="007A225B">
              <w:t>Registered vehicles &lt;3.5 GMV</w:t>
            </w:r>
          </w:p>
        </w:tc>
        <w:tc>
          <w:tcPr>
            <w:tcW w:w="3969" w:type="dxa"/>
            <w:tcBorders>
              <w:top w:val="single" w:sz="4" w:space="0" w:color="000000"/>
            </w:tcBorders>
            <w:vAlign w:val="center"/>
          </w:tcPr>
          <w:p w14:paraId="56178D50" w14:textId="18759D48" w:rsidR="00E8704E" w:rsidRPr="008343EF" w:rsidRDefault="00E8704E" w:rsidP="00215A1A">
            <w:pPr>
              <w:spacing w:before="60" w:after="60"/>
              <w:jc w:val="left"/>
              <w:rPr>
                <w:sz w:val="20"/>
              </w:rPr>
            </w:pPr>
            <w:r w:rsidRPr="00D22FDF">
              <w:t>Light commercial vehicles</w:t>
            </w:r>
          </w:p>
        </w:tc>
        <w:tc>
          <w:tcPr>
            <w:tcW w:w="1984" w:type="dxa"/>
            <w:tcBorders>
              <w:top w:val="single" w:sz="4" w:space="0" w:color="000000"/>
            </w:tcBorders>
            <w:vAlign w:val="center"/>
          </w:tcPr>
          <w:p w14:paraId="60952122" w14:textId="19C091F1" w:rsidR="00E8704E" w:rsidRPr="00923150" w:rsidRDefault="00E8704E" w:rsidP="00215A1A">
            <w:pPr>
              <w:spacing w:before="60" w:after="60"/>
              <w:jc w:val="center"/>
              <w:rPr>
                <w:sz w:val="20"/>
              </w:rPr>
            </w:pPr>
            <w:r w:rsidRPr="00E00DBB">
              <w:t>2,487,000</w:t>
            </w:r>
          </w:p>
        </w:tc>
      </w:tr>
      <w:tr w:rsidR="00E8704E" w:rsidRPr="00923150" w14:paraId="22F4E955" w14:textId="77777777" w:rsidTr="00E8704E">
        <w:trPr>
          <w:trHeight w:val="456"/>
        </w:trPr>
        <w:tc>
          <w:tcPr>
            <w:tcW w:w="1134" w:type="dxa"/>
            <w:tcBorders>
              <w:top w:val="single" w:sz="4" w:space="0" w:color="000000"/>
            </w:tcBorders>
            <w:vAlign w:val="center"/>
          </w:tcPr>
          <w:p w14:paraId="2B37B719" w14:textId="5F28AA6B" w:rsidR="00E8704E" w:rsidRDefault="00E8704E" w:rsidP="00215A1A">
            <w:pPr>
              <w:spacing w:before="60" w:after="60"/>
              <w:jc w:val="left"/>
              <w:rPr>
                <w:sz w:val="20"/>
              </w:rPr>
            </w:pPr>
            <w:r w:rsidRPr="00481C6A">
              <w:t>MAC2</w:t>
            </w:r>
          </w:p>
        </w:tc>
        <w:tc>
          <w:tcPr>
            <w:tcW w:w="2552" w:type="dxa"/>
            <w:tcBorders>
              <w:top w:val="single" w:sz="4" w:space="0" w:color="000000"/>
            </w:tcBorders>
            <w:vAlign w:val="center"/>
          </w:tcPr>
          <w:p w14:paraId="137811C0" w14:textId="1CF20426" w:rsidR="00E8704E" w:rsidRDefault="00E8704E" w:rsidP="00215A1A">
            <w:pPr>
              <w:spacing w:before="60" w:after="60"/>
              <w:jc w:val="left"/>
              <w:rPr>
                <w:sz w:val="20"/>
              </w:rPr>
            </w:pPr>
            <w:r w:rsidRPr="007A225B">
              <w:t>Registered vehicles ≥3.5 GMV</w:t>
            </w:r>
          </w:p>
        </w:tc>
        <w:tc>
          <w:tcPr>
            <w:tcW w:w="3969" w:type="dxa"/>
            <w:tcBorders>
              <w:top w:val="single" w:sz="4" w:space="0" w:color="000000"/>
            </w:tcBorders>
            <w:vAlign w:val="center"/>
          </w:tcPr>
          <w:p w14:paraId="004DBA29" w14:textId="1EB8A148" w:rsidR="00E8704E" w:rsidRPr="008343EF" w:rsidRDefault="00E8704E" w:rsidP="00215A1A">
            <w:pPr>
              <w:spacing w:before="60" w:after="60"/>
              <w:jc w:val="left"/>
              <w:rPr>
                <w:sz w:val="20"/>
              </w:rPr>
            </w:pPr>
            <w:r w:rsidRPr="00D22FDF">
              <w:t>Rigid truck and other</w:t>
            </w:r>
          </w:p>
        </w:tc>
        <w:tc>
          <w:tcPr>
            <w:tcW w:w="1984" w:type="dxa"/>
            <w:tcBorders>
              <w:top w:val="single" w:sz="4" w:space="0" w:color="000000"/>
            </w:tcBorders>
            <w:vAlign w:val="center"/>
          </w:tcPr>
          <w:p w14:paraId="40EB6E57" w14:textId="5011018E" w:rsidR="00E8704E" w:rsidRPr="00923150" w:rsidRDefault="00E8704E" w:rsidP="00215A1A">
            <w:pPr>
              <w:spacing w:before="60" w:after="60"/>
              <w:jc w:val="center"/>
              <w:rPr>
                <w:sz w:val="20"/>
              </w:rPr>
            </w:pPr>
            <w:r w:rsidRPr="00E00DBB">
              <w:t>422,000</w:t>
            </w:r>
          </w:p>
        </w:tc>
      </w:tr>
      <w:tr w:rsidR="00E8704E" w:rsidRPr="00923150" w14:paraId="3485EA8F" w14:textId="77777777" w:rsidTr="00E8704E">
        <w:trPr>
          <w:trHeight w:val="456"/>
        </w:trPr>
        <w:tc>
          <w:tcPr>
            <w:tcW w:w="1134" w:type="dxa"/>
            <w:tcBorders>
              <w:top w:val="single" w:sz="4" w:space="0" w:color="000000"/>
            </w:tcBorders>
            <w:vAlign w:val="center"/>
          </w:tcPr>
          <w:p w14:paraId="28A82F0F" w14:textId="5453613D" w:rsidR="00E8704E" w:rsidRDefault="00E8704E" w:rsidP="00215A1A">
            <w:pPr>
              <w:spacing w:before="60" w:after="60"/>
              <w:jc w:val="left"/>
              <w:rPr>
                <w:sz w:val="20"/>
              </w:rPr>
            </w:pPr>
            <w:r w:rsidRPr="00481C6A">
              <w:t>MAC2</w:t>
            </w:r>
          </w:p>
        </w:tc>
        <w:tc>
          <w:tcPr>
            <w:tcW w:w="2552" w:type="dxa"/>
            <w:tcBorders>
              <w:top w:val="single" w:sz="4" w:space="0" w:color="000000"/>
            </w:tcBorders>
            <w:vAlign w:val="center"/>
          </w:tcPr>
          <w:p w14:paraId="5722095F" w14:textId="0EBD70D5" w:rsidR="00E8704E" w:rsidRDefault="00E8704E" w:rsidP="00215A1A">
            <w:pPr>
              <w:spacing w:before="60" w:after="60"/>
              <w:jc w:val="left"/>
              <w:rPr>
                <w:sz w:val="20"/>
              </w:rPr>
            </w:pPr>
            <w:r w:rsidRPr="007A225B">
              <w:t>Registered vehicles ≥3.5 GMV</w:t>
            </w:r>
          </w:p>
        </w:tc>
        <w:tc>
          <w:tcPr>
            <w:tcW w:w="3969" w:type="dxa"/>
            <w:tcBorders>
              <w:top w:val="single" w:sz="4" w:space="0" w:color="000000"/>
            </w:tcBorders>
            <w:vAlign w:val="center"/>
          </w:tcPr>
          <w:p w14:paraId="4FCE60D2" w14:textId="7C5F66E6" w:rsidR="00E8704E" w:rsidRPr="008343EF" w:rsidRDefault="00E8704E" w:rsidP="00215A1A">
            <w:pPr>
              <w:spacing w:before="60" w:after="60"/>
              <w:jc w:val="left"/>
              <w:rPr>
                <w:sz w:val="20"/>
              </w:rPr>
            </w:pPr>
            <w:r w:rsidRPr="00D22FDF">
              <w:t>Truck: articulated</w:t>
            </w:r>
          </w:p>
        </w:tc>
        <w:tc>
          <w:tcPr>
            <w:tcW w:w="1984" w:type="dxa"/>
            <w:tcBorders>
              <w:top w:val="single" w:sz="4" w:space="0" w:color="000000"/>
            </w:tcBorders>
            <w:vAlign w:val="center"/>
          </w:tcPr>
          <w:p w14:paraId="3B6533ED" w14:textId="32A52014" w:rsidR="00E8704E" w:rsidRPr="00923150" w:rsidRDefault="00E8704E" w:rsidP="00215A1A">
            <w:pPr>
              <w:spacing w:before="60" w:after="60"/>
              <w:jc w:val="center"/>
              <w:rPr>
                <w:sz w:val="20"/>
              </w:rPr>
            </w:pPr>
            <w:r w:rsidRPr="00E00DBB">
              <w:t>88,000</w:t>
            </w:r>
          </w:p>
        </w:tc>
      </w:tr>
      <w:tr w:rsidR="00E8704E" w:rsidRPr="00923150" w14:paraId="1286C12E" w14:textId="77777777" w:rsidTr="00E8704E">
        <w:trPr>
          <w:trHeight w:val="456"/>
        </w:trPr>
        <w:tc>
          <w:tcPr>
            <w:tcW w:w="1134" w:type="dxa"/>
            <w:tcBorders>
              <w:top w:val="single" w:sz="4" w:space="0" w:color="000000"/>
            </w:tcBorders>
            <w:vAlign w:val="center"/>
          </w:tcPr>
          <w:p w14:paraId="1084332A" w14:textId="5C89B5DD" w:rsidR="00E8704E" w:rsidRDefault="00E8704E" w:rsidP="00215A1A">
            <w:pPr>
              <w:spacing w:before="60" w:after="60"/>
              <w:jc w:val="left"/>
              <w:rPr>
                <w:sz w:val="20"/>
              </w:rPr>
            </w:pPr>
            <w:r w:rsidRPr="00481C6A">
              <w:t>MAC2</w:t>
            </w:r>
          </w:p>
        </w:tc>
        <w:tc>
          <w:tcPr>
            <w:tcW w:w="2552" w:type="dxa"/>
            <w:tcBorders>
              <w:top w:val="single" w:sz="4" w:space="0" w:color="000000"/>
            </w:tcBorders>
            <w:vAlign w:val="center"/>
          </w:tcPr>
          <w:p w14:paraId="3AAB831D" w14:textId="1832BA02" w:rsidR="00E8704E" w:rsidRDefault="00E8704E" w:rsidP="00215A1A">
            <w:pPr>
              <w:spacing w:before="60" w:after="60"/>
              <w:jc w:val="left"/>
              <w:rPr>
                <w:sz w:val="20"/>
              </w:rPr>
            </w:pPr>
            <w:r w:rsidRPr="007A225B">
              <w:t>Registered vehicles ≥3.5 GMV</w:t>
            </w:r>
          </w:p>
        </w:tc>
        <w:tc>
          <w:tcPr>
            <w:tcW w:w="3969" w:type="dxa"/>
            <w:tcBorders>
              <w:top w:val="single" w:sz="4" w:space="0" w:color="000000"/>
            </w:tcBorders>
            <w:vAlign w:val="center"/>
          </w:tcPr>
          <w:p w14:paraId="60D1B37E" w14:textId="362A7684" w:rsidR="00E8704E" w:rsidRPr="008343EF" w:rsidRDefault="00E8704E" w:rsidP="00215A1A">
            <w:pPr>
              <w:spacing w:before="60" w:after="60"/>
              <w:jc w:val="left"/>
              <w:rPr>
                <w:sz w:val="20"/>
              </w:rPr>
            </w:pPr>
            <w:r w:rsidRPr="00D22FDF">
              <w:t>Commuter buses</w:t>
            </w:r>
          </w:p>
        </w:tc>
        <w:tc>
          <w:tcPr>
            <w:tcW w:w="1984" w:type="dxa"/>
            <w:tcBorders>
              <w:top w:val="single" w:sz="4" w:space="0" w:color="000000"/>
            </w:tcBorders>
            <w:vAlign w:val="center"/>
          </w:tcPr>
          <w:p w14:paraId="67DFDF4F" w14:textId="567CD069" w:rsidR="00E8704E" w:rsidRPr="00923150" w:rsidRDefault="00E8704E" w:rsidP="00215A1A">
            <w:pPr>
              <w:spacing w:before="60" w:after="60"/>
              <w:jc w:val="center"/>
              <w:rPr>
                <w:sz w:val="20"/>
              </w:rPr>
            </w:pPr>
            <w:r w:rsidRPr="00E00DBB">
              <w:t>68,600</w:t>
            </w:r>
          </w:p>
        </w:tc>
      </w:tr>
      <w:tr w:rsidR="00E8704E" w:rsidRPr="00923150" w14:paraId="7A6914BB" w14:textId="77777777" w:rsidTr="00E8704E">
        <w:trPr>
          <w:trHeight w:val="456"/>
        </w:trPr>
        <w:tc>
          <w:tcPr>
            <w:tcW w:w="1134" w:type="dxa"/>
            <w:tcBorders>
              <w:top w:val="single" w:sz="4" w:space="0" w:color="000000"/>
            </w:tcBorders>
            <w:vAlign w:val="center"/>
          </w:tcPr>
          <w:p w14:paraId="56ADAF44" w14:textId="2DD015B8" w:rsidR="00E8704E" w:rsidRDefault="00E8704E" w:rsidP="00215A1A">
            <w:pPr>
              <w:spacing w:before="60" w:after="60"/>
              <w:jc w:val="left"/>
              <w:rPr>
                <w:sz w:val="20"/>
              </w:rPr>
            </w:pPr>
            <w:r w:rsidRPr="00481C6A">
              <w:t>MAC2</w:t>
            </w:r>
          </w:p>
        </w:tc>
        <w:tc>
          <w:tcPr>
            <w:tcW w:w="2552" w:type="dxa"/>
            <w:tcBorders>
              <w:top w:val="single" w:sz="4" w:space="0" w:color="000000"/>
            </w:tcBorders>
            <w:vAlign w:val="center"/>
          </w:tcPr>
          <w:p w14:paraId="6029AE53" w14:textId="1996FCAA" w:rsidR="00E8704E" w:rsidRDefault="00E8704E" w:rsidP="00215A1A">
            <w:pPr>
              <w:spacing w:before="60" w:after="60"/>
              <w:jc w:val="left"/>
              <w:rPr>
                <w:sz w:val="20"/>
              </w:rPr>
            </w:pPr>
            <w:r w:rsidRPr="007A225B">
              <w:t>Registered vehicles ≥3.5 GMV</w:t>
            </w:r>
          </w:p>
        </w:tc>
        <w:tc>
          <w:tcPr>
            <w:tcW w:w="3969" w:type="dxa"/>
            <w:tcBorders>
              <w:top w:val="single" w:sz="4" w:space="0" w:color="000000"/>
            </w:tcBorders>
            <w:vAlign w:val="center"/>
          </w:tcPr>
          <w:p w14:paraId="3A119233" w14:textId="39CA9020" w:rsidR="00E8704E" w:rsidRPr="008343EF" w:rsidRDefault="00E8704E" w:rsidP="00215A1A">
            <w:pPr>
              <w:spacing w:before="60" w:after="60"/>
              <w:jc w:val="left"/>
              <w:rPr>
                <w:sz w:val="20"/>
              </w:rPr>
            </w:pPr>
            <w:r w:rsidRPr="00D22FDF">
              <w:t>Buses (&gt; 7m)</w:t>
            </w:r>
          </w:p>
        </w:tc>
        <w:tc>
          <w:tcPr>
            <w:tcW w:w="1984" w:type="dxa"/>
            <w:tcBorders>
              <w:top w:val="single" w:sz="4" w:space="0" w:color="000000"/>
            </w:tcBorders>
            <w:vAlign w:val="center"/>
          </w:tcPr>
          <w:p w14:paraId="4F228585" w14:textId="71CEB45E" w:rsidR="00E8704E" w:rsidRPr="00923150" w:rsidRDefault="00E8704E" w:rsidP="00215A1A">
            <w:pPr>
              <w:spacing w:before="60" w:after="60"/>
              <w:jc w:val="center"/>
              <w:rPr>
                <w:sz w:val="20"/>
              </w:rPr>
            </w:pPr>
            <w:r w:rsidRPr="00E00DBB">
              <w:t>22,000</w:t>
            </w:r>
          </w:p>
        </w:tc>
      </w:tr>
      <w:tr w:rsidR="00E8704E" w:rsidRPr="00923150" w14:paraId="740C83C1" w14:textId="77777777" w:rsidTr="00E8704E">
        <w:trPr>
          <w:trHeight w:val="456"/>
        </w:trPr>
        <w:tc>
          <w:tcPr>
            <w:tcW w:w="1134" w:type="dxa"/>
            <w:tcBorders>
              <w:top w:val="single" w:sz="4" w:space="0" w:color="000000"/>
            </w:tcBorders>
            <w:vAlign w:val="center"/>
          </w:tcPr>
          <w:p w14:paraId="2C4D4CD6" w14:textId="376D160A" w:rsidR="00E8704E" w:rsidRDefault="00E8704E" w:rsidP="00215A1A">
            <w:pPr>
              <w:spacing w:before="60" w:after="60"/>
              <w:jc w:val="left"/>
              <w:rPr>
                <w:sz w:val="20"/>
              </w:rPr>
            </w:pPr>
            <w:r w:rsidRPr="00481C6A">
              <w:t>MAC3</w:t>
            </w:r>
          </w:p>
        </w:tc>
        <w:tc>
          <w:tcPr>
            <w:tcW w:w="2552" w:type="dxa"/>
            <w:tcBorders>
              <w:top w:val="single" w:sz="4" w:space="0" w:color="000000"/>
            </w:tcBorders>
            <w:vAlign w:val="center"/>
          </w:tcPr>
          <w:p w14:paraId="2C896DCF" w14:textId="374DF80E" w:rsidR="00E8704E" w:rsidRDefault="00E8704E" w:rsidP="00215A1A">
            <w:pPr>
              <w:spacing w:before="60" w:after="60"/>
              <w:jc w:val="left"/>
              <w:rPr>
                <w:sz w:val="20"/>
              </w:rPr>
            </w:pPr>
            <w:r w:rsidRPr="007A225B">
              <w:t>Rail</w:t>
            </w:r>
          </w:p>
        </w:tc>
        <w:tc>
          <w:tcPr>
            <w:tcW w:w="3969" w:type="dxa"/>
            <w:tcBorders>
              <w:top w:val="single" w:sz="4" w:space="0" w:color="000000"/>
            </w:tcBorders>
            <w:vAlign w:val="center"/>
          </w:tcPr>
          <w:p w14:paraId="2F465D4A" w14:textId="683BCC1D" w:rsidR="00E8704E" w:rsidRPr="008343EF" w:rsidRDefault="00E8704E" w:rsidP="00215A1A">
            <w:pPr>
              <w:spacing w:before="60" w:after="60"/>
              <w:jc w:val="left"/>
              <w:rPr>
                <w:sz w:val="20"/>
              </w:rPr>
            </w:pPr>
            <w:r w:rsidRPr="00D22FDF">
              <w:t xml:space="preserve">Passenger rail </w:t>
            </w:r>
          </w:p>
        </w:tc>
        <w:tc>
          <w:tcPr>
            <w:tcW w:w="1984" w:type="dxa"/>
            <w:tcBorders>
              <w:top w:val="single" w:sz="4" w:space="0" w:color="000000"/>
            </w:tcBorders>
            <w:vAlign w:val="center"/>
          </w:tcPr>
          <w:p w14:paraId="3975B77A" w14:textId="3C561594" w:rsidR="00E8704E" w:rsidRPr="00923150" w:rsidRDefault="00E8704E" w:rsidP="00215A1A">
            <w:pPr>
              <w:spacing w:before="60" w:after="60"/>
              <w:jc w:val="center"/>
              <w:rPr>
                <w:sz w:val="20"/>
              </w:rPr>
            </w:pPr>
            <w:r w:rsidRPr="00E00DBB">
              <w:t>6,800</w:t>
            </w:r>
          </w:p>
        </w:tc>
      </w:tr>
      <w:tr w:rsidR="00E8704E" w:rsidRPr="00923150" w14:paraId="6F3346E1" w14:textId="77777777" w:rsidTr="00E8704E">
        <w:trPr>
          <w:trHeight w:val="456"/>
        </w:trPr>
        <w:tc>
          <w:tcPr>
            <w:tcW w:w="1134" w:type="dxa"/>
            <w:tcBorders>
              <w:top w:val="single" w:sz="4" w:space="0" w:color="000000"/>
            </w:tcBorders>
            <w:vAlign w:val="center"/>
          </w:tcPr>
          <w:p w14:paraId="1F278B69" w14:textId="04AC99F5" w:rsidR="00E8704E" w:rsidRDefault="00E8704E" w:rsidP="00215A1A">
            <w:pPr>
              <w:spacing w:before="60" w:after="60"/>
              <w:jc w:val="left"/>
              <w:rPr>
                <w:sz w:val="20"/>
              </w:rPr>
            </w:pPr>
            <w:r w:rsidRPr="00481C6A">
              <w:t>MAC3</w:t>
            </w:r>
          </w:p>
        </w:tc>
        <w:tc>
          <w:tcPr>
            <w:tcW w:w="2552" w:type="dxa"/>
            <w:tcBorders>
              <w:top w:val="single" w:sz="4" w:space="0" w:color="000000"/>
            </w:tcBorders>
            <w:vAlign w:val="center"/>
          </w:tcPr>
          <w:p w14:paraId="4B1BFE34" w14:textId="29FCCD3D" w:rsidR="00E8704E" w:rsidRDefault="00E8704E" w:rsidP="00215A1A">
            <w:pPr>
              <w:spacing w:before="60" w:after="60"/>
              <w:jc w:val="left"/>
              <w:rPr>
                <w:sz w:val="20"/>
              </w:rPr>
            </w:pPr>
            <w:r w:rsidRPr="007A225B">
              <w:t>Rail</w:t>
            </w:r>
          </w:p>
        </w:tc>
        <w:tc>
          <w:tcPr>
            <w:tcW w:w="3969" w:type="dxa"/>
            <w:tcBorders>
              <w:top w:val="single" w:sz="4" w:space="0" w:color="000000"/>
            </w:tcBorders>
            <w:vAlign w:val="center"/>
          </w:tcPr>
          <w:p w14:paraId="0BF4008A" w14:textId="2EB74627" w:rsidR="00E8704E" w:rsidRPr="008343EF" w:rsidRDefault="00E8704E" w:rsidP="00215A1A">
            <w:pPr>
              <w:spacing w:before="60" w:after="60"/>
              <w:jc w:val="left"/>
              <w:rPr>
                <w:sz w:val="20"/>
              </w:rPr>
            </w:pPr>
            <w:r w:rsidRPr="00D22FDF">
              <w:t>Locomotive</w:t>
            </w:r>
          </w:p>
        </w:tc>
        <w:tc>
          <w:tcPr>
            <w:tcW w:w="1984" w:type="dxa"/>
            <w:tcBorders>
              <w:top w:val="single" w:sz="4" w:space="0" w:color="000000"/>
            </w:tcBorders>
            <w:vAlign w:val="center"/>
          </w:tcPr>
          <w:p w14:paraId="2AC553F9" w14:textId="42D6AA48" w:rsidR="00E8704E" w:rsidRPr="00923150" w:rsidRDefault="00E8704E" w:rsidP="00215A1A">
            <w:pPr>
              <w:spacing w:before="60" w:after="60"/>
              <w:jc w:val="center"/>
              <w:rPr>
                <w:sz w:val="20"/>
              </w:rPr>
            </w:pPr>
            <w:r w:rsidRPr="00E00DBB">
              <w:t>1,900</w:t>
            </w:r>
          </w:p>
        </w:tc>
      </w:tr>
      <w:tr w:rsidR="00E8704E" w:rsidRPr="00923150" w14:paraId="41000492" w14:textId="77777777" w:rsidTr="00E8704E">
        <w:trPr>
          <w:trHeight w:val="456"/>
        </w:trPr>
        <w:tc>
          <w:tcPr>
            <w:tcW w:w="1134" w:type="dxa"/>
            <w:tcBorders>
              <w:top w:val="single" w:sz="4" w:space="0" w:color="000000"/>
            </w:tcBorders>
            <w:vAlign w:val="center"/>
          </w:tcPr>
          <w:p w14:paraId="1D331443" w14:textId="112564E9" w:rsidR="00E8704E" w:rsidRDefault="00E8704E" w:rsidP="00215A1A">
            <w:pPr>
              <w:spacing w:before="60" w:after="60"/>
              <w:jc w:val="left"/>
              <w:rPr>
                <w:sz w:val="20"/>
              </w:rPr>
            </w:pPr>
            <w:r w:rsidRPr="00481C6A">
              <w:t>MAC4</w:t>
            </w:r>
          </w:p>
        </w:tc>
        <w:tc>
          <w:tcPr>
            <w:tcW w:w="2552" w:type="dxa"/>
            <w:tcBorders>
              <w:top w:val="single" w:sz="4" w:space="0" w:color="000000"/>
            </w:tcBorders>
            <w:vAlign w:val="center"/>
          </w:tcPr>
          <w:p w14:paraId="4B9CFED1" w14:textId="428B9892" w:rsidR="00E8704E" w:rsidRDefault="00E8704E" w:rsidP="00215A1A">
            <w:pPr>
              <w:spacing w:before="60" w:after="60"/>
              <w:jc w:val="left"/>
              <w:rPr>
                <w:sz w:val="20"/>
              </w:rPr>
            </w:pPr>
            <w:r w:rsidRPr="007A225B">
              <w:t>Vehicles: other</w:t>
            </w:r>
          </w:p>
        </w:tc>
        <w:tc>
          <w:tcPr>
            <w:tcW w:w="3969" w:type="dxa"/>
            <w:tcBorders>
              <w:top w:val="single" w:sz="4" w:space="0" w:color="000000"/>
            </w:tcBorders>
            <w:vAlign w:val="center"/>
          </w:tcPr>
          <w:p w14:paraId="60E885C5" w14:textId="6A066A5E" w:rsidR="00E8704E" w:rsidRPr="008343EF" w:rsidRDefault="00E8704E" w:rsidP="00215A1A">
            <w:pPr>
              <w:spacing w:before="60" w:after="60"/>
              <w:jc w:val="left"/>
              <w:rPr>
                <w:sz w:val="20"/>
              </w:rPr>
            </w:pPr>
            <w:r w:rsidRPr="00D22FDF">
              <w:t xml:space="preserve">Off-road, defence and other (boat, etc.) </w:t>
            </w:r>
          </w:p>
        </w:tc>
        <w:tc>
          <w:tcPr>
            <w:tcW w:w="1984" w:type="dxa"/>
            <w:tcBorders>
              <w:top w:val="single" w:sz="4" w:space="0" w:color="000000"/>
            </w:tcBorders>
            <w:vAlign w:val="center"/>
          </w:tcPr>
          <w:p w14:paraId="5360BB58" w14:textId="40A41DD6" w:rsidR="00E8704E" w:rsidRPr="00923150" w:rsidRDefault="00E8704E" w:rsidP="00215A1A">
            <w:pPr>
              <w:spacing w:before="60" w:after="60"/>
              <w:jc w:val="center"/>
              <w:rPr>
                <w:sz w:val="20"/>
              </w:rPr>
            </w:pPr>
            <w:r w:rsidRPr="00E00DBB">
              <w:t>32,800</w:t>
            </w:r>
          </w:p>
        </w:tc>
      </w:tr>
      <w:tr w:rsidR="00215A1A" w:rsidRPr="003E19E1" w14:paraId="4BB9934E" w14:textId="77777777" w:rsidTr="00E141EE">
        <w:trPr>
          <w:trHeight w:val="456"/>
        </w:trPr>
        <w:tc>
          <w:tcPr>
            <w:tcW w:w="1134" w:type="dxa"/>
            <w:tcBorders>
              <w:top w:val="double" w:sz="4" w:space="0" w:color="auto"/>
            </w:tcBorders>
            <w:vAlign w:val="center"/>
          </w:tcPr>
          <w:p w14:paraId="3AA28F06" w14:textId="77777777" w:rsidR="00215A1A" w:rsidRPr="003E19E1" w:rsidRDefault="00215A1A" w:rsidP="00215A1A">
            <w:pPr>
              <w:spacing w:before="60" w:after="60"/>
              <w:jc w:val="left"/>
              <w:rPr>
                <w:szCs w:val="22"/>
              </w:rPr>
            </w:pPr>
            <w:r w:rsidRPr="003E19E1">
              <w:rPr>
                <w:szCs w:val="22"/>
              </w:rPr>
              <w:t>AC</w:t>
            </w:r>
          </w:p>
        </w:tc>
        <w:tc>
          <w:tcPr>
            <w:tcW w:w="2552" w:type="dxa"/>
            <w:tcBorders>
              <w:top w:val="double" w:sz="4" w:space="0" w:color="auto"/>
            </w:tcBorders>
            <w:vAlign w:val="center"/>
          </w:tcPr>
          <w:p w14:paraId="0955B33F" w14:textId="18121C8F" w:rsidR="00215A1A" w:rsidRPr="003E19E1" w:rsidRDefault="00215A1A" w:rsidP="00215A1A">
            <w:pPr>
              <w:spacing w:before="60" w:after="60"/>
              <w:jc w:val="left"/>
              <w:rPr>
                <w:szCs w:val="22"/>
              </w:rPr>
            </w:pPr>
            <w:r w:rsidRPr="003E19E1">
              <w:rPr>
                <w:szCs w:val="22"/>
              </w:rPr>
              <w:t xml:space="preserve">Total </w:t>
            </w:r>
            <w:r>
              <w:rPr>
                <w:szCs w:val="22"/>
              </w:rPr>
              <w:t>mobile</w:t>
            </w:r>
            <w:r w:rsidRPr="003E19E1">
              <w:rPr>
                <w:szCs w:val="22"/>
              </w:rPr>
              <w:t xml:space="preserve"> AC</w:t>
            </w:r>
          </w:p>
        </w:tc>
        <w:tc>
          <w:tcPr>
            <w:tcW w:w="3969" w:type="dxa"/>
            <w:tcBorders>
              <w:top w:val="double" w:sz="4" w:space="0" w:color="auto"/>
            </w:tcBorders>
            <w:vAlign w:val="center"/>
          </w:tcPr>
          <w:p w14:paraId="37CA381A" w14:textId="77777777" w:rsidR="00215A1A" w:rsidRPr="003E19E1" w:rsidRDefault="00215A1A" w:rsidP="00215A1A">
            <w:pPr>
              <w:spacing w:before="60" w:after="60"/>
              <w:jc w:val="left"/>
              <w:rPr>
                <w:szCs w:val="22"/>
              </w:rPr>
            </w:pPr>
          </w:p>
        </w:tc>
        <w:tc>
          <w:tcPr>
            <w:tcW w:w="1984" w:type="dxa"/>
            <w:tcBorders>
              <w:top w:val="double" w:sz="4" w:space="0" w:color="auto"/>
            </w:tcBorders>
            <w:vAlign w:val="center"/>
          </w:tcPr>
          <w:p w14:paraId="63D70A78" w14:textId="2E52BF0D" w:rsidR="00215A1A" w:rsidRPr="003E19E1" w:rsidRDefault="00215A1A" w:rsidP="00E8704E">
            <w:pPr>
              <w:spacing w:before="60" w:after="60"/>
              <w:jc w:val="center"/>
              <w:rPr>
                <w:szCs w:val="22"/>
              </w:rPr>
            </w:pPr>
            <w:r w:rsidRPr="00F515AE">
              <w:t>15,20</w:t>
            </w:r>
            <w:r w:rsidR="00E8704E">
              <w:t>8</w:t>
            </w:r>
            <w:r w:rsidRPr="00F515AE">
              <w:t>,</w:t>
            </w:r>
            <w:r w:rsidR="00E8704E">
              <w:t>100</w:t>
            </w:r>
          </w:p>
        </w:tc>
      </w:tr>
    </w:tbl>
    <w:p w14:paraId="6E4AA512" w14:textId="3F30E38C" w:rsidR="00A27E31" w:rsidRPr="00116557" w:rsidRDefault="00A27E31" w:rsidP="00A27E31">
      <w:pPr>
        <w:spacing w:before="0"/>
        <w:rPr>
          <w:sz w:val="20"/>
          <w:szCs w:val="20"/>
        </w:rPr>
      </w:pPr>
      <w:r w:rsidRPr="00116557">
        <w:rPr>
          <w:sz w:val="20"/>
          <w:szCs w:val="20"/>
        </w:rPr>
        <w:t>(Sources: DSEWPaC 2013a, DSEWPaC 2013</w:t>
      </w:r>
      <w:r w:rsidR="00F70B91">
        <w:rPr>
          <w:sz w:val="20"/>
          <w:szCs w:val="20"/>
        </w:rPr>
        <w:t>b</w:t>
      </w:r>
      <w:r w:rsidRPr="00116557">
        <w:rPr>
          <w:sz w:val="20"/>
          <w:szCs w:val="20"/>
        </w:rPr>
        <w:t>, FAPM 2013</w:t>
      </w:r>
      <w:r>
        <w:rPr>
          <w:sz w:val="20"/>
          <w:szCs w:val="20"/>
        </w:rPr>
        <w:t>,</w:t>
      </w:r>
      <w:r w:rsidRPr="00116557">
        <w:rPr>
          <w:sz w:val="20"/>
          <w:szCs w:val="20"/>
        </w:rPr>
        <w:t xml:space="preserve"> ABS 9309.0 2012, ABS 9314.0 2012, DSEWPaC 2011</w:t>
      </w:r>
      <w:r>
        <w:rPr>
          <w:sz w:val="20"/>
          <w:szCs w:val="20"/>
        </w:rPr>
        <w:t xml:space="preserve">, ABS 9208.0 2010 </w:t>
      </w:r>
      <w:r w:rsidRPr="00116557">
        <w:rPr>
          <w:sz w:val="20"/>
          <w:szCs w:val="20"/>
        </w:rPr>
        <w:t>and industry informants)</w:t>
      </w:r>
    </w:p>
    <w:p w14:paraId="4F4C0FF7" w14:textId="61C7178D" w:rsidR="005D4B7C" w:rsidRPr="005D4B7C" w:rsidRDefault="005D4B7C" w:rsidP="006B330E">
      <w:pPr>
        <w:spacing w:before="240"/>
        <w:rPr>
          <w:szCs w:val="22"/>
        </w:rPr>
      </w:pPr>
      <w:r w:rsidRPr="005D4B7C">
        <w:rPr>
          <w:szCs w:val="22"/>
        </w:rPr>
        <w:t>Hydrocarbon is reported to be the second most widely used refrigerant in mobile air conditioning. It is</w:t>
      </w:r>
      <w:r>
        <w:rPr>
          <w:szCs w:val="22"/>
        </w:rPr>
        <w:t xml:space="preserve"> </w:t>
      </w:r>
      <w:r w:rsidRPr="005D4B7C">
        <w:rPr>
          <w:szCs w:val="22"/>
        </w:rPr>
        <w:t xml:space="preserve">thought to be employed most frequently in the service market for </w:t>
      </w:r>
      <w:r w:rsidR="00EC0E17">
        <w:rPr>
          <w:szCs w:val="22"/>
        </w:rPr>
        <w:t xml:space="preserve">older </w:t>
      </w:r>
      <w:r w:rsidRPr="005D4B7C">
        <w:rPr>
          <w:szCs w:val="22"/>
        </w:rPr>
        <w:t xml:space="preserve">second hand vehicles and is estimated to account for around 8 per cent of </w:t>
      </w:r>
      <w:r w:rsidR="006E3CDD">
        <w:rPr>
          <w:szCs w:val="22"/>
        </w:rPr>
        <w:t xml:space="preserve">the refrigerant gas used in </w:t>
      </w:r>
      <w:r w:rsidRPr="005D4B7C">
        <w:rPr>
          <w:szCs w:val="22"/>
        </w:rPr>
        <w:t xml:space="preserve">passenger and light commercial vehicles. </w:t>
      </w:r>
    </w:p>
    <w:p w14:paraId="340D4CD3" w14:textId="78899C81" w:rsidR="005D4B7C" w:rsidRPr="005D4B7C" w:rsidRDefault="005D4B7C" w:rsidP="005D4B7C">
      <w:pPr>
        <w:rPr>
          <w:szCs w:val="22"/>
        </w:rPr>
      </w:pPr>
      <w:r w:rsidRPr="005D4B7C">
        <w:rPr>
          <w:szCs w:val="22"/>
        </w:rPr>
        <w:t xml:space="preserve">This equates to around 1,200,000 passenger and light commercial vehicles on </w:t>
      </w:r>
      <w:r w:rsidR="00962007">
        <w:rPr>
          <w:szCs w:val="22"/>
        </w:rPr>
        <w:t xml:space="preserve">the </w:t>
      </w:r>
      <w:r w:rsidRPr="005D4B7C">
        <w:rPr>
          <w:szCs w:val="22"/>
        </w:rPr>
        <w:t xml:space="preserve">road. Other refrigerants found in mobile refrigeration applications include HFC-407C and HFC-410A </w:t>
      </w:r>
      <w:r w:rsidR="006E3CDD">
        <w:rPr>
          <w:szCs w:val="22"/>
        </w:rPr>
        <w:t xml:space="preserve">which are </w:t>
      </w:r>
      <w:r w:rsidRPr="005D4B7C">
        <w:rPr>
          <w:szCs w:val="22"/>
        </w:rPr>
        <w:t>more likely to be used in locomotive, passenger rail and off-road applications. The relatively rare HFC-124 can be found in extreme ambient applications such as in mobile cranes.</w:t>
      </w:r>
    </w:p>
    <w:p w14:paraId="7CE44407" w14:textId="484289CE" w:rsidR="004D3C64" w:rsidRDefault="005D4B7C" w:rsidP="00BE3B27">
      <w:pPr>
        <w:rPr>
          <w:szCs w:val="22"/>
        </w:rPr>
      </w:pPr>
      <w:r w:rsidRPr="005D4B7C">
        <w:rPr>
          <w:szCs w:val="22"/>
        </w:rPr>
        <w:t>Consumption in automotive and truck manufacturing was estimated to be 180 tonnes in 2012. Automotive passenger vehicle manufacturing declined from 326,960 (including light commercial vehicles) in 2006 to 221,073 in 2012, partially due to the closure of the Mitsubishi factory in 2008. This decline removed demand of between 50 to 60 tonnes per annum from HFC-134a consumptio</w:t>
      </w:r>
      <w:r>
        <w:rPr>
          <w:szCs w:val="22"/>
        </w:rPr>
        <w:t>n</w:t>
      </w:r>
      <w:r w:rsidR="00EC0E17">
        <w:rPr>
          <w:szCs w:val="22"/>
        </w:rPr>
        <w:t xml:space="preserve">. The </w:t>
      </w:r>
      <w:r>
        <w:rPr>
          <w:szCs w:val="22"/>
        </w:rPr>
        <w:t>recently announced closure of the Ford Motor Company manufacturing operations in Geelong and Broadmeadows in Victoria will have a similar effect between now and 2016.</w:t>
      </w:r>
    </w:p>
    <w:p w14:paraId="416067E8" w14:textId="77777777" w:rsidR="00974632" w:rsidRDefault="00974632" w:rsidP="00BE3B27">
      <w:pPr>
        <w:rPr>
          <w:szCs w:val="22"/>
        </w:rPr>
      </w:pPr>
    </w:p>
    <w:p w14:paraId="33CC6B9D" w14:textId="77777777" w:rsidR="00C97391" w:rsidRDefault="00C97391">
      <w:pPr>
        <w:spacing w:before="0"/>
        <w:jc w:val="left"/>
        <w:rPr>
          <w:i/>
          <w:szCs w:val="22"/>
        </w:rPr>
      </w:pPr>
      <w:r>
        <w:rPr>
          <w:i/>
          <w:szCs w:val="22"/>
        </w:rPr>
        <w:br w:type="page"/>
      </w:r>
    </w:p>
    <w:p w14:paraId="1F0C2D81" w14:textId="5CDD6083" w:rsidR="00441A11" w:rsidRPr="00D16B26" w:rsidRDefault="00441A11" w:rsidP="006B330E">
      <w:pPr>
        <w:spacing w:before="0"/>
        <w:jc w:val="left"/>
        <w:rPr>
          <w:i/>
          <w:szCs w:val="22"/>
        </w:rPr>
      </w:pPr>
      <w:bookmarkStart w:id="19" w:name="_Toc233084052"/>
      <w:r w:rsidRPr="00D16B26">
        <w:rPr>
          <w:i/>
          <w:szCs w:val="22"/>
        </w:rPr>
        <w:lastRenderedPageBreak/>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8</w:t>
      </w:r>
      <w:r w:rsidRPr="00D16B26">
        <w:rPr>
          <w:i/>
          <w:szCs w:val="22"/>
        </w:rPr>
        <w:fldChar w:fldCharType="end"/>
      </w:r>
      <w:r w:rsidRPr="00D16B26">
        <w:rPr>
          <w:i/>
          <w:szCs w:val="22"/>
        </w:rPr>
        <w:t xml:space="preserve">: </w:t>
      </w:r>
      <w:r>
        <w:rPr>
          <w:i/>
          <w:szCs w:val="22"/>
        </w:rPr>
        <w:t>Mobile a</w:t>
      </w:r>
      <w:r w:rsidRPr="00866793">
        <w:rPr>
          <w:i/>
          <w:szCs w:val="22"/>
        </w:rPr>
        <w:t xml:space="preserve">ir conditioning </w:t>
      </w:r>
      <w:r>
        <w:rPr>
          <w:i/>
          <w:szCs w:val="22"/>
        </w:rPr>
        <w:t>m</w:t>
      </w:r>
      <w:r w:rsidRPr="00866793">
        <w:rPr>
          <w:i/>
          <w:szCs w:val="22"/>
        </w:rPr>
        <w:t>ain metrics</w:t>
      </w:r>
      <w:bookmarkEnd w:id="19"/>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4536"/>
      </w:tblGrid>
      <w:tr w:rsidR="00441A11" w:rsidRPr="00866793" w14:paraId="5883B0E7" w14:textId="77777777" w:rsidTr="00441A11">
        <w:trPr>
          <w:trHeight w:val="456"/>
        </w:trPr>
        <w:tc>
          <w:tcPr>
            <w:tcW w:w="9639" w:type="dxa"/>
            <w:gridSpan w:val="2"/>
            <w:tcBorders>
              <w:top w:val="single" w:sz="4" w:space="0" w:color="000000"/>
            </w:tcBorders>
            <w:shd w:val="clear" w:color="auto" w:fill="000000"/>
            <w:vAlign w:val="center"/>
          </w:tcPr>
          <w:p w14:paraId="2BD654E5" w14:textId="7277719D" w:rsidR="00441A11" w:rsidRPr="00866793" w:rsidRDefault="00441A11" w:rsidP="00441A11">
            <w:pPr>
              <w:spacing w:before="60" w:after="60"/>
              <w:jc w:val="left"/>
              <w:rPr>
                <w:szCs w:val="22"/>
              </w:rPr>
            </w:pPr>
            <w:r>
              <w:rPr>
                <w:szCs w:val="22"/>
              </w:rPr>
              <w:t>Mobile air conditioning s</w:t>
            </w:r>
            <w:r w:rsidRPr="00866793">
              <w:rPr>
                <w:szCs w:val="22"/>
              </w:rPr>
              <w:t>ummary all categories</w:t>
            </w:r>
          </w:p>
        </w:tc>
      </w:tr>
      <w:tr w:rsidR="00441A11" w:rsidRPr="00923150" w14:paraId="6789BBD3" w14:textId="77777777" w:rsidTr="00D133DC">
        <w:trPr>
          <w:trHeight w:val="456"/>
        </w:trPr>
        <w:tc>
          <w:tcPr>
            <w:tcW w:w="5103" w:type="dxa"/>
            <w:tcBorders>
              <w:top w:val="single" w:sz="4" w:space="0" w:color="000000"/>
            </w:tcBorders>
            <w:vAlign w:val="center"/>
          </w:tcPr>
          <w:p w14:paraId="4F267458" w14:textId="39E23623" w:rsidR="00441A11" w:rsidRPr="00866793" w:rsidRDefault="00441A11" w:rsidP="00E733E5">
            <w:pPr>
              <w:spacing w:before="60" w:after="60"/>
              <w:jc w:val="left"/>
              <w:rPr>
                <w:rFonts w:cs="Times New Roman"/>
                <w:szCs w:val="22"/>
              </w:rPr>
            </w:pPr>
            <w:r w:rsidRPr="00866793">
              <w:rPr>
                <w:rFonts w:cs="Times New Roman"/>
                <w:szCs w:val="22"/>
              </w:rPr>
              <w:t xml:space="preserve">Share of </w:t>
            </w:r>
            <w:r w:rsidR="00E733E5">
              <w:rPr>
                <w:rFonts w:cs="Times New Roman"/>
                <w:szCs w:val="22"/>
              </w:rPr>
              <w:t xml:space="preserve">refrigerant </w:t>
            </w:r>
            <w:r w:rsidRPr="00866793">
              <w:rPr>
                <w:rFonts w:cs="Times New Roman"/>
                <w:szCs w:val="22"/>
              </w:rPr>
              <w:t>bank:</w:t>
            </w:r>
          </w:p>
        </w:tc>
        <w:tc>
          <w:tcPr>
            <w:tcW w:w="4536" w:type="dxa"/>
            <w:tcBorders>
              <w:top w:val="single" w:sz="4" w:space="0" w:color="000000"/>
            </w:tcBorders>
            <w:vAlign w:val="center"/>
          </w:tcPr>
          <w:p w14:paraId="114A396D" w14:textId="4FF838C0" w:rsidR="00441A11" w:rsidRPr="00866793" w:rsidRDefault="00441A11" w:rsidP="00441A11">
            <w:pPr>
              <w:spacing w:before="60" w:after="60"/>
              <w:jc w:val="left"/>
              <w:rPr>
                <w:rFonts w:cs="Times New Roman"/>
                <w:szCs w:val="22"/>
              </w:rPr>
            </w:pPr>
            <w:r w:rsidRPr="00A140EF">
              <w:t>21%</w:t>
            </w:r>
          </w:p>
        </w:tc>
      </w:tr>
      <w:tr w:rsidR="00441A11" w:rsidRPr="00923150" w14:paraId="231463E4" w14:textId="77777777" w:rsidTr="00D133DC">
        <w:trPr>
          <w:trHeight w:val="456"/>
        </w:trPr>
        <w:tc>
          <w:tcPr>
            <w:tcW w:w="5103" w:type="dxa"/>
            <w:tcBorders>
              <w:top w:val="single" w:sz="4" w:space="0" w:color="000000"/>
            </w:tcBorders>
            <w:vAlign w:val="center"/>
          </w:tcPr>
          <w:p w14:paraId="29F77475" w14:textId="6E000D54" w:rsidR="00441A11" w:rsidRPr="00866793" w:rsidRDefault="00441A11" w:rsidP="00E733E5">
            <w:pPr>
              <w:spacing w:before="60" w:after="60"/>
              <w:jc w:val="left"/>
              <w:rPr>
                <w:rFonts w:cs="Times New Roman"/>
                <w:szCs w:val="22"/>
              </w:rPr>
            </w:pPr>
            <w:r w:rsidRPr="00866793">
              <w:rPr>
                <w:rFonts w:cs="Times New Roman"/>
                <w:szCs w:val="22"/>
              </w:rPr>
              <w:t xml:space="preserve">Size of </w:t>
            </w:r>
            <w:r w:rsidR="00E733E5">
              <w:rPr>
                <w:rFonts w:cs="Times New Roman"/>
                <w:szCs w:val="22"/>
              </w:rPr>
              <w:t>refrigerant</w:t>
            </w:r>
            <w:r w:rsidRPr="00866793">
              <w:rPr>
                <w:rFonts w:cs="Times New Roman"/>
                <w:szCs w:val="22"/>
              </w:rPr>
              <w:t xml:space="preserve"> bank:</w:t>
            </w:r>
          </w:p>
        </w:tc>
        <w:tc>
          <w:tcPr>
            <w:tcW w:w="4536" w:type="dxa"/>
            <w:tcBorders>
              <w:top w:val="single" w:sz="4" w:space="0" w:color="000000"/>
            </w:tcBorders>
            <w:vAlign w:val="center"/>
          </w:tcPr>
          <w:p w14:paraId="153B6813" w14:textId="7985941F" w:rsidR="00441A11" w:rsidRPr="00866793" w:rsidRDefault="00441A11" w:rsidP="00441A11">
            <w:pPr>
              <w:spacing w:before="60" w:after="60"/>
              <w:jc w:val="left"/>
              <w:rPr>
                <w:rFonts w:cs="Times New Roman"/>
                <w:szCs w:val="22"/>
              </w:rPr>
            </w:pPr>
            <w:r w:rsidRPr="00A140EF">
              <w:t>9,100 tonnes</w:t>
            </w:r>
          </w:p>
        </w:tc>
      </w:tr>
      <w:tr w:rsidR="00441A11" w:rsidRPr="00923150" w14:paraId="2A268378" w14:textId="77777777" w:rsidTr="00D133DC">
        <w:trPr>
          <w:trHeight w:val="456"/>
        </w:trPr>
        <w:tc>
          <w:tcPr>
            <w:tcW w:w="5103" w:type="dxa"/>
            <w:tcBorders>
              <w:top w:val="single" w:sz="4" w:space="0" w:color="000000"/>
            </w:tcBorders>
            <w:vAlign w:val="center"/>
          </w:tcPr>
          <w:p w14:paraId="6048E423" w14:textId="6DCDFD9F" w:rsidR="00441A11" w:rsidRPr="00866793" w:rsidRDefault="00441A11" w:rsidP="00441A11">
            <w:pPr>
              <w:spacing w:before="60" w:after="60"/>
              <w:jc w:val="left"/>
              <w:rPr>
                <w:rFonts w:cs="Times New Roman"/>
                <w:szCs w:val="22"/>
              </w:rPr>
            </w:pPr>
            <w:r w:rsidRPr="00866793">
              <w:rPr>
                <w:rFonts w:cs="Times New Roman"/>
                <w:szCs w:val="22"/>
              </w:rPr>
              <w:t>Annual consumption to replace leaks</w:t>
            </w:r>
            <w:r w:rsidR="00D37CDD">
              <w:rPr>
                <w:rFonts w:cs="Times New Roman"/>
                <w:szCs w:val="22"/>
              </w:rPr>
              <w:t xml:space="preserve"> (excl. OEM)</w:t>
            </w:r>
            <w:r w:rsidRPr="00866793">
              <w:rPr>
                <w:rFonts w:cs="Times New Roman"/>
                <w:szCs w:val="22"/>
              </w:rPr>
              <w:t>:</w:t>
            </w:r>
          </w:p>
        </w:tc>
        <w:tc>
          <w:tcPr>
            <w:tcW w:w="4536" w:type="dxa"/>
            <w:tcBorders>
              <w:top w:val="single" w:sz="4" w:space="0" w:color="000000"/>
            </w:tcBorders>
            <w:vAlign w:val="center"/>
          </w:tcPr>
          <w:p w14:paraId="67650966" w14:textId="259F5D60" w:rsidR="00441A11" w:rsidRPr="00866793" w:rsidRDefault="00441A11" w:rsidP="00D37CDD">
            <w:pPr>
              <w:spacing w:before="60" w:after="60"/>
              <w:jc w:val="left"/>
              <w:rPr>
                <w:rFonts w:cs="Times New Roman"/>
                <w:szCs w:val="22"/>
              </w:rPr>
            </w:pPr>
            <w:r w:rsidRPr="00A140EF">
              <w:t>1,</w:t>
            </w:r>
            <w:r w:rsidR="00D37CDD">
              <w:t>048</w:t>
            </w:r>
            <w:r w:rsidRPr="00A140EF">
              <w:t xml:space="preserve"> tonnes</w:t>
            </w:r>
          </w:p>
        </w:tc>
      </w:tr>
      <w:tr w:rsidR="00441A11" w:rsidRPr="00923150" w14:paraId="458A75B1" w14:textId="77777777" w:rsidTr="00D133DC">
        <w:trPr>
          <w:trHeight w:val="456"/>
        </w:trPr>
        <w:tc>
          <w:tcPr>
            <w:tcW w:w="5103" w:type="dxa"/>
            <w:tcBorders>
              <w:top w:val="single" w:sz="4" w:space="0" w:color="000000"/>
            </w:tcBorders>
            <w:vAlign w:val="center"/>
          </w:tcPr>
          <w:p w14:paraId="228E5E46" w14:textId="77777777" w:rsidR="00441A11" w:rsidRPr="00866793" w:rsidRDefault="00441A11" w:rsidP="00441A11">
            <w:pPr>
              <w:spacing w:before="60" w:after="60"/>
              <w:jc w:val="left"/>
              <w:rPr>
                <w:rFonts w:cs="Times New Roman"/>
                <w:szCs w:val="22"/>
              </w:rPr>
            </w:pPr>
            <w:r w:rsidRPr="00866793">
              <w:rPr>
                <w:rFonts w:cs="Times New Roman"/>
                <w:szCs w:val="22"/>
              </w:rPr>
              <w:t>Share of total annual bulk imports to replace leaks:</w:t>
            </w:r>
          </w:p>
        </w:tc>
        <w:tc>
          <w:tcPr>
            <w:tcW w:w="4536" w:type="dxa"/>
            <w:tcBorders>
              <w:top w:val="single" w:sz="4" w:space="0" w:color="000000"/>
            </w:tcBorders>
            <w:vAlign w:val="center"/>
          </w:tcPr>
          <w:p w14:paraId="4AC36870" w14:textId="4D4BFB0B" w:rsidR="00441A11" w:rsidRPr="00866793" w:rsidRDefault="00D37CDD" w:rsidP="00D37CDD">
            <w:pPr>
              <w:spacing w:before="60" w:after="60"/>
              <w:jc w:val="left"/>
              <w:rPr>
                <w:rFonts w:cs="Times New Roman"/>
                <w:szCs w:val="22"/>
              </w:rPr>
            </w:pPr>
            <w:r>
              <w:t>33</w:t>
            </w:r>
            <w:r w:rsidR="00441A11" w:rsidRPr="00A140EF">
              <w:t>%</w:t>
            </w:r>
          </w:p>
        </w:tc>
      </w:tr>
      <w:tr w:rsidR="00441A11" w:rsidRPr="00923150" w14:paraId="61CA7699" w14:textId="77777777" w:rsidTr="00D133DC">
        <w:trPr>
          <w:trHeight w:val="456"/>
        </w:trPr>
        <w:tc>
          <w:tcPr>
            <w:tcW w:w="5103" w:type="dxa"/>
            <w:tcBorders>
              <w:top w:val="single" w:sz="4" w:space="0" w:color="000000"/>
            </w:tcBorders>
            <w:vAlign w:val="center"/>
          </w:tcPr>
          <w:p w14:paraId="6BD1DB71" w14:textId="1F94CCDA" w:rsidR="00441A11" w:rsidRPr="00866793" w:rsidRDefault="00F53D13" w:rsidP="00F53D13">
            <w:pPr>
              <w:spacing w:before="60" w:after="60"/>
              <w:jc w:val="left"/>
              <w:rPr>
                <w:rFonts w:cs="Times New Roman"/>
                <w:szCs w:val="22"/>
              </w:rPr>
            </w:pPr>
            <w:r w:rsidRPr="00F53D13">
              <w:rPr>
                <w:rFonts w:cs="Times New Roman"/>
                <w:szCs w:val="22"/>
              </w:rPr>
              <w:t xml:space="preserve">Gas in pre-charged equipment imports over </w:t>
            </w:r>
            <w:r>
              <w:rPr>
                <w:rFonts w:cs="Times New Roman"/>
                <w:szCs w:val="22"/>
              </w:rPr>
              <w:t xml:space="preserve">previous </w:t>
            </w:r>
            <w:r w:rsidRPr="00F53D13">
              <w:rPr>
                <w:rFonts w:cs="Times New Roman"/>
                <w:szCs w:val="22"/>
              </w:rPr>
              <w:t>five years</w:t>
            </w:r>
            <w:r>
              <w:rPr>
                <w:rFonts w:cs="Times New Roman"/>
                <w:szCs w:val="22"/>
              </w:rPr>
              <w:t xml:space="preserve"> (excl. 2012)</w:t>
            </w:r>
            <w:r w:rsidRPr="00F53D13">
              <w:rPr>
                <w:rFonts w:cs="Times New Roman"/>
                <w:szCs w:val="22"/>
              </w:rPr>
              <w:t>:</w:t>
            </w:r>
          </w:p>
        </w:tc>
        <w:tc>
          <w:tcPr>
            <w:tcW w:w="4536" w:type="dxa"/>
            <w:tcBorders>
              <w:top w:val="single" w:sz="4" w:space="0" w:color="000000"/>
            </w:tcBorders>
            <w:vAlign w:val="center"/>
          </w:tcPr>
          <w:p w14:paraId="31D67E35" w14:textId="69FC01DD" w:rsidR="00441A11" w:rsidRDefault="00441A11" w:rsidP="00441A11">
            <w:pPr>
              <w:spacing w:before="60" w:after="60"/>
              <w:jc w:val="left"/>
            </w:pPr>
            <w:r w:rsidRPr="00A140EF">
              <w:t xml:space="preserve">Vehicles with gross vehicle mass (GVM) &lt; 3.5 tonnes = </w:t>
            </w:r>
            <w:r w:rsidR="00F53D13">
              <w:t>359 to 507</w:t>
            </w:r>
            <w:r w:rsidRPr="00A140EF">
              <w:t xml:space="preserve"> tonnes</w:t>
            </w:r>
          </w:p>
          <w:p w14:paraId="6CDC7D94" w14:textId="50274894" w:rsidR="00441A11" w:rsidRPr="00866793" w:rsidRDefault="00441A11" w:rsidP="00F53D13">
            <w:pPr>
              <w:spacing w:before="60" w:after="60"/>
              <w:jc w:val="left"/>
              <w:rPr>
                <w:rFonts w:cs="Times New Roman"/>
                <w:szCs w:val="22"/>
              </w:rPr>
            </w:pPr>
            <w:r w:rsidRPr="00A140EF">
              <w:t xml:space="preserve">Vehicles with GVM &gt; 3.5 tonnes = </w:t>
            </w:r>
            <w:r w:rsidR="00F53D13">
              <w:t xml:space="preserve">37 to 51 </w:t>
            </w:r>
            <w:r w:rsidRPr="00A140EF">
              <w:t>tonnes</w:t>
            </w:r>
          </w:p>
        </w:tc>
      </w:tr>
      <w:tr w:rsidR="00441A11" w:rsidRPr="00923150" w14:paraId="70FB00BD" w14:textId="77777777" w:rsidTr="00D133DC">
        <w:trPr>
          <w:trHeight w:val="456"/>
        </w:trPr>
        <w:tc>
          <w:tcPr>
            <w:tcW w:w="5103" w:type="dxa"/>
            <w:tcBorders>
              <w:top w:val="single" w:sz="4" w:space="0" w:color="000000"/>
            </w:tcBorders>
            <w:vAlign w:val="center"/>
          </w:tcPr>
          <w:p w14:paraId="2F34B1B6" w14:textId="77777777" w:rsidR="00441A11" w:rsidRPr="00866793" w:rsidRDefault="00441A11" w:rsidP="00441A11">
            <w:pPr>
              <w:spacing w:before="60" w:after="60"/>
              <w:jc w:val="left"/>
              <w:rPr>
                <w:rFonts w:cs="Times New Roman"/>
                <w:szCs w:val="22"/>
              </w:rPr>
            </w:pPr>
            <w:r w:rsidRPr="00866793">
              <w:rPr>
                <w:rFonts w:cs="Times New Roman"/>
                <w:szCs w:val="22"/>
              </w:rPr>
              <w:t>Estimated stock of equipment:</w:t>
            </w:r>
          </w:p>
        </w:tc>
        <w:tc>
          <w:tcPr>
            <w:tcW w:w="4536" w:type="dxa"/>
            <w:tcBorders>
              <w:top w:val="single" w:sz="4" w:space="0" w:color="000000"/>
            </w:tcBorders>
            <w:vAlign w:val="center"/>
          </w:tcPr>
          <w:p w14:paraId="13925CB3" w14:textId="154A1A38" w:rsidR="00441A11" w:rsidRPr="00866793" w:rsidRDefault="00441A11" w:rsidP="00441A11">
            <w:pPr>
              <w:spacing w:before="60" w:after="60"/>
              <w:jc w:val="left"/>
              <w:rPr>
                <w:rFonts w:cs="Times New Roman"/>
                <w:szCs w:val="22"/>
              </w:rPr>
            </w:pPr>
            <w:r w:rsidRPr="00A140EF">
              <w:t xml:space="preserve">&gt; </w:t>
            </w:r>
            <w:r w:rsidR="0093777E">
              <w:t>16 million</w:t>
            </w:r>
            <w:r w:rsidRPr="00A140EF">
              <w:t xml:space="preserve"> units</w:t>
            </w:r>
          </w:p>
        </w:tc>
      </w:tr>
      <w:tr w:rsidR="00441A11" w:rsidRPr="00923150" w14:paraId="777F46A4" w14:textId="77777777" w:rsidTr="00D133DC">
        <w:trPr>
          <w:trHeight w:val="456"/>
        </w:trPr>
        <w:tc>
          <w:tcPr>
            <w:tcW w:w="5103" w:type="dxa"/>
            <w:tcBorders>
              <w:top w:val="single" w:sz="4" w:space="0" w:color="000000"/>
            </w:tcBorders>
            <w:vAlign w:val="center"/>
          </w:tcPr>
          <w:p w14:paraId="685837F6" w14:textId="77777777" w:rsidR="00441A11" w:rsidRPr="00866793" w:rsidRDefault="00441A11" w:rsidP="00441A11">
            <w:pPr>
              <w:spacing w:before="60" w:after="60"/>
              <w:jc w:val="left"/>
              <w:rPr>
                <w:rFonts w:cs="Times New Roman"/>
                <w:szCs w:val="22"/>
              </w:rPr>
            </w:pPr>
            <w:r w:rsidRPr="00866793">
              <w:rPr>
                <w:rFonts w:cs="Times New Roman"/>
                <w:szCs w:val="22"/>
              </w:rPr>
              <w:t>Charge size:</w:t>
            </w:r>
          </w:p>
        </w:tc>
        <w:tc>
          <w:tcPr>
            <w:tcW w:w="4536" w:type="dxa"/>
            <w:tcBorders>
              <w:top w:val="single" w:sz="4" w:space="0" w:color="000000"/>
            </w:tcBorders>
            <w:vAlign w:val="center"/>
          </w:tcPr>
          <w:p w14:paraId="675670C1" w14:textId="77777777" w:rsidR="00441A11" w:rsidRDefault="00441A11" w:rsidP="00B1786C">
            <w:pPr>
              <w:spacing w:before="60" w:after="60"/>
              <w:jc w:val="left"/>
            </w:pPr>
            <w:r w:rsidRPr="00A140EF">
              <w:t>500 grams</w:t>
            </w:r>
            <w:r w:rsidR="00B1786C" w:rsidRPr="00FA279D">
              <w:rPr>
                <w:rStyle w:val="FootnoteReference"/>
                <w:rFonts w:eastAsia="Times New Roman"/>
              </w:rPr>
              <w:footnoteReference w:id="9"/>
            </w:r>
            <w:r w:rsidRPr="00A140EF">
              <w:t xml:space="preserve"> to 10 kg</w:t>
            </w:r>
            <w:r w:rsidR="00882606">
              <w:t xml:space="preserve"> (buses)</w:t>
            </w:r>
          </w:p>
          <w:p w14:paraId="1B67C863" w14:textId="7A30915F" w:rsidR="00B1786C" w:rsidRPr="00866793" w:rsidRDefault="00B1786C" w:rsidP="00B1786C">
            <w:pPr>
              <w:spacing w:before="60" w:after="60"/>
              <w:jc w:val="left"/>
              <w:rPr>
                <w:rFonts w:cs="Times New Roman"/>
                <w:szCs w:val="22"/>
              </w:rPr>
            </w:pPr>
            <w:r>
              <w:t>Average charge (610 grams)</w:t>
            </w:r>
          </w:p>
        </w:tc>
      </w:tr>
      <w:tr w:rsidR="00441A11" w:rsidRPr="00923150" w14:paraId="3BCC0410" w14:textId="77777777" w:rsidTr="00D133DC">
        <w:trPr>
          <w:trHeight w:val="456"/>
        </w:trPr>
        <w:tc>
          <w:tcPr>
            <w:tcW w:w="5103" w:type="dxa"/>
            <w:tcBorders>
              <w:top w:val="single" w:sz="4" w:space="0" w:color="000000"/>
            </w:tcBorders>
            <w:vAlign w:val="center"/>
          </w:tcPr>
          <w:p w14:paraId="68C6091F" w14:textId="77777777" w:rsidR="00441A11" w:rsidRPr="00866793" w:rsidRDefault="00441A11" w:rsidP="00441A11">
            <w:pPr>
              <w:spacing w:before="60" w:after="60"/>
              <w:jc w:val="left"/>
              <w:rPr>
                <w:rFonts w:cs="Times New Roman"/>
                <w:szCs w:val="22"/>
              </w:rPr>
            </w:pPr>
            <w:r w:rsidRPr="00866793">
              <w:rPr>
                <w:rFonts w:cs="Times New Roman"/>
                <w:szCs w:val="22"/>
              </w:rPr>
              <w:t>Estimated leak rate:</w:t>
            </w:r>
          </w:p>
        </w:tc>
        <w:tc>
          <w:tcPr>
            <w:tcW w:w="4536" w:type="dxa"/>
            <w:tcBorders>
              <w:top w:val="single" w:sz="4" w:space="0" w:color="000000"/>
            </w:tcBorders>
            <w:vAlign w:val="center"/>
          </w:tcPr>
          <w:p w14:paraId="1058DABB" w14:textId="4A80BB34" w:rsidR="00441A11" w:rsidRPr="00866793" w:rsidRDefault="00441A11" w:rsidP="00441A11">
            <w:pPr>
              <w:spacing w:before="60" w:after="60"/>
              <w:jc w:val="left"/>
              <w:rPr>
                <w:rFonts w:cs="Times New Roman"/>
                <w:szCs w:val="22"/>
              </w:rPr>
            </w:pPr>
            <w:r w:rsidRPr="00A140EF">
              <w:t>10% to 12% of charge per annum</w:t>
            </w:r>
            <w:r w:rsidR="00656285">
              <w:t xml:space="preserve"> (incl. crash)</w:t>
            </w:r>
          </w:p>
        </w:tc>
      </w:tr>
      <w:tr w:rsidR="00441A11" w:rsidRPr="00923150" w14:paraId="01B0EF5D" w14:textId="77777777" w:rsidTr="00D133DC">
        <w:trPr>
          <w:trHeight w:val="456"/>
        </w:trPr>
        <w:tc>
          <w:tcPr>
            <w:tcW w:w="5103" w:type="dxa"/>
            <w:tcBorders>
              <w:top w:val="single" w:sz="4" w:space="0" w:color="000000"/>
            </w:tcBorders>
            <w:vAlign w:val="center"/>
          </w:tcPr>
          <w:p w14:paraId="1CC4A245" w14:textId="77777777" w:rsidR="00441A11" w:rsidRPr="00866793" w:rsidRDefault="00441A11" w:rsidP="00441A11">
            <w:pPr>
              <w:spacing w:before="60" w:after="60"/>
              <w:jc w:val="left"/>
              <w:rPr>
                <w:rFonts w:cs="Times New Roman"/>
                <w:szCs w:val="22"/>
              </w:rPr>
            </w:pPr>
            <w:r w:rsidRPr="00866793">
              <w:rPr>
                <w:rFonts w:cs="Times New Roman"/>
                <w:szCs w:val="22"/>
              </w:rPr>
              <w:t>Predominant gas species used by volume:</w:t>
            </w:r>
          </w:p>
        </w:tc>
        <w:tc>
          <w:tcPr>
            <w:tcW w:w="4536" w:type="dxa"/>
            <w:tcBorders>
              <w:top w:val="single" w:sz="4" w:space="0" w:color="000000"/>
            </w:tcBorders>
            <w:vAlign w:val="center"/>
          </w:tcPr>
          <w:p w14:paraId="3483B05A" w14:textId="1EE31D6E" w:rsidR="00CA7C7C" w:rsidRDefault="00441A11" w:rsidP="00882606">
            <w:pPr>
              <w:spacing w:before="60" w:after="60"/>
              <w:jc w:val="left"/>
            </w:pPr>
            <w:r w:rsidRPr="00A140EF">
              <w:t>HFC-134a</w:t>
            </w:r>
            <w:r>
              <w:t xml:space="preserve"> and hydrocarbon in </w:t>
            </w:r>
            <w:r w:rsidR="00882606">
              <w:t>passenger</w:t>
            </w:r>
            <w:r>
              <w:t xml:space="preserve"> </w:t>
            </w:r>
            <w:r w:rsidR="00882606">
              <w:t xml:space="preserve">and </w:t>
            </w:r>
            <w:r w:rsidR="00CA7C7C">
              <w:t xml:space="preserve">light </w:t>
            </w:r>
            <w:r w:rsidR="00882606">
              <w:t xml:space="preserve">commercial </w:t>
            </w:r>
            <w:r>
              <w:t>vehicles</w:t>
            </w:r>
            <w:r w:rsidR="00882606">
              <w:t xml:space="preserve"> </w:t>
            </w:r>
          </w:p>
          <w:p w14:paraId="3E91FD58" w14:textId="3B1139CC" w:rsidR="00441A11" w:rsidRPr="00866793" w:rsidRDefault="00882606" w:rsidP="00882606">
            <w:pPr>
              <w:spacing w:before="60" w:after="60"/>
              <w:jc w:val="left"/>
              <w:rPr>
                <w:rFonts w:cs="Times New Roman"/>
                <w:szCs w:val="22"/>
              </w:rPr>
            </w:pPr>
            <w:r>
              <w:t xml:space="preserve">HFC-134a, </w:t>
            </w:r>
            <w:r w:rsidR="00441A11" w:rsidRPr="00A140EF">
              <w:t>HCFC-22</w:t>
            </w:r>
            <w:r w:rsidR="00B1786C">
              <w:t>, HFC-407C</w:t>
            </w:r>
            <w:r w:rsidR="00441A11" w:rsidRPr="00A140EF">
              <w:t xml:space="preserve"> and HFC-410A</w:t>
            </w:r>
            <w:r>
              <w:t xml:space="preserve"> in other </w:t>
            </w:r>
            <w:r w:rsidR="00B1786C">
              <w:t xml:space="preserve">MAC </w:t>
            </w:r>
            <w:r>
              <w:t>equipment categories</w:t>
            </w:r>
          </w:p>
        </w:tc>
      </w:tr>
      <w:tr w:rsidR="00441A11" w:rsidRPr="00923150" w14:paraId="593A5F51" w14:textId="77777777" w:rsidTr="00D133DC">
        <w:trPr>
          <w:trHeight w:val="456"/>
        </w:trPr>
        <w:tc>
          <w:tcPr>
            <w:tcW w:w="5103" w:type="dxa"/>
            <w:tcBorders>
              <w:top w:val="single" w:sz="4" w:space="0" w:color="000000"/>
            </w:tcBorders>
            <w:vAlign w:val="center"/>
          </w:tcPr>
          <w:p w14:paraId="7BDB86D1" w14:textId="65621B42" w:rsidR="00441A11" w:rsidRPr="00866793" w:rsidRDefault="00441A11" w:rsidP="00441A11">
            <w:pPr>
              <w:spacing w:before="60" w:after="60"/>
              <w:jc w:val="left"/>
              <w:rPr>
                <w:rFonts w:cs="Times New Roman"/>
                <w:szCs w:val="22"/>
              </w:rPr>
            </w:pPr>
            <w:r w:rsidRPr="00866793">
              <w:rPr>
                <w:rFonts w:cs="Times New Roman"/>
                <w:szCs w:val="22"/>
              </w:rPr>
              <w:t xml:space="preserve">Annual </w:t>
            </w:r>
            <w:r>
              <w:rPr>
                <w:rFonts w:cs="Times New Roman"/>
                <w:szCs w:val="22"/>
              </w:rPr>
              <w:t>e</w:t>
            </w:r>
            <w:r w:rsidRPr="00866793">
              <w:rPr>
                <w:rFonts w:cs="Times New Roman"/>
                <w:szCs w:val="22"/>
              </w:rPr>
              <w:t xml:space="preserve">xpenditure on </w:t>
            </w:r>
            <w:r>
              <w:rPr>
                <w:rFonts w:cs="Times New Roman"/>
                <w:szCs w:val="22"/>
              </w:rPr>
              <w:t>n</w:t>
            </w:r>
            <w:r w:rsidRPr="00866793">
              <w:rPr>
                <w:rFonts w:cs="Times New Roman"/>
                <w:szCs w:val="22"/>
              </w:rPr>
              <w:t xml:space="preserve">ew </w:t>
            </w:r>
            <w:r>
              <w:rPr>
                <w:rFonts w:cs="Times New Roman"/>
                <w:szCs w:val="22"/>
              </w:rPr>
              <w:t>e</w:t>
            </w:r>
            <w:r w:rsidRPr="00866793">
              <w:rPr>
                <w:rFonts w:cs="Times New Roman"/>
                <w:szCs w:val="22"/>
              </w:rPr>
              <w:t>quipment</w:t>
            </w:r>
            <w:r>
              <w:rPr>
                <w:rFonts w:cs="Times New Roman"/>
                <w:szCs w:val="22"/>
              </w:rPr>
              <w:t>:</w:t>
            </w:r>
          </w:p>
        </w:tc>
        <w:tc>
          <w:tcPr>
            <w:tcW w:w="4536" w:type="dxa"/>
            <w:tcBorders>
              <w:top w:val="single" w:sz="4" w:space="0" w:color="000000"/>
            </w:tcBorders>
            <w:vAlign w:val="center"/>
          </w:tcPr>
          <w:p w14:paraId="2FCFFD6F" w14:textId="3706AA66" w:rsidR="00441A11" w:rsidRPr="00866793" w:rsidRDefault="00882606" w:rsidP="00441A11">
            <w:pPr>
              <w:spacing w:before="60" w:after="60"/>
              <w:jc w:val="left"/>
              <w:rPr>
                <w:rFonts w:cs="Times New Roman"/>
                <w:szCs w:val="22"/>
              </w:rPr>
            </w:pPr>
            <w:r w:rsidRPr="00A140EF">
              <w:t>~$560 M</w:t>
            </w:r>
            <w:r>
              <w:t>illion</w:t>
            </w:r>
          </w:p>
        </w:tc>
      </w:tr>
      <w:tr w:rsidR="00B1786C" w:rsidRPr="00923150" w14:paraId="11085D1B" w14:textId="77777777" w:rsidTr="00D133DC">
        <w:trPr>
          <w:trHeight w:val="456"/>
        </w:trPr>
        <w:tc>
          <w:tcPr>
            <w:tcW w:w="5103" w:type="dxa"/>
            <w:tcBorders>
              <w:top w:val="single" w:sz="4" w:space="0" w:color="000000"/>
            </w:tcBorders>
            <w:vAlign w:val="center"/>
          </w:tcPr>
          <w:p w14:paraId="212BBFDA" w14:textId="37D80F16" w:rsidR="00B1786C" w:rsidRPr="00866793" w:rsidRDefault="00B1786C" w:rsidP="00441A11">
            <w:pPr>
              <w:spacing w:before="60" w:after="60"/>
              <w:jc w:val="left"/>
              <w:rPr>
                <w:rFonts w:cs="Times New Roman"/>
                <w:szCs w:val="22"/>
              </w:rPr>
            </w:pPr>
            <w:r w:rsidRPr="00866793">
              <w:rPr>
                <w:rFonts w:cs="Times New Roman"/>
                <w:szCs w:val="22"/>
              </w:rPr>
              <w:t xml:space="preserve">Annual GHG </w:t>
            </w:r>
            <w:r>
              <w:rPr>
                <w:rFonts w:cs="Times New Roman"/>
                <w:szCs w:val="22"/>
              </w:rPr>
              <w:t>indirect e</w:t>
            </w:r>
            <w:r w:rsidRPr="00866793">
              <w:rPr>
                <w:rFonts w:cs="Times New Roman"/>
                <w:szCs w:val="22"/>
              </w:rPr>
              <w:t>missions</w:t>
            </w:r>
            <w:r>
              <w:rPr>
                <w:rFonts w:cs="Times New Roman"/>
                <w:szCs w:val="22"/>
              </w:rPr>
              <w:t>:</w:t>
            </w:r>
          </w:p>
        </w:tc>
        <w:tc>
          <w:tcPr>
            <w:tcW w:w="4536" w:type="dxa"/>
            <w:tcBorders>
              <w:top w:val="single" w:sz="4" w:space="0" w:color="000000"/>
            </w:tcBorders>
            <w:vAlign w:val="center"/>
          </w:tcPr>
          <w:p w14:paraId="266BCF9C" w14:textId="5B656095" w:rsidR="00B1786C" w:rsidRPr="00866793" w:rsidRDefault="00B1786C" w:rsidP="00441A11">
            <w:pPr>
              <w:spacing w:before="60" w:after="60"/>
              <w:jc w:val="left"/>
              <w:rPr>
                <w:rFonts w:cs="Times New Roman"/>
                <w:szCs w:val="22"/>
              </w:rPr>
            </w:pPr>
            <w:r w:rsidRPr="00A140EF">
              <w:t>3.03 Mt CO</w:t>
            </w:r>
            <w:r w:rsidRPr="00B1786C">
              <w:rPr>
                <w:vertAlign w:val="subscript"/>
              </w:rPr>
              <w:t>2</w:t>
            </w:r>
            <w:r w:rsidRPr="00A140EF">
              <w:t>-e</w:t>
            </w:r>
          </w:p>
        </w:tc>
      </w:tr>
      <w:tr w:rsidR="00B1786C" w:rsidRPr="00923150" w14:paraId="55961AC0" w14:textId="77777777" w:rsidTr="00D133DC">
        <w:trPr>
          <w:trHeight w:val="456"/>
        </w:trPr>
        <w:tc>
          <w:tcPr>
            <w:tcW w:w="5103" w:type="dxa"/>
            <w:tcBorders>
              <w:top w:val="single" w:sz="4" w:space="0" w:color="000000"/>
            </w:tcBorders>
            <w:vAlign w:val="center"/>
          </w:tcPr>
          <w:p w14:paraId="08E88896" w14:textId="76C78978" w:rsidR="00B1786C" w:rsidRPr="00866793" w:rsidRDefault="00B1786C" w:rsidP="00441A11">
            <w:pPr>
              <w:spacing w:before="60" w:after="60"/>
              <w:jc w:val="left"/>
              <w:rPr>
                <w:rFonts w:cs="Times New Roman"/>
                <w:szCs w:val="22"/>
              </w:rPr>
            </w:pPr>
            <w:r>
              <w:rPr>
                <w:rFonts w:cs="Times New Roman"/>
                <w:szCs w:val="22"/>
              </w:rPr>
              <w:t>Share of HVAC&amp;R i</w:t>
            </w:r>
            <w:r w:rsidRPr="00866793">
              <w:rPr>
                <w:rFonts w:cs="Times New Roman"/>
                <w:szCs w:val="22"/>
              </w:rPr>
              <w:t xml:space="preserve">ndirect </w:t>
            </w:r>
            <w:r>
              <w:rPr>
                <w:rFonts w:cs="Times New Roman"/>
                <w:szCs w:val="22"/>
              </w:rPr>
              <w:t>e</w:t>
            </w:r>
            <w:r w:rsidRPr="00866793">
              <w:rPr>
                <w:rFonts w:cs="Times New Roman"/>
                <w:szCs w:val="22"/>
              </w:rPr>
              <w:t>missions</w:t>
            </w:r>
            <w:r>
              <w:rPr>
                <w:rFonts w:cs="Times New Roman"/>
                <w:szCs w:val="22"/>
              </w:rPr>
              <w:t>:</w:t>
            </w:r>
          </w:p>
        </w:tc>
        <w:tc>
          <w:tcPr>
            <w:tcW w:w="4536" w:type="dxa"/>
            <w:tcBorders>
              <w:top w:val="single" w:sz="4" w:space="0" w:color="000000"/>
            </w:tcBorders>
            <w:vAlign w:val="center"/>
          </w:tcPr>
          <w:p w14:paraId="5BCCA9AC" w14:textId="6E2B88C2" w:rsidR="00B1786C" w:rsidRPr="00866793" w:rsidRDefault="00B1786C" w:rsidP="00FC2E99">
            <w:pPr>
              <w:spacing w:before="60" w:after="60"/>
              <w:jc w:val="left"/>
              <w:rPr>
                <w:rFonts w:cs="Times New Roman"/>
                <w:szCs w:val="22"/>
              </w:rPr>
            </w:pPr>
            <w:r w:rsidRPr="00A140EF">
              <w:t>5%</w:t>
            </w:r>
          </w:p>
        </w:tc>
      </w:tr>
      <w:tr w:rsidR="00441A11" w:rsidRPr="00923150" w14:paraId="2CEEC84A" w14:textId="77777777" w:rsidTr="00D133DC">
        <w:trPr>
          <w:trHeight w:val="456"/>
        </w:trPr>
        <w:tc>
          <w:tcPr>
            <w:tcW w:w="5103" w:type="dxa"/>
            <w:tcBorders>
              <w:top w:val="single" w:sz="4" w:space="0" w:color="000000"/>
            </w:tcBorders>
            <w:vAlign w:val="center"/>
          </w:tcPr>
          <w:p w14:paraId="7A8D2DD5" w14:textId="7A5D5320" w:rsidR="00441A11" w:rsidRPr="00866793" w:rsidRDefault="00441A11" w:rsidP="00441A11">
            <w:pPr>
              <w:spacing w:before="60" w:after="60"/>
              <w:jc w:val="left"/>
              <w:rPr>
                <w:rFonts w:cs="Times New Roman"/>
                <w:szCs w:val="22"/>
              </w:rPr>
            </w:pPr>
            <w:r w:rsidRPr="00866793">
              <w:rPr>
                <w:rFonts w:cs="Times New Roman"/>
                <w:szCs w:val="22"/>
              </w:rPr>
              <w:t xml:space="preserve">Annual GHG </w:t>
            </w:r>
            <w:r>
              <w:rPr>
                <w:rFonts w:cs="Times New Roman"/>
                <w:szCs w:val="22"/>
              </w:rPr>
              <w:t>direct e</w:t>
            </w:r>
            <w:r w:rsidRPr="00866793">
              <w:rPr>
                <w:rFonts w:cs="Times New Roman"/>
                <w:szCs w:val="22"/>
              </w:rPr>
              <w:t>missions</w:t>
            </w:r>
            <w:r w:rsidR="00CA7C7C">
              <w:rPr>
                <w:rFonts w:cs="Times New Roman"/>
                <w:szCs w:val="22"/>
              </w:rPr>
              <w:t xml:space="preserve"> (ODS)</w:t>
            </w:r>
            <w:r>
              <w:rPr>
                <w:rFonts w:cs="Times New Roman"/>
                <w:szCs w:val="22"/>
              </w:rPr>
              <w:t>:</w:t>
            </w:r>
          </w:p>
        </w:tc>
        <w:tc>
          <w:tcPr>
            <w:tcW w:w="4536" w:type="dxa"/>
            <w:tcBorders>
              <w:top w:val="single" w:sz="4" w:space="0" w:color="000000"/>
            </w:tcBorders>
            <w:vAlign w:val="center"/>
          </w:tcPr>
          <w:p w14:paraId="15244EC6" w14:textId="2E97FF39" w:rsidR="00441A11" w:rsidRPr="00D37CDD" w:rsidRDefault="006456C3" w:rsidP="00D37CDD">
            <w:pPr>
              <w:spacing w:before="60" w:after="60"/>
              <w:jc w:val="left"/>
            </w:pPr>
            <w:r>
              <w:t>0.01</w:t>
            </w:r>
            <w:r w:rsidR="00882606" w:rsidRPr="00A140EF">
              <w:t xml:space="preserve"> Mt CO</w:t>
            </w:r>
            <w:r w:rsidR="00882606" w:rsidRPr="00B1786C">
              <w:rPr>
                <w:vertAlign w:val="subscript"/>
              </w:rPr>
              <w:t>2</w:t>
            </w:r>
            <w:r w:rsidR="00882606" w:rsidRPr="00A140EF">
              <w:t>-e</w:t>
            </w:r>
          </w:p>
        </w:tc>
      </w:tr>
      <w:tr w:rsidR="00CA7C7C" w:rsidRPr="00923150" w14:paraId="5B10A372" w14:textId="77777777" w:rsidTr="00D133DC">
        <w:trPr>
          <w:trHeight w:val="456"/>
        </w:trPr>
        <w:tc>
          <w:tcPr>
            <w:tcW w:w="5103" w:type="dxa"/>
            <w:tcBorders>
              <w:top w:val="single" w:sz="4" w:space="0" w:color="000000"/>
            </w:tcBorders>
            <w:vAlign w:val="center"/>
          </w:tcPr>
          <w:p w14:paraId="17DD6D85" w14:textId="694AEA95" w:rsidR="00CA7C7C" w:rsidRPr="00866793" w:rsidRDefault="00CA7C7C" w:rsidP="00441A11">
            <w:pPr>
              <w:spacing w:before="60" w:after="60"/>
              <w:jc w:val="left"/>
              <w:rPr>
                <w:rFonts w:cs="Times New Roman"/>
                <w:szCs w:val="22"/>
              </w:rPr>
            </w:pPr>
            <w:r w:rsidRPr="00866793">
              <w:rPr>
                <w:rFonts w:cs="Times New Roman"/>
                <w:szCs w:val="22"/>
              </w:rPr>
              <w:t xml:space="preserve">Annual GHG </w:t>
            </w:r>
            <w:r>
              <w:rPr>
                <w:rFonts w:cs="Times New Roman"/>
                <w:szCs w:val="22"/>
              </w:rPr>
              <w:t>direct e</w:t>
            </w:r>
            <w:r w:rsidRPr="00866793">
              <w:rPr>
                <w:rFonts w:cs="Times New Roman"/>
                <w:szCs w:val="22"/>
              </w:rPr>
              <w:t>missions</w:t>
            </w:r>
            <w:r>
              <w:rPr>
                <w:rFonts w:cs="Times New Roman"/>
                <w:szCs w:val="22"/>
              </w:rPr>
              <w:t xml:space="preserve"> (SGG):</w:t>
            </w:r>
          </w:p>
        </w:tc>
        <w:tc>
          <w:tcPr>
            <w:tcW w:w="4536" w:type="dxa"/>
            <w:tcBorders>
              <w:top w:val="single" w:sz="4" w:space="0" w:color="000000"/>
            </w:tcBorders>
            <w:vAlign w:val="center"/>
          </w:tcPr>
          <w:p w14:paraId="24BF5445" w14:textId="4E2692DF" w:rsidR="00CA7C7C" w:rsidRPr="00A140EF" w:rsidRDefault="00D37CDD" w:rsidP="00D37CDD">
            <w:pPr>
              <w:spacing w:before="60" w:after="60"/>
              <w:jc w:val="left"/>
            </w:pPr>
            <w:r>
              <w:t>1.36 M</w:t>
            </w:r>
            <w:r w:rsidR="00CA7C7C" w:rsidRPr="00A140EF">
              <w:t>t CO</w:t>
            </w:r>
            <w:r w:rsidR="00CA7C7C" w:rsidRPr="00B1786C">
              <w:rPr>
                <w:vertAlign w:val="subscript"/>
              </w:rPr>
              <w:t>2</w:t>
            </w:r>
            <w:r w:rsidR="00CA7C7C" w:rsidRPr="00A140EF">
              <w:t>-e</w:t>
            </w:r>
          </w:p>
        </w:tc>
      </w:tr>
      <w:tr w:rsidR="00441A11" w:rsidRPr="00923150" w14:paraId="5866F9BA" w14:textId="77777777" w:rsidTr="00D133DC">
        <w:trPr>
          <w:trHeight w:val="456"/>
        </w:trPr>
        <w:tc>
          <w:tcPr>
            <w:tcW w:w="5103" w:type="dxa"/>
            <w:tcBorders>
              <w:top w:val="single" w:sz="4" w:space="0" w:color="000000"/>
            </w:tcBorders>
            <w:vAlign w:val="center"/>
          </w:tcPr>
          <w:p w14:paraId="5F8687DD" w14:textId="55E9019A" w:rsidR="00441A11" w:rsidRPr="00866793" w:rsidRDefault="00441A11" w:rsidP="00441A11">
            <w:pPr>
              <w:spacing w:before="60" w:after="60"/>
              <w:jc w:val="left"/>
              <w:rPr>
                <w:rFonts w:cs="Times New Roman"/>
                <w:szCs w:val="22"/>
              </w:rPr>
            </w:pPr>
            <w:r w:rsidRPr="00866793">
              <w:rPr>
                <w:rFonts w:cs="Times New Roman"/>
                <w:szCs w:val="22"/>
              </w:rPr>
              <w:t xml:space="preserve">Share of HVAC&amp;R </w:t>
            </w:r>
            <w:r>
              <w:rPr>
                <w:rFonts w:cs="Times New Roman"/>
                <w:szCs w:val="22"/>
              </w:rPr>
              <w:t>d</w:t>
            </w:r>
            <w:r w:rsidRPr="00866793">
              <w:rPr>
                <w:rFonts w:cs="Times New Roman"/>
                <w:szCs w:val="22"/>
              </w:rPr>
              <w:t xml:space="preserve">irect </w:t>
            </w:r>
            <w:r>
              <w:rPr>
                <w:rFonts w:cs="Times New Roman"/>
                <w:szCs w:val="22"/>
              </w:rPr>
              <w:t>e</w:t>
            </w:r>
            <w:r w:rsidRPr="00866793">
              <w:rPr>
                <w:rFonts w:cs="Times New Roman"/>
                <w:szCs w:val="22"/>
              </w:rPr>
              <w:t>missions</w:t>
            </w:r>
            <w:r>
              <w:rPr>
                <w:rFonts w:cs="Times New Roman"/>
                <w:szCs w:val="22"/>
              </w:rPr>
              <w:t>:</w:t>
            </w:r>
          </w:p>
        </w:tc>
        <w:tc>
          <w:tcPr>
            <w:tcW w:w="4536" w:type="dxa"/>
            <w:tcBorders>
              <w:top w:val="single" w:sz="4" w:space="0" w:color="000000"/>
            </w:tcBorders>
            <w:vAlign w:val="center"/>
          </w:tcPr>
          <w:p w14:paraId="4716FFFA" w14:textId="319624D4" w:rsidR="00441A11" w:rsidRPr="00866793" w:rsidRDefault="00FC2E99" w:rsidP="00EC0E17">
            <w:pPr>
              <w:spacing w:before="60" w:after="60"/>
              <w:jc w:val="left"/>
              <w:rPr>
                <w:rFonts w:cs="Times New Roman"/>
                <w:szCs w:val="22"/>
              </w:rPr>
            </w:pPr>
            <w:r>
              <w:t>2</w:t>
            </w:r>
            <w:r w:rsidR="00EC0E17">
              <w:t>5</w:t>
            </w:r>
            <w:r w:rsidR="00882606" w:rsidRPr="00A140EF">
              <w:t>%</w:t>
            </w:r>
          </w:p>
        </w:tc>
      </w:tr>
      <w:tr w:rsidR="00441A11" w:rsidRPr="00923150" w14:paraId="104D3989" w14:textId="77777777" w:rsidTr="00D133DC">
        <w:trPr>
          <w:trHeight w:val="456"/>
        </w:trPr>
        <w:tc>
          <w:tcPr>
            <w:tcW w:w="5103" w:type="dxa"/>
            <w:tcBorders>
              <w:top w:val="single" w:sz="4" w:space="0" w:color="000000"/>
            </w:tcBorders>
            <w:vAlign w:val="center"/>
          </w:tcPr>
          <w:p w14:paraId="72EE6B05" w14:textId="30137B4C" w:rsidR="00441A11" w:rsidRPr="00866793" w:rsidRDefault="00441A11" w:rsidP="00441A11">
            <w:pPr>
              <w:spacing w:before="60" w:after="60"/>
              <w:jc w:val="left"/>
              <w:rPr>
                <w:rFonts w:cs="Times New Roman"/>
                <w:szCs w:val="22"/>
              </w:rPr>
            </w:pPr>
            <w:r w:rsidRPr="00866793">
              <w:rPr>
                <w:rFonts w:cs="Times New Roman"/>
                <w:szCs w:val="22"/>
              </w:rPr>
              <w:t xml:space="preserve">Share of HVAC&amp;R </w:t>
            </w:r>
            <w:r>
              <w:rPr>
                <w:rFonts w:cs="Times New Roman"/>
                <w:szCs w:val="22"/>
              </w:rPr>
              <w:t>t</w:t>
            </w:r>
            <w:r w:rsidRPr="00866793">
              <w:rPr>
                <w:rFonts w:cs="Times New Roman"/>
                <w:szCs w:val="22"/>
              </w:rPr>
              <w:t xml:space="preserve">otal </w:t>
            </w:r>
            <w:r>
              <w:rPr>
                <w:rFonts w:cs="Times New Roman"/>
                <w:szCs w:val="22"/>
              </w:rPr>
              <w:t>e</w:t>
            </w:r>
            <w:r w:rsidRPr="00866793">
              <w:rPr>
                <w:rFonts w:cs="Times New Roman"/>
                <w:szCs w:val="22"/>
              </w:rPr>
              <w:t xml:space="preserve">missions </w:t>
            </w:r>
            <w:r>
              <w:rPr>
                <w:rFonts w:cs="Times New Roman"/>
                <w:szCs w:val="22"/>
              </w:rPr>
              <w:t xml:space="preserve">                                                </w:t>
            </w:r>
            <w:r w:rsidRPr="00866793">
              <w:rPr>
                <w:rFonts w:cs="Times New Roman"/>
                <w:szCs w:val="22"/>
              </w:rPr>
              <w:t>(</w:t>
            </w:r>
            <w:r>
              <w:rPr>
                <w:rFonts w:cs="Times New Roman"/>
                <w:szCs w:val="22"/>
              </w:rPr>
              <w:t>d</w:t>
            </w:r>
            <w:r w:rsidRPr="00866793">
              <w:rPr>
                <w:rFonts w:cs="Times New Roman"/>
                <w:szCs w:val="22"/>
              </w:rPr>
              <w:t xml:space="preserve">irect and </w:t>
            </w:r>
            <w:r>
              <w:rPr>
                <w:rFonts w:cs="Times New Roman"/>
                <w:szCs w:val="22"/>
              </w:rPr>
              <w:t>i</w:t>
            </w:r>
            <w:r w:rsidRPr="00866793">
              <w:rPr>
                <w:rFonts w:cs="Times New Roman"/>
                <w:szCs w:val="22"/>
              </w:rPr>
              <w:t>ndirect</w:t>
            </w:r>
            <w:r>
              <w:rPr>
                <w:rFonts w:cs="Times New Roman"/>
                <w:szCs w:val="22"/>
              </w:rPr>
              <w:t xml:space="preserve">, </w:t>
            </w:r>
            <w:r w:rsidRPr="00866793">
              <w:rPr>
                <w:rFonts w:cs="Times New Roman"/>
                <w:szCs w:val="22"/>
              </w:rPr>
              <w:t>not including EOL)</w:t>
            </w:r>
          </w:p>
        </w:tc>
        <w:tc>
          <w:tcPr>
            <w:tcW w:w="4536" w:type="dxa"/>
            <w:tcBorders>
              <w:top w:val="single" w:sz="4" w:space="0" w:color="000000"/>
            </w:tcBorders>
            <w:vAlign w:val="center"/>
          </w:tcPr>
          <w:p w14:paraId="3F8C9C19" w14:textId="321755DC" w:rsidR="00441A11" w:rsidRPr="00866793" w:rsidRDefault="00FC2E99" w:rsidP="00FC2E99">
            <w:pPr>
              <w:spacing w:before="60" w:after="60"/>
              <w:jc w:val="left"/>
              <w:rPr>
                <w:rFonts w:cs="Times New Roman"/>
                <w:szCs w:val="22"/>
              </w:rPr>
            </w:pPr>
            <w:r>
              <w:rPr>
                <w:rFonts w:cs="Times New Roman"/>
                <w:szCs w:val="22"/>
              </w:rPr>
              <w:t>7</w:t>
            </w:r>
            <w:r w:rsidR="00441A11" w:rsidRPr="00866793">
              <w:rPr>
                <w:rFonts w:cs="Times New Roman"/>
                <w:szCs w:val="22"/>
              </w:rPr>
              <w:t>%</w:t>
            </w:r>
          </w:p>
        </w:tc>
      </w:tr>
      <w:tr w:rsidR="00441A11" w:rsidRPr="00923150" w14:paraId="687C73CD" w14:textId="77777777" w:rsidTr="00D133DC">
        <w:trPr>
          <w:trHeight w:val="456"/>
        </w:trPr>
        <w:tc>
          <w:tcPr>
            <w:tcW w:w="5103" w:type="dxa"/>
            <w:tcBorders>
              <w:top w:val="single" w:sz="4" w:space="0" w:color="000000"/>
            </w:tcBorders>
            <w:vAlign w:val="center"/>
          </w:tcPr>
          <w:p w14:paraId="3FDDD3D3" w14:textId="5A3604C7" w:rsidR="00441A11" w:rsidRPr="00866793" w:rsidRDefault="00441A11" w:rsidP="00441A11">
            <w:pPr>
              <w:spacing w:before="60" w:after="60"/>
              <w:jc w:val="left"/>
              <w:rPr>
                <w:rFonts w:cs="Times New Roman"/>
                <w:szCs w:val="22"/>
              </w:rPr>
            </w:pPr>
            <w:r w:rsidRPr="00866793">
              <w:rPr>
                <w:rFonts w:cs="Times New Roman"/>
                <w:szCs w:val="22"/>
              </w:rPr>
              <w:t xml:space="preserve">Number of </w:t>
            </w:r>
            <w:r>
              <w:rPr>
                <w:rFonts w:cs="Times New Roman"/>
                <w:szCs w:val="22"/>
              </w:rPr>
              <w:t xml:space="preserve">registered vehicles </w:t>
            </w:r>
            <w:r w:rsidRPr="00866793">
              <w:rPr>
                <w:rFonts w:cs="Times New Roman"/>
                <w:szCs w:val="22"/>
              </w:rPr>
              <w:t>serviced by AC</w:t>
            </w:r>
          </w:p>
        </w:tc>
        <w:tc>
          <w:tcPr>
            <w:tcW w:w="4536" w:type="dxa"/>
            <w:tcBorders>
              <w:top w:val="single" w:sz="4" w:space="0" w:color="000000"/>
            </w:tcBorders>
            <w:vAlign w:val="center"/>
          </w:tcPr>
          <w:p w14:paraId="3C140E7C" w14:textId="0AC81B60" w:rsidR="00441A11" w:rsidRPr="00866793" w:rsidRDefault="00882606" w:rsidP="00CA7C7C">
            <w:pPr>
              <w:spacing w:before="60" w:after="60"/>
              <w:jc w:val="left"/>
              <w:rPr>
                <w:rFonts w:cs="Times New Roman"/>
                <w:szCs w:val="22"/>
              </w:rPr>
            </w:pPr>
            <w:r>
              <w:rPr>
                <w:rFonts w:cs="Times New Roman"/>
                <w:szCs w:val="22"/>
              </w:rPr>
              <w:t>&gt;</w:t>
            </w:r>
            <w:r w:rsidR="001B0EF1">
              <w:rPr>
                <w:rFonts w:cs="Times New Roman"/>
                <w:szCs w:val="22"/>
              </w:rPr>
              <w:t xml:space="preserve"> </w:t>
            </w:r>
            <w:r>
              <w:rPr>
                <w:rFonts w:cs="Times New Roman"/>
                <w:szCs w:val="22"/>
              </w:rPr>
              <w:t>9</w:t>
            </w:r>
            <w:r w:rsidR="00D80044">
              <w:rPr>
                <w:rFonts w:cs="Times New Roman"/>
                <w:szCs w:val="22"/>
              </w:rPr>
              <w:t>5</w:t>
            </w:r>
            <w:r>
              <w:rPr>
                <w:rFonts w:cs="Times New Roman"/>
                <w:szCs w:val="22"/>
              </w:rPr>
              <w:t>%</w:t>
            </w:r>
            <w:r w:rsidR="00CA7C7C">
              <w:rPr>
                <w:rFonts w:cs="Times New Roman"/>
                <w:szCs w:val="22"/>
              </w:rPr>
              <w:t xml:space="preserve">                                                       </w:t>
            </w:r>
            <w:r w:rsidR="00D80044">
              <w:rPr>
                <w:rFonts w:cs="Times New Roman"/>
                <w:szCs w:val="22"/>
              </w:rPr>
              <w:t>(passenger and light commercial vehicles</w:t>
            </w:r>
            <w:r w:rsidR="00CA7C7C">
              <w:rPr>
                <w:rFonts w:cs="Times New Roman"/>
                <w:szCs w:val="22"/>
              </w:rPr>
              <w:t>)</w:t>
            </w:r>
          </w:p>
        </w:tc>
      </w:tr>
    </w:tbl>
    <w:p w14:paraId="17EA9C0B" w14:textId="38C56596" w:rsidR="00116557" w:rsidRPr="00116557" w:rsidRDefault="00116557" w:rsidP="00116557">
      <w:pPr>
        <w:spacing w:before="0"/>
        <w:rPr>
          <w:sz w:val="20"/>
          <w:szCs w:val="20"/>
        </w:rPr>
      </w:pPr>
      <w:r w:rsidRPr="00116557">
        <w:rPr>
          <w:sz w:val="20"/>
          <w:szCs w:val="20"/>
        </w:rPr>
        <w:t>(Sources: DSEWPaC 2013a, DSEWPaC 2013</w:t>
      </w:r>
      <w:r w:rsidR="00F70B91">
        <w:rPr>
          <w:sz w:val="20"/>
          <w:szCs w:val="20"/>
        </w:rPr>
        <w:t>b</w:t>
      </w:r>
      <w:r w:rsidRPr="00116557">
        <w:rPr>
          <w:sz w:val="20"/>
          <w:szCs w:val="20"/>
        </w:rPr>
        <w:t xml:space="preserve">, </w:t>
      </w:r>
      <w:r w:rsidR="00A27E31" w:rsidRPr="00116557">
        <w:rPr>
          <w:sz w:val="20"/>
          <w:szCs w:val="20"/>
        </w:rPr>
        <w:t>FAPM 2013</w:t>
      </w:r>
      <w:r w:rsidR="00A27E31">
        <w:rPr>
          <w:sz w:val="20"/>
          <w:szCs w:val="20"/>
        </w:rPr>
        <w:t>,</w:t>
      </w:r>
      <w:r w:rsidR="00A27E31" w:rsidRPr="00116557">
        <w:rPr>
          <w:sz w:val="20"/>
          <w:szCs w:val="20"/>
        </w:rPr>
        <w:t xml:space="preserve"> </w:t>
      </w:r>
      <w:r w:rsidR="00D34319" w:rsidRPr="00D34319">
        <w:rPr>
          <w:sz w:val="20"/>
          <w:szCs w:val="20"/>
        </w:rPr>
        <w:t>AIP 2013</w:t>
      </w:r>
      <w:r w:rsidR="00D34319">
        <w:rPr>
          <w:sz w:val="20"/>
          <w:szCs w:val="20"/>
        </w:rPr>
        <w:t xml:space="preserve">, </w:t>
      </w:r>
      <w:r w:rsidR="000665E1" w:rsidRPr="000665E1">
        <w:rPr>
          <w:sz w:val="20"/>
          <w:szCs w:val="20"/>
        </w:rPr>
        <w:t>DIT 2012</w:t>
      </w:r>
      <w:r w:rsidR="000665E1">
        <w:rPr>
          <w:sz w:val="20"/>
          <w:szCs w:val="20"/>
        </w:rPr>
        <w:t xml:space="preserve">, </w:t>
      </w:r>
      <w:r w:rsidRPr="00116557">
        <w:rPr>
          <w:sz w:val="20"/>
          <w:szCs w:val="20"/>
        </w:rPr>
        <w:t>ABS 9309.0 2012, ABS 9314.0 2012, DSEWPaC 2011</w:t>
      </w:r>
      <w:r w:rsidR="00A27E31">
        <w:rPr>
          <w:sz w:val="20"/>
          <w:szCs w:val="20"/>
        </w:rPr>
        <w:t>, ABS 9208.0 2010</w:t>
      </w:r>
      <w:r>
        <w:rPr>
          <w:sz w:val="20"/>
          <w:szCs w:val="20"/>
        </w:rPr>
        <w:t xml:space="preserve"> </w:t>
      </w:r>
      <w:r w:rsidRPr="00116557">
        <w:rPr>
          <w:sz w:val="20"/>
          <w:szCs w:val="20"/>
        </w:rPr>
        <w:t>and industry informants)</w:t>
      </w:r>
    </w:p>
    <w:p w14:paraId="2A6794D8" w14:textId="77777777" w:rsidR="006B330E" w:rsidRDefault="006B330E" w:rsidP="00BE3B27">
      <w:pPr>
        <w:rPr>
          <w:szCs w:val="22"/>
        </w:rPr>
      </w:pPr>
    </w:p>
    <w:p w14:paraId="4943E4A0" w14:textId="77777777" w:rsidR="00C97391" w:rsidRDefault="00C97391">
      <w:pPr>
        <w:spacing w:before="0"/>
        <w:jc w:val="left"/>
        <w:rPr>
          <w:rFonts w:ascii="Calibri" w:eastAsia="Times New Roman" w:hAnsi="Calibri" w:cs="Times New Roman"/>
          <w:b/>
          <w:bCs/>
          <w:i/>
          <w:iCs/>
          <w:sz w:val="28"/>
          <w:szCs w:val="28"/>
          <w:lang w:val="en-US"/>
        </w:rPr>
      </w:pPr>
      <w:r>
        <w:br w:type="page"/>
      </w:r>
    </w:p>
    <w:p w14:paraId="0EB17E1B" w14:textId="444940B3" w:rsidR="00215A1A" w:rsidRPr="00F82605" w:rsidRDefault="00F82605" w:rsidP="007B6646">
      <w:pPr>
        <w:pStyle w:val="Heading2"/>
        <w:ind w:left="567" w:hanging="567"/>
      </w:pPr>
      <w:bookmarkStart w:id="20" w:name="_Toc233084140"/>
      <w:r>
        <w:lastRenderedPageBreak/>
        <w:t>Domestic r</w:t>
      </w:r>
      <w:r w:rsidRPr="00A85138">
        <w:t>efrigerat</w:t>
      </w:r>
      <w:r>
        <w:t>ion</w:t>
      </w:r>
      <w:bookmarkEnd w:id="20"/>
    </w:p>
    <w:p w14:paraId="21644687" w14:textId="4EFF41DC" w:rsidR="00F82605" w:rsidRDefault="00EB4751" w:rsidP="00BE3B27">
      <w:pPr>
        <w:rPr>
          <w:szCs w:val="22"/>
        </w:rPr>
      </w:pPr>
      <w:r w:rsidRPr="00EB4751">
        <w:rPr>
          <w:szCs w:val="22"/>
        </w:rPr>
        <w:t xml:space="preserve">Domestic refrigeration and freezers are the visible and ubiquitous presence of refrigeration technology in everyday life. These highly refined, reliable and generally very efficient devices can be regarded as the necessary end point of the cold food chain infrastructure. As the ‘end point’ in the refrigerated cold food chain, domestic refrigeration and freezers provide probably </w:t>
      </w:r>
      <w:r w:rsidRPr="00EC0E17">
        <w:rPr>
          <w:szCs w:val="22"/>
        </w:rPr>
        <w:t>the greatest labour saving and economic benefit</w:t>
      </w:r>
      <w:r w:rsidR="00CD2D7B">
        <w:rPr>
          <w:szCs w:val="22"/>
        </w:rPr>
        <w:t xml:space="preserve"> for c</w:t>
      </w:r>
      <w:r w:rsidR="006B330E" w:rsidRPr="00EC0E17">
        <w:rPr>
          <w:szCs w:val="22"/>
        </w:rPr>
        <w:t xml:space="preserve">onsumers </w:t>
      </w:r>
      <w:r w:rsidR="00CD2D7B">
        <w:rPr>
          <w:szCs w:val="22"/>
        </w:rPr>
        <w:t xml:space="preserve">who </w:t>
      </w:r>
      <w:r w:rsidR="006B330E" w:rsidRPr="00EC0E17">
        <w:rPr>
          <w:szCs w:val="22"/>
        </w:rPr>
        <w:t>store fully value added produce in increasingly larger and more efficient appliances</w:t>
      </w:r>
      <w:r w:rsidRPr="00CD2D7B">
        <w:rPr>
          <w:szCs w:val="22"/>
        </w:rPr>
        <w:t>.</w:t>
      </w:r>
    </w:p>
    <w:p w14:paraId="6DDC4153" w14:textId="77777777" w:rsidR="00621489" w:rsidRDefault="00621489" w:rsidP="00BE3B27">
      <w:pPr>
        <w:rPr>
          <w:szCs w:val="22"/>
        </w:rPr>
      </w:pPr>
    </w:p>
    <w:p w14:paraId="5972E942" w14:textId="30D88B16" w:rsidR="00F82605" w:rsidRPr="00D16B26" w:rsidRDefault="00F82605" w:rsidP="00F82605">
      <w:pPr>
        <w:rPr>
          <w:i/>
          <w:szCs w:val="22"/>
        </w:rPr>
      </w:pPr>
      <w:bookmarkStart w:id="21" w:name="_Toc233084053"/>
      <w:r w:rsidRPr="00D16B26">
        <w:rPr>
          <w:i/>
          <w:szCs w:val="22"/>
        </w:rPr>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9</w:t>
      </w:r>
      <w:r w:rsidRPr="00D16B26">
        <w:rPr>
          <w:i/>
          <w:szCs w:val="22"/>
        </w:rPr>
        <w:fldChar w:fldCharType="end"/>
      </w:r>
      <w:r w:rsidRPr="00D16B26">
        <w:rPr>
          <w:i/>
          <w:szCs w:val="22"/>
        </w:rPr>
        <w:t xml:space="preserve">: </w:t>
      </w:r>
      <w:r>
        <w:rPr>
          <w:i/>
          <w:szCs w:val="22"/>
        </w:rPr>
        <w:t>Domestic refrigeration tax</w:t>
      </w:r>
      <w:r w:rsidRPr="00D16B26">
        <w:rPr>
          <w:i/>
          <w:szCs w:val="22"/>
        </w:rPr>
        <w:t>onomy</w:t>
      </w:r>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850"/>
        <w:gridCol w:w="1134"/>
        <w:gridCol w:w="2268"/>
        <w:gridCol w:w="1418"/>
        <w:gridCol w:w="3118"/>
      </w:tblGrid>
      <w:tr w:rsidR="00F82605" w:rsidRPr="00923150" w14:paraId="4FC8A589" w14:textId="77777777" w:rsidTr="00F85C28">
        <w:trPr>
          <w:trHeight w:val="684"/>
        </w:trPr>
        <w:tc>
          <w:tcPr>
            <w:tcW w:w="851" w:type="dxa"/>
            <w:tcBorders>
              <w:top w:val="single" w:sz="8" w:space="0" w:color="auto"/>
              <w:left w:val="single" w:sz="8" w:space="0" w:color="auto"/>
              <w:bottom w:val="single" w:sz="4" w:space="0" w:color="000000"/>
              <w:right w:val="single" w:sz="4" w:space="0" w:color="FFFFFF"/>
            </w:tcBorders>
            <w:shd w:val="clear" w:color="auto" w:fill="000000"/>
            <w:vAlign w:val="center"/>
          </w:tcPr>
          <w:p w14:paraId="286B71A7" w14:textId="77777777" w:rsidR="00F82605" w:rsidRPr="00923150" w:rsidRDefault="00F82605" w:rsidP="00F82605">
            <w:pPr>
              <w:spacing w:after="120"/>
            </w:pPr>
            <w:r>
              <w:t>Item</w:t>
            </w:r>
          </w:p>
        </w:tc>
        <w:tc>
          <w:tcPr>
            <w:tcW w:w="850" w:type="dxa"/>
            <w:tcBorders>
              <w:top w:val="single" w:sz="8" w:space="0" w:color="auto"/>
              <w:left w:val="single" w:sz="4" w:space="0" w:color="FFFFFF"/>
              <w:bottom w:val="single" w:sz="4" w:space="0" w:color="000000"/>
              <w:right w:val="single" w:sz="4" w:space="0" w:color="FFFFFF"/>
            </w:tcBorders>
            <w:shd w:val="clear" w:color="auto" w:fill="000000"/>
            <w:vAlign w:val="center"/>
          </w:tcPr>
          <w:p w14:paraId="3CF3E3FE" w14:textId="77777777" w:rsidR="00F82605" w:rsidRDefault="00F82605" w:rsidP="00F82605">
            <w:pPr>
              <w:spacing w:after="120"/>
              <w:jc w:val="center"/>
            </w:pPr>
            <w:r>
              <w:t>Major class</w:t>
            </w:r>
          </w:p>
        </w:tc>
        <w:tc>
          <w:tcPr>
            <w:tcW w:w="3402" w:type="dxa"/>
            <w:gridSpan w:val="2"/>
            <w:tcBorders>
              <w:top w:val="single" w:sz="8" w:space="0" w:color="auto"/>
              <w:left w:val="single" w:sz="4" w:space="0" w:color="FFFFFF"/>
              <w:bottom w:val="single" w:sz="4" w:space="0" w:color="000000"/>
              <w:right w:val="single" w:sz="4" w:space="0" w:color="FFFFFF"/>
            </w:tcBorders>
            <w:shd w:val="clear" w:color="auto" w:fill="000000"/>
            <w:vAlign w:val="center"/>
          </w:tcPr>
          <w:p w14:paraId="737E5652" w14:textId="77777777" w:rsidR="00F82605" w:rsidRDefault="00F82605" w:rsidP="00F82605">
            <w:pPr>
              <w:spacing w:after="120"/>
              <w:jc w:val="center"/>
            </w:pPr>
            <w:r>
              <w:t>Segments (application/product)</w:t>
            </w:r>
          </w:p>
        </w:tc>
        <w:tc>
          <w:tcPr>
            <w:tcW w:w="4536" w:type="dxa"/>
            <w:gridSpan w:val="2"/>
            <w:tcBorders>
              <w:top w:val="single" w:sz="8" w:space="0" w:color="auto"/>
              <w:left w:val="single" w:sz="4" w:space="0" w:color="FFFFFF"/>
              <w:bottom w:val="single" w:sz="4" w:space="0" w:color="000000"/>
              <w:right w:val="single" w:sz="8" w:space="0" w:color="auto"/>
            </w:tcBorders>
            <w:shd w:val="clear" w:color="auto" w:fill="000000"/>
            <w:vAlign w:val="center"/>
          </w:tcPr>
          <w:p w14:paraId="50C279D4" w14:textId="77777777" w:rsidR="00F82605" w:rsidRPr="00923150" w:rsidRDefault="00F82605" w:rsidP="00F82605">
            <w:pPr>
              <w:spacing w:after="120"/>
              <w:jc w:val="center"/>
            </w:pPr>
            <w:r>
              <w:t>Product/equipment categories</w:t>
            </w:r>
          </w:p>
        </w:tc>
      </w:tr>
      <w:tr w:rsidR="00F82605" w:rsidRPr="00923150" w14:paraId="4FC7F105" w14:textId="77777777" w:rsidTr="00F82605">
        <w:trPr>
          <w:trHeight w:val="456"/>
        </w:trPr>
        <w:tc>
          <w:tcPr>
            <w:tcW w:w="9639" w:type="dxa"/>
            <w:gridSpan w:val="6"/>
            <w:tcBorders>
              <w:top w:val="single" w:sz="4" w:space="0" w:color="000000"/>
            </w:tcBorders>
            <w:shd w:val="clear" w:color="auto" w:fill="CCFFFF"/>
            <w:vAlign w:val="center"/>
          </w:tcPr>
          <w:p w14:paraId="5F836BB5" w14:textId="77777777" w:rsidR="00F82605" w:rsidRPr="00923150" w:rsidRDefault="00F82605" w:rsidP="00F82605">
            <w:pPr>
              <w:spacing w:before="60" w:after="60"/>
              <w:jc w:val="center"/>
              <w:rPr>
                <w:sz w:val="20"/>
              </w:rPr>
            </w:pPr>
            <w:r>
              <w:rPr>
                <w:sz w:val="20"/>
              </w:rPr>
              <w:t>DOMESTIC REFRIGERATION</w:t>
            </w:r>
          </w:p>
        </w:tc>
      </w:tr>
      <w:tr w:rsidR="00F82605" w:rsidRPr="00923150" w14:paraId="4B220EE1" w14:textId="77777777" w:rsidTr="00F82605">
        <w:trPr>
          <w:trHeight w:val="456"/>
        </w:trPr>
        <w:tc>
          <w:tcPr>
            <w:tcW w:w="851" w:type="dxa"/>
          </w:tcPr>
          <w:p w14:paraId="447626BB" w14:textId="77777777" w:rsidR="00F82605" w:rsidRDefault="00F82605" w:rsidP="00F82605">
            <w:pPr>
              <w:spacing w:before="60" w:after="60"/>
              <w:ind w:left="284" w:hanging="250"/>
              <w:jc w:val="center"/>
              <w:rPr>
                <w:sz w:val="20"/>
              </w:rPr>
            </w:pPr>
            <w:r w:rsidRPr="00832C68">
              <w:t>25</w:t>
            </w:r>
          </w:p>
        </w:tc>
        <w:tc>
          <w:tcPr>
            <w:tcW w:w="850" w:type="dxa"/>
            <w:vMerge w:val="restart"/>
            <w:textDirection w:val="btLr"/>
            <w:vAlign w:val="center"/>
          </w:tcPr>
          <w:p w14:paraId="03B8AC94" w14:textId="77777777" w:rsidR="00F82605" w:rsidRDefault="00F82605" w:rsidP="00F82605">
            <w:pPr>
              <w:spacing w:before="60" w:after="60"/>
              <w:ind w:left="113" w:right="113"/>
              <w:jc w:val="center"/>
              <w:rPr>
                <w:sz w:val="20"/>
              </w:rPr>
            </w:pPr>
            <w:r>
              <w:t>Domestic refrigeration (DR)</w:t>
            </w:r>
          </w:p>
        </w:tc>
        <w:tc>
          <w:tcPr>
            <w:tcW w:w="1134" w:type="dxa"/>
          </w:tcPr>
          <w:p w14:paraId="5EC158AB" w14:textId="77777777" w:rsidR="00F82605" w:rsidRDefault="00F82605" w:rsidP="00F82605">
            <w:pPr>
              <w:spacing w:before="60" w:after="60"/>
              <w:jc w:val="center"/>
              <w:rPr>
                <w:sz w:val="20"/>
              </w:rPr>
            </w:pPr>
            <w:r w:rsidRPr="00832C68">
              <w:t>DR1</w:t>
            </w:r>
          </w:p>
        </w:tc>
        <w:tc>
          <w:tcPr>
            <w:tcW w:w="2268" w:type="dxa"/>
          </w:tcPr>
          <w:p w14:paraId="3A738D16" w14:textId="77777777" w:rsidR="00F82605" w:rsidRDefault="00F82605" w:rsidP="00F82605">
            <w:pPr>
              <w:spacing w:before="60" w:after="60"/>
              <w:jc w:val="left"/>
              <w:rPr>
                <w:sz w:val="20"/>
              </w:rPr>
            </w:pPr>
            <w:r w:rsidRPr="00832C68">
              <w:t>Refrigerators and freezers</w:t>
            </w:r>
          </w:p>
        </w:tc>
        <w:tc>
          <w:tcPr>
            <w:tcW w:w="1418" w:type="dxa"/>
          </w:tcPr>
          <w:p w14:paraId="7DF84D38" w14:textId="77777777" w:rsidR="00F82605" w:rsidRDefault="00F82605" w:rsidP="00F82605">
            <w:pPr>
              <w:spacing w:before="60" w:after="60"/>
              <w:jc w:val="center"/>
              <w:rPr>
                <w:sz w:val="20"/>
              </w:rPr>
            </w:pPr>
            <w:r w:rsidRPr="00832C68">
              <w:t>DR1-1</w:t>
            </w:r>
          </w:p>
        </w:tc>
        <w:tc>
          <w:tcPr>
            <w:tcW w:w="3118" w:type="dxa"/>
          </w:tcPr>
          <w:p w14:paraId="39B76171" w14:textId="77777777" w:rsidR="00F82605" w:rsidRDefault="00F82605" w:rsidP="00F82605">
            <w:pPr>
              <w:spacing w:before="60" w:after="60"/>
              <w:jc w:val="left"/>
              <w:rPr>
                <w:sz w:val="20"/>
              </w:rPr>
            </w:pPr>
            <w:r w:rsidRPr="00832C68">
              <w:t>Domestic refrigerators</w:t>
            </w:r>
          </w:p>
        </w:tc>
      </w:tr>
      <w:tr w:rsidR="00F82605" w:rsidRPr="00923150" w14:paraId="2118A559" w14:textId="77777777" w:rsidTr="00F82605">
        <w:trPr>
          <w:trHeight w:val="456"/>
        </w:trPr>
        <w:tc>
          <w:tcPr>
            <w:tcW w:w="851" w:type="dxa"/>
          </w:tcPr>
          <w:p w14:paraId="74A1BDFA" w14:textId="77777777" w:rsidR="00F82605" w:rsidRDefault="00F82605" w:rsidP="00F82605">
            <w:pPr>
              <w:spacing w:before="60" w:after="60"/>
              <w:ind w:left="284" w:hanging="250"/>
              <w:jc w:val="center"/>
              <w:rPr>
                <w:sz w:val="20"/>
              </w:rPr>
            </w:pPr>
            <w:r w:rsidRPr="00832C68">
              <w:t>26</w:t>
            </w:r>
          </w:p>
        </w:tc>
        <w:tc>
          <w:tcPr>
            <w:tcW w:w="850" w:type="dxa"/>
            <w:vMerge/>
          </w:tcPr>
          <w:p w14:paraId="7C0223C4" w14:textId="77777777" w:rsidR="00F82605" w:rsidRDefault="00F82605" w:rsidP="00F82605">
            <w:pPr>
              <w:spacing w:before="60" w:after="60"/>
              <w:jc w:val="center"/>
              <w:rPr>
                <w:sz w:val="20"/>
              </w:rPr>
            </w:pPr>
          </w:p>
        </w:tc>
        <w:tc>
          <w:tcPr>
            <w:tcW w:w="1134" w:type="dxa"/>
          </w:tcPr>
          <w:p w14:paraId="79231175" w14:textId="77777777" w:rsidR="00F82605" w:rsidRDefault="00F82605" w:rsidP="00F82605">
            <w:pPr>
              <w:spacing w:before="60" w:after="60"/>
              <w:jc w:val="center"/>
              <w:rPr>
                <w:sz w:val="20"/>
              </w:rPr>
            </w:pPr>
            <w:r w:rsidRPr="00832C68">
              <w:t>DR1</w:t>
            </w:r>
          </w:p>
        </w:tc>
        <w:tc>
          <w:tcPr>
            <w:tcW w:w="2268" w:type="dxa"/>
          </w:tcPr>
          <w:p w14:paraId="5161AE10" w14:textId="77777777" w:rsidR="00F82605" w:rsidRDefault="00F82605" w:rsidP="00F82605">
            <w:pPr>
              <w:spacing w:before="60" w:after="60"/>
              <w:jc w:val="left"/>
              <w:rPr>
                <w:sz w:val="20"/>
              </w:rPr>
            </w:pPr>
            <w:r w:rsidRPr="00832C68">
              <w:t>Refrigerators and freezers</w:t>
            </w:r>
          </w:p>
        </w:tc>
        <w:tc>
          <w:tcPr>
            <w:tcW w:w="1418" w:type="dxa"/>
          </w:tcPr>
          <w:p w14:paraId="2B5F7FB2" w14:textId="77777777" w:rsidR="00F82605" w:rsidRDefault="00F82605" w:rsidP="00F82605">
            <w:pPr>
              <w:spacing w:before="60" w:after="60"/>
              <w:jc w:val="center"/>
              <w:rPr>
                <w:sz w:val="20"/>
              </w:rPr>
            </w:pPr>
            <w:r w:rsidRPr="00832C68">
              <w:t>DR1-2</w:t>
            </w:r>
          </w:p>
        </w:tc>
        <w:tc>
          <w:tcPr>
            <w:tcW w:w="3118" w:type="dxa"/>
          </w:tcPr>
          <w:p w14:paraId="09B28804" w14:textId="77777777" w:rsidR="00F82605" w:rsidRDefault="00F82605" w:rsidP="00F82605">
            <w:pPr>
              <w:spacing w:before="60" w:after="60"/>
              <w:jc w:val="left"/>
              <w:rPr>
                <w:sz w:val="20"/>
              </w:rPr>
            </w:pPr>
            <w:r w:rsidRPr="00832C68">
              <w:t>Domestic freezers</w:t>
            </w:r>
          </w:p>
        </w:tc>
      </w:tr>
      <w:tr w:rsidR="00F82605" w:rsidRPr="00923150" w14:paraId="490FF6EC" w14:textId="77777777" w:rsidTr="00F82605">
        <w:trPr>
          <w:trHeight w:val="456"/>
        </w:trPr>
        <w:tc>
          <w:tcPr>
            <w:tcW w:w="851" w:type="dxa"/>
          </w:tcPr>
          <w:p w14:paraId="498BFB08" w14:textId="77777777" w:rsidR="00F82605" w:rsidRDefault="00F82605" w:rsidP="00F82605">
            <w:pPr>
              <w:spacing w:before="60" w:after="60"/>
              <w:ind w:left="284" w:hanging="250"/>
              <w:jc w:val="center"/>
              <w:rPr>
                <w:sz w:val="20"/>
              </w:rPr>
            </w:pPr>
            <w:r w:rsidRPr="00832C68">
              <w:t>27</w:t>
            </w:r>
          </w:p>
        </w:tc>
        <w:tc>
          <w:tcPr>
            <w:tcW w:w="850" w:type="dxa"/>
            <w:vMerge/>
          </w:tcPr>
          <w:p w14:paraId="1A2A487C" w14:textId="77777777" w:rsidR="00F82605" w:rsidRDefault="00F82605" w:rsidP="00F82605">
            <w:pPr>
              <w:spacing w:before="60" w:after="60"/>
              <w:jc w:val="center"/>
              <w:rPr>
                <w:sz w:val="20"/>
              </w:rPr>
            </w:pPr>
          </w:p>
        </w:tc>
        <w:tc>
          <w:tcPr>
            <w:tcW w:w="1134" w:type="dxa"/>
          </w:tcPr>
          <w:p w14:paraId="632B8A12" w14:textId="77777777" w:rsidR="00F82605" w:rsidRDefault="00F82605" w:rsidP="00F82605">
            <w:pPr>
              <w:spacing w:before="60" w:after="60"/>
              <w:jc w:val="center"/>
              <w:rPr>
                <w:sz w:val="20"/>
              </w:rPr>
            </w:pPr>
            <w:r w:rsidRPr="00832C68">
              <w:t>DR2</w:t>
            </w:r>
          </w:p>
        </w:tc>
        <w:tc>
          <w:tcPr>
            <w:tcW w:w="2268" w:type="dxa"/>
          </w:tcPr>
          <w:p w14:paraId="185CCA41" w14:textId="59F39C3F" w:rsidR="00F82605" w:rsidRDefault="00F82605" w:rsidP="00F82605">
            <w:pPr>
              <w:spacing w:before="60" w:after="60"/>
              <w:jc w:val="left"/>
              <w:rPr>
                <w:sz w:val="20"/>
              </w:rPr>
            </w:pPr>
            <w:r w:rsidRPr="00832C68">
              <w:t>Portable and vehicle refrig</w:t>
            </w:r>
            <w:r w:rsidR="00E733E5">
              <w:t>eration</w:t>
            </w:r>
          </w:p>
        </w:tc>
        <w:tc>
          <w:tcPr>
            <w:tcW w:w="1418" w:type="dxa"/>
          </w:tcPr>
          <w:p w14:paraId="3AC7E0CD" w14:textId="77777777" w:rsidR="00F82605" w:rsidRDefault="00F82605" w:rsidP="00F82605">
            <w:pPr>
              <w:spacing w:before="60" w:after="60"/>
              <w:jc w:val="center"/>
              <w:rPr>
                <w:sz w:val="20"/>
              </w:rPr>
            </w:pPr>
            <w:r w:rsidRPr="00832C68">
              <w:t>DR2-1</w:t>
            </w:r>
          </w:p>
        </w:tc>
        <w:tc>
          <w:tcPr>
            <w:tcW w:w="3118" w:type="dxa"/>
          </w:tcPr>
          <w:p w14:paraId="2107F35D" w14:textId="72E29CEB" w:rsidR="00F82605" w:rsidRDefault="00F82605" w:rsidP="00E733E5">
            <w:pPr>
              <w:spacing w:before="60" w:after="60"/>
              <w:jc w:val="left"/>
              <w:rPr>
                <w:sz w:val="20"/>
              </w:rPr>
            </w:pPr>
            <w:r w:rsidRPr="00832C68">
              <w:t>Portable and vehicle</w:t>
            </w:r>
            <w:r w:rsidR="00E733E5">
              <w:t xml:space="preserve"> </w:t>
            </w:r>
            <w:r w:rsidR="00E733E5" w:rsidRPr="00832C68">
              <w:t>refrig</w:t>
            </w:r>
            <w:r w:rsidR="00E733E5">
              <w:t>eration</w:t>
            </w:r>
          </w:p>
        </w:tc>
      </w:tr>
      <w:tr w:rsidR="00F82605" w:rsidRPr="00923150" w14:paraId="2B6239E8" w14:textId="77777777" w:rsidTr="00F82605">
        <w:trPr>
          <w:trHeight w:val="456"/>
        </w:trPr>
        <w:tc>
          <w:tcPr>
            <w:tcW w:w="851" w:type="dxa"/>
          </w:tcPr>
          <w:p w14:paraId="0480A829" w14:textId="77777777" w:rsidR="00F82605" w:rsidRDefault="00F82605" w:rsidP="00F82605">
            <w:pPr>
              <w:spacing w:before="60" w:after="60"/>
              <w:ind w:left="284" w:hanging="250"/>
              <w:jc w:val="center"/>
              <w:rPr>
                <w:sz w:val="20"/>
              </w:rPr>
            </w:pPr>
            <w:r w:rsidRPr="00832C68">
              <w:t>28</w:t>
            </w:r>
          </w:p>
        </w:tc>
        <w:tc>
          <w:tcPr>
            <w:tcW w:w="850" w:type="dxa"/>
            <w:vMerge/>
          </w:tcPr>
          <w:p w14:paraId="56BFDA00" w14:textId="77777777" w:rsidR="00F82605" w:rsidRDefault="00F82605" w:rsidP="00F82605">
            <w:pPr>
              <w:spacing w:before="60" w:after="60"/>
              <w:jc w:val="center"/>
              <w:rPr>
                <w:sz w:val="20"/>
              </w:rPr>
            </w:pPr>
          </w:p>
        </w:tc>
        <w:tc>
          <w:tcPr>
            <w:tcW w:w="1134" w:type="dxa"/>
          </w:tcPr>
          <w:p w14:paraId="191B192E" w14:textId="77777777" w:rsidR="00F82605" w:rsidRDefault="00F82605" w:rsidP="00F82605">
            <w:pPr>
              <w:spacing w:before="60" w:after="60"/>
              <w:jc w:val="center"/>
              <w:rPr>
                <w:sz w:val="20"/>
              </w:rPr>
            </w:pPr>
            <w:r w:rsidRPr="00832C68">
              <w:t>DR2</w:t>
            </w:r>
          </w:p>
        </w:tc>
        <w:tc>
          <w:tcPr>
            <w:tcW w:w="2268" w:type="dxa"/>
          </w:tcPr>
          <w:p w14:paraId="3FA1B1C2" w14:textId="31E3615E" w:rsidR="00F82605" w:rsidRDefault="00F82605" w:rsidP="00F82605">
            <w:pPr>
              <w:spacing w:before="60" w:after="60"/>
              <w:jc w:val="left"/>
              <w:rPr>
                <w:sz w:val="20"/>
              </w:rPr>
            </w:pPr>
            <w:r w:rsidRPr="00832C68">
              <w:t xml:space="preserve">Portable and vehicle </w:t>
            </w:r>
            <w:r w:rsidR="00E733E5" w:rsidRPr="00832C68">
              <w:t>refrig</w:t>
            </w:r>
            <w:r w:rsidR="00E733E5">
              <w:t>eration</w:t>
            </w:r>
          </w:p>
        </w:tc>
        <w:tc>
          <w:tcPr>
            <w:tcW w:w="1418" w:type="dxa"/>
          </w:tcPr>
          <w:p w14:paraId="392D3439" w14:textId="77777777" w:rsidR="00F82605" w:rsidRDefault="00F82605" w:rsidP="00F82605">
            <w:pPr>
              <w:spacing w:before="60" w:after="60"/>
              <w:jc w:val="center"/>
              <w:rPr>
                <w:sz w:val="20"/>
              </w:rPr>
            </w:pPr>
            <w:r w:rsidRPr="00832C68">
              <w:t>DR2-2</w:t>
            </w:r>
          </w:p>
        </w:tc>
        <w:tc>
          <w:tcPr>
            <w:tcW w:w="3118" w:type="dxa"/>
          </w:tcPr>
          <w:p w14:paraId="163932E5" w14:textId="77777777" w:rsidR="00F82605" w:rsidRDefault="00F82605" w:rsidP="00F82605">
            <w:pPr>
              <w:spacing w:before="60" w:after="60"/>
              <w:jc w:val="left"/>
              <w:rPr>
                <w:sz w:val="20"/>
              </w:rPr>
            </w:pPr>
            <w:r w:rsidRPr="00832C68">
              <w:t>Vehicle refrigeration</w:t>
            </w:r>
          </w:p>
        </w:tc>
      </w:tr>
    </w:tbl>
    <w:p w14:paraId="1204D817" w14:textId="596AAFD3" w:rsidR="00621489" w:rsidRPr="00621489" w:rsidRDefault="00621489" w:rsidP="00794A2E">
      <w:pPr>
        <w:spacing w:before="240"/>
        <w:rPr>
          <w:szCs w:val="22"/>
        </w:rPr>
      </w:pPr>
      <w:r w:rsidRPr="00621489">
        <w:rPr>
          <w:szCs w:val="22"/>
        </w:rPr>
        <w:t>Domestic refrigeration in Australia (including domestic freezers and small portable refrigerators</w:t>
      </w:r>
      <w:r>
        <w:rPr>
          <w:szCs w:val="22"/>
        </w:rPr>
        <w:t>)</w:t>
      </w:r>
      <w:r w:rsidRPr="00621489">
        <w:rPr>
          <w:szCs w:val="22"/>
        </w:rPr>
        <w:t xml:space="preserve"> is estimated to contain approximately 5.4 per cent (~2,200 tonnes) of the total refrigerant bank, consuming less than 0.7 per cent (~22 tonnes) of annual refrigerant imports to replace leaked gas, in a total stock of greater than 17,100,000 devices in 2012</w:t>
      </w:r>
      <w:r w:rsidR="007611CA" w:rsidRPr="007F380B">
        <w:rPr>
          <w:szCs w:val="22"/>
        </w:rPr>
        <w:t>.</w:t>
      </w:r>
      <w:r w:rsidR="0010504F">
        <w:rPr>
          <w:szCs w:val="22"/>
        </w:rPr>
        <w:t xml:space="preserve"> </w:t>
      </w:r>
    </w:p>
    <w:p w14:paraId="5EE2B3EF" w14:textId="63AE6D33" w:rsidR="00621489" w:rsidRPr="00621489" w:rsidRDefault="00621489" w:rsidP="00621489">
      <w:pPr>
        <w:rPr>
          <w:szCs w:val="22"/>
        </w:rPr>
      </w:pPr>
      <w:r w:rsidRPr="00621489">
        <w:rPr>
          <w:szCs w:val="22"/>
        </w:rPr>
        <w:t>The large majority of the existing stock of domestic refrigeration contains HFC-134a (~93 per cent). Some very old products manufactured prior to the early 1990s contain CFC-12</w:t>
      </w:r>
      <w:r w:rsidR="007611CA">
        <w:rPr>
          <w:rStyle w:val="FootnoteReference"/>
          <w:szCs w:val="22"/>
        </w:rPr>
        <w:footnoteReference w:id="10"/>
      </w:r>
      <w:r w:rsidR="007611CA" w:rsidRPr="007F380B">
        <w:rPr>
          <w:szCs w:val="22"/>
        </w:rPr>
        <w:t xml:space="preserve"> </w:t>
      </w:r>
      <w:r w:rsidRPr="00621489">
        <w:rPr>
          <w:szCs w:val="22"/>
        </w:rPr>
        <w:t xml:space="preserve">but it is estimated that in 2012 more than 1.1 million (~7 per cent) contain hydrocarbon HC-600a. This is a recent trend, though this number </w:t>
      </w:r>
      <w:r w:rsidR="007611CA">
        <w:rPr>
          <w:szCs w:val="22"/>
        </w:rPr>
        <w:t xml:space="preserve">is </w:t>
      </w:r>
      <w:r w:rsidRPr="00621489">
        <w:rPr>
          <w:szCs w:val="22"/>
        </w:rPr>
        <w:t xml:space="preserve">growing rapidly with retailers and manufacturers reporting that more than half of all new sales of domestic refrigerators now carry a hydrocarbon refrigerant. </w:t>
      </w:r>
    </w:p>
    <w:p w14:paraId="3A1DBFE6" w14:textId="04935BA8" w:rsidR="00621489" w:rsidRPr="00621489" w:rsidRDefault="00621489" w:rsidP="00621489">
      <w:pPr>
        <w:rPr>
          <w:szCs w:val="22"/>
        </w:rPr>
      </w:pPr>
      <w:r w:rsidRPr="00621489">
        <w:rPr>
          <w:szCs w:val="22"/>
        </w:rPr>
        <w:t>These millions of domestic refrigerators and freezers are largely used for food storage in Australian households, office and workplace kitchens, and in portable applications (approx</w:t>
      </w:r>
      <w:r w:rsidR="001B21B9">
        <w:rPr>
          <w:szCs w:val="22"/>
        </w:rPr>
        <w:t>imately</w:t>
      </w:r>
      <w:r w:rsidRPr="00621489">
        <w:rPr>
          <w:szCs w:val="22"/>
        </w:rPr>
        <w:t xml:space="preserve"> 1.4 devices on average per household). </w:t>
      </w:r>
      <w:r w:rsidR="001B21B9">
        <w:rPr>
          <w:szCs w:val="22"/>
        </w:rPr>
        <w:t>A</w:t>
      </w:r>
      <w:r w:rsidRPr="00621489">
        <w:rPr>
          <w:szCs w:val="22"/>
        </w:rPr>
        <w:t xml:space="preserve"> small proportion of this stock can also be found being used for food storage in restaurants, takeaways, independent supermarkets, convenience stores, accommodation, and </w:t>
      </w:r>
      <w:r w:rsidR="001B21B9">
        <w:rPr>
          <w:szCs w:val="22"/>
        </w:rPr>
        <w:t>hotel</w:t>
      </w:r>
      <w:r w:rsidRPr="00621489">
        <w:rPr>
          <w:szCs w:val="22"/>
        </w:rPr>
        <w:t>s, clubs and entertainment venues.</w:t>
      </w:r>
    </w:p>
    <w:p w14:paraId="2257BFDC" w14:textId="77777777" w:rsidR="00621489" w:rsidRPr="00621489" w:rsidRDefault="00621489" w:rsidP="00621489">
      <w:pPr>
        <w:rPr>
          <w:szCs w:val="22"/>
        </w:rPr>
      </w:pPr>
      <w:r w:rsidRPr="00621489">
        <w:rPr>
          <w:szCs w:val="22"/>
        </w:rPr>
        <w:t xml:space="preserve">Typical storage volumes can range from 20 litre portable refrigerators, to large 850 litre units with ice and beverage dispensing features. The average size of the domestic fridge-freezer is increasing, however machines with beverage dispensing capability only represent a small fraction of existing stock. </w:t>
      </w:r>
    </w:p>
    <w:p w14:paraId="1B682494" w14:textId="77777777" w:rsidR="00621489" w:rsidRPr="00621489" w:rsidRDefault="00621489" w:rsidP="00621489">
      <w:pPr>
        <w:rPr>
          <w:szCs w:val="22"/>
        </w:rPr>
      </w:pPr>
      <w:r w:rsidRPr="00621489">
        <w:rPr>
          <w:szCs w:val="22"/>
        </w:rPr>
        <w:t>A typical product contains a factory-assembled, hermetically sealed, vapour-compression refrigeration system with refrigerant charges ranging from less than 50 grams to more than 200 grams, and around 40 per cent proportionally less if charged with hydrocarbons. Portable systems and passenger vehicle refrigerators include 240VAC/12VDC chest style fridge-freezers through to freestanding upright products suitable for caravans, camper trailers, motor homes, boats, buses, four wheel drives, etc.</w:t>
      </w:r>
    </w:p>
    <w:p w14:paraId="05500A73" w14:textId="77777777" w:rsidR="00621489" w:rsidRPr="00621489" w:rsidRDefault="00621489" w:rsidP="00621489">
      <w:pPr>
        <w:rPr>
          <w:szCs w:val="22"/>
        </w:rPr>
      </w:pPr>
      <w:r w:rsidRPr="00621489">
        <w:rPr>
          <w:szCs w:val="22"/>
        </w:rPr>
        <w:lastRenderedPageBreak/>
        <w:t xml:space="preserve">New sales in 2012 amounted to more than 1.2 million devices with new sales having averaged close to 1.1 million devices every year for the past decade. </w:t>
      </w:r>
    </w:p>
    <w:p w14:paraId="6AAD9898" w14:textId="48DD44BB" w:rsidR="00621489" w:rsidRPr="00621489" w:rsidRDefault="00621489" w:rsidP="00621489">
      <w:pPr>
        <w:rPr>
          <w:szCs w:val="22"/>
        </w:rPr>
      </w:pPr>
      <w:r w:rsidRPr="00621489">
        <w:rPr>
          <w:szCs w:val="22"/>
        </w:rPr>
        <w:t>More than 7</w:t>
      </w:r>
      <w:r w:rsidR="00EB1AD0">
        <w:rPr>
          <w:szCs w:val="22"/>
        </w:rPr>
        <w:t>5</w:t>
      </w:r>
      <w:r w:rsidRPr="00621489">
        <w:rPr>
          <w:szCs w:val="22"/>
        </w:rPr>
        <w:t xml:space="preserve"> per cent of new sales </w:t>
      </w:r>
      <w:r w:rsidR="00EB1AD0">
        <w:rPr>
          <w:szCs w:val="22"/>
        </w:rPr>
        <w:t xml:space="preserve">by unit volume </w:t>
      </w:r>
      <w:r w:rsidRPr="00621489">
        <w:rPr>
          <w:szCs w:val="22"/>
        </w:rPr>
        <w:t xml:space="preserve">are imported as pre-charged equipment. The 2008 closure of Fisher &amp; Paykel’s domestic refrigerator manufacturing plant in Cleveland, Queensland displaced Australian demand for 36 tonnes of HFC-134a bulk imports per annum. It is expected that </w:t>
      </w:r>
      <w:r w:rsidR="00EB1AD0" w:rsidRPr="00621489">
        <w:rPr>
          <w:szCs w:val="22"/>
        </w:rPr>
        <w:t>a similar volume of gas in equipment imports replaced this reduction in demand for bulk gas</w:t>
      </w:r>
      <w:r w:rsidRPr="00621489">
        <w:rPr>
          <w:szCs w:val="22"/>
        </w:rPr>
        <w:t>. Consumption from the only remaining domestic refrigerator manufacturers, Electrolux Appliances based in Orange, NSW is declining as the remaining models are converted to HC-600a.</w:t>
      </w:r>
    </w:p>
    <w:p w14:paraId="20C3EF9D" w14:textId="617D17E2" w:rsidR="00621489" w:rsidRPr="00621489" w:rsidRDefault="00621489" w:rsidP="00621489">
      <w:pPr>
        <w:rPr>
          <w:szCs w:val="22"/>
        </w:rPr>
      </w:pPr>
      <w:r w:rsidRPr="00621489">
        <w:rPr>
          <w:szCs w:val="22"/>
        </w:rPr>
        <w:t>There w</w:t>
      </w:r>
      <w:r w:rsidR="001B21B9">
        <w:rPr>
          <w:szCs w:val="22"/>
        </w:rPr>
        <w:t>ere</w:t>
      </w:r>
      <w:r w:rsidRPr="00621489">
        <w:rPr>
          <w:szCs w:val="22"/>
        </w:rPr>
        <w:t xml:space="preserve"> 94 tonne</w:t>
      </w:r>
      <w:r w:rsidR="001B21B9">
        <w:rPr>
          <w:szCs w:val="22"/>
        </w:rPr>
        <w:t>s</w:t>
      </w:r>
      <w:r w:rsidRPr="00621489">
        <w:rPr>
          <w:szCs w:val="22"/>
        </w:rPr>
        <w:t xml:space="preserve"> of refrigerant imported in </w:t>
      </w:r>
      <w:r w:rsidR="007611CA">
        <w:rPr>
          <w:szCs w:val="22"/>
        </w:rPr>
        <w:t xml:space="preserve">pre-charged </w:t>
      </w:r>
      <w:r w:rsidRPr="00621489">
        <w:rPr>
          <w:szCs w:val="22"/>
        </w:rPr>
        <w:t xml:space="preserve">domestic refrigerators in 2010, and a further 13 tonnes in portable refrigerators in that year.  </w:t>
      </w:r>
    </w:p>
    <w:p w14:paraId="17CC1F32" w14:textId="02FE4447" w:rsidR="00621489" w:rsidRPr="00621489" w:rsidRDefault="00621489" w:rsidP="00621489">
      <w:pPr>
        <w:rPr>
          <w:szCs w:val="22"/>
        </w:rPr>
      </w:pPr>
      <w:r w:rsidRPr="00621489">
        <w:rPr>
          <w:szCs w:val="22"/>
        </w:rPr>
        <w:t>Leak rates are very low for the majority of these tightly engineered and completely self-contained systems. The decades of product development and the huge volume manufactur</w:t>
      </w:r>
      <w:r w:rsidR="001B21B9">
        <w:rPr>
          <w:szCs w:val="22"/>
        </w:rPr>
        <w:t>ed</w:t>
      </w:r>
      <w:r w:rsidRPr="00621489">
        <w:rPr>
          <w:szCs w:val="22"/>
        </w:rPr>
        <w:t xml:space="preserve"> have produced a class of equipment that is so reliable that most people never have to get one repaired. </w:t>
      </w:r>
    </w:p>
    <w:p w14:paraId="0CD58DBF" w14:textId="491FA0D4" w:rsidR="00621489" w:rsidRPr="00621489" w:rsidRDefault="00621489" w:rsidP="00621489">
      <w:pPr>
        <w:rPr>
          <w:szCs w:val="22"/>
        </w:rPr>
      </w:pPr>
      <w:r w:rsidRPr="00621489">
        <w:rPr>
          <w:szCs w:val="22"/>
        </w:rPr>
        <w:t>More than 100,000 portable and passenger vehicle refrigerators are imported each year; major suppliers include Dometic Group (Waeco brand) and Engle Australia. Evercool, Norcoast and OzeFridge manufacture small quantities of portable 12V refrigerators in Australia.</w:t>
      </w:r>
    </w:p>
    <w:p w14:paraId="156871FB" w14:textId="4F68264F" w:rsidR="00DF7F84" w:rsidRDefault="00621489" w:rsidP="00621489">
      <w:pPr>
        <w:rPr>
          <w:szCs w:val="22"/>
        </w:rPr>
      </w:pPr>
      <w:r w:rsidRPr="00621489">
        <w:rPr>
          <w:szCs w:val="22"/>
        </w:rPr>
        <w:t>It is estimated that nearly 900,000 domestic and portable devices, still likely to contain as much as 98 tonnes of HFCs, reached the end of their useful life in 2012. That quantity of HFCs is the equivalent of 127,400 tonnes of CO</w:t>
      </w:r>
      <w:r w:rsidRPr="00621489">
        <w:rPr>
          <w:szCs w:val="22"/>
          <w:vertAlign w:val="subscript"/>
        </w:rPr>
        <w:t>2</w:t>
      </w:r>
      <w:r w:rsidRPr="00621489">
        <w:rPr>
          <w:szCs w:val="22"/>
        </w:rPr>
        <w:t>-e.</w:t>
      </w:r>
    </w:p>
    <w:p w14:paraId="1F70BB3C" w14:textId="03968F44" w:rsidR="00621489" w:rsidRDefault="00621489" w:rsidP="00621489">
      <w:pPr>
        <w:rPr>
          <w:szCs w:val="22"/>
        </w:rPr>
      </w:pPr>
      <w:r>
        <w:rPr>
          <w:szCs w:val="22"/>
        </w:rPr>
        <w:t xml:space="preserve">The main metrics are provided in </w:t>
      </w:r>
      <w:r w:rsidRPr="00BE667F">
        <w:rPr>
          <w:i/>
          <w:szCs w:val="22"/>
        </w:rPr>
        <w:t>Table 10</w:t>
      </w:r>
      <w:r>
        <w:rPr>
          <w:szCs w:val="22"/>
        </w:rPr>
        <w:t xml:space="preserve">, which includes an </w:t>
      </w:r>
      <w:r w:rsidR="00BE667F">
        <w:rPr>
          <w:szCs w:val="22"/>
        </w:rPr>
        <w:t xml:space="preserve">electricity consumption </w:t>
      </w:r>
      <w:r>
        <w:rPr>
          <w:szCs w:val="22"/>
        </w:rPr>
        <w:t xml:space="preserve">estimate of </w:t>
      </w:r>
      <w:r w:rsidR="00BE667F" w:rsidRPr="00BE667F">
        <w:rPr>
          <w:szCs w:val="22"/>
        </w:rPr>
        <w:t>7,374 GWh for domestic refrigerators and freezers</w:t>
      </w:r>
      <w:r w:rsidR="007611CA">
        <w:rPr>
          <w:szCs w:val="22"/>
        </w:rPr>
        <w:t>,</w:t>
      </w:r>
      <w:r w:rsidR="00BE667F" w:rsidRPr="00BE667F">
        <w:rPr>
          <w:szCs w:val="22"/>
        </w:rPr>
        <w:t xml:space="preserve"> plus an additional 100 GWh for portable appliances.</w:t>
      </w:r>
      <w:r w:rsidR="00BE667F">
        <w:rPr>
          <w:szCs w:val="22"/>
        </w:rPr>
        <w:t xml:space="preserve"> This estimate is consistent with other research in this area including the </w:t>
      </w:r>
      <w:r w:rsidR="00BE667F" w:rsidRPr="0001184F">
        <w:rPr>
          <w:i/>
          <w:szCs w:val="22"/>
        </w:rPr>
        <w:t>Evaluation of Energy Efficiency Policy Measures for Household Refrigeration in Australia 2010</w:t>
      </w:r>
      <w:r w:rsidR="00BE667F">
        <w:rPr>
          <w:szCs w:val="22"/>
        </w:rPr>
        <w:t xml:space="preserve"> (E3 2010c) that provided an estimate of 6,206 GWh to 7,773 GWh in 2012 for domestic refrigerators and freezers, depending on which policy measures </w:t>
      </w:r>
      <w:r w:rsidR="00EB1AD0">
        <w:rPr>
          <w:szCs w:val="22"/>
        </w:rPr>
        <w:t xml:space="preserve">were </w:t>
      </w:r>
      <w:r w:rsidR="00BE667F">
        <w:rPr>
          <w:szCs w:val="22"/>
        </w:rPr>
        <w:t>adopted.</w:t>
      </w:r>
    </w:p>
    <w:p w14:paraId="69928820" w14:textId="77777777" w:rsidR="00621489" w:rsidRPr="00BE667F" w:rsidRDefault="00621489" w:rsidP="00BE667F">
      <w:pPr>
        <w:rPr>
          <w:szCs w:val="22"/>
        </w:rPr>
      </w:pPr>
    </w:p>
    <w:p w14:paraId="2F69ED35" w14:textId="77777777" w:rsidR="00C97391" w:rsidRDefault="00C97391">
      <w:pPr>
        <w:spacing w:before="0"/>
        <w:jc w:val="left"/>
        <w:rPr>
          <w:i/>
          <w:szCs w:val="22"/>
        </w:rPr>
      </w:pPr>
      <w:r>
        <w:rPr>
          <w:i/>
          <w:szCs w:val="22"/>
        </w:rPr>
        <w:br w:type="page"/>
      </w:r>
    </w:p>
    <w:p w14:paraId="27EFC9AA" w14:textId="4CA6A08C" w:rsidR="00D133DC" w:rsidRPr="00D16B26" w:rsidRDefault="00D133DC" w:rsidP="00D133DC">
      <w:pPr>
        <w:rPr>
          <w:i/>
          <w:szCs w:val="22"/>
        </w:rPr>
      </w:pPr>
      <w:bookmarkStart w:id="22" w:name="_Toc233084054"/>
      <w:r w:rsidRPr="00D16B26">
        <w:rPr>
          <w:i/>
          <w:szCs w:val="22"/>
        </w:rPr>
        <w:lastRenderedPageBreak/>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10</w:t>
      </w:r>
      <w:r w:rsidRPr="00D16B26">
        <w:rPr>
          <w:i/>
          <w:szCs w:val="22"/>
        </w:rPr>
        <w:fldChar w:fldCharType="end"/>
      </w:r>
      <w:r w:rsidRPr="00D16B26">
        <w:rPr>
          <w:i/>
          <w:szCs w:val="22"/>
        </w:rPr>
        <w:t xml:space="preserve">: </w:t>
      </w:r>
      <w:r>
        <w:rPr>
          <w:i/>
          <w:szCs w:val="22"/>
        </w:rPr>
        <w:t>Domestic refrigeration m</w:t>
      </w:r>
      <w:r w:rsidRPr="00866793">
        <w:rPr>
          <w:i/>
          <w:szCs w:val="22"/>
        </w:rPr>
        <w:t>ain metrics</w:t>
      </w:r>
      <w:bookmarkEnd w:id="22"/>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4536"/>
      </w:tblGrid>
      <w:tr w:rsidR="00D133DC" w:rsidRPr="00866793" w14:paraId="7E9C1ED3" w14:textId="77777777" w:rsidTr="000B7E5E">
        <w:trPr>
          <w:trHeight w:val="456"/>
        </w:trPr>
        <w:tc>
          <w:tcPr>
            <w:tcW w:w="9639" w:type="dxa"/>
            <w:gridSpan w:val="2"/>
            <w:tcBorders>
              <w:top w:val="single" w:sz="4" w:space="0" w:color="000000"/>
            </w:tcBorders>
            <w:shd w:val="clear" w:color="auto" w:fill="000000"/>
            <w:vAlign w:val="center"/>
          </w:tcPr>
          <w:p w14:paraId="351841AB" w14:textId="77777777" w:rsidR="00D133DC" w:rsidRPr="00866793" w:rsidRDefault="00D133DC" w:rsidP="000B7E5E">
            <w:pPr>
              <w:spacing w:before="60" w:after="60"/>
              <w:jc w:val="left"/>
              <w:rPr>
                <w:szCs w:val="22"/>
              </w:rPr>
            </w:pPr>
            <w:r>
              <w:rPr>
                <w:szCs w:val="22"/>
              </w:rPr>
              <w:t>Mobile air conditioning s</w:t>
            </w:r>
            <w:r w:rsidRPr="00866793">
              <w:rPr>
                <w:szCs w:val="22"/>
              </w:rPr>
              <w:t>ummary all categories</w:t>
            </w:r>
          </w:p>
        </w:tc>
      </w:tr>
      <w:tr w:rsidR="00D133DC" w:rsidRPr="00923150" w14:paraId="103BA392" w14:textId="77777777" w:rsidTr="00F104B7">
        <w:trPr>
          <w:trHeight w:val="456"/>
        </w:trPr>
        <w:tc>
          <w:tcPr>
            <w:tcW w:w="5103" w:type="dxa"/>
            <w:tcBorders>
              <w:top w:val="single" w:sz="4" w:space="0" w:color="000000"/>
            </w:tcBorders>
            <w:vAlign w:val="center"/>
          </w:tcPr>
          <w:p w14:paraId="46577F76" w14:textId="6ABE8C62" w:rsidR="00D133DC" w:rsidRPr="00866793" w:rsidRDefault="00D133DC" w:rsidP="0002490E">
            <w:pPr>
              <w:spacing w:before="60" w:after="60"/>
              <w:jc w:val="left"/>
              <w:rPr>
                <w:rFonts w:cs="Times New Roman"/>
                <w:szCs w:val="22"/>
              </w:rPr>
            </w:pPr>
            <w:r w:rsidRPr="00866793">
              <w:rPr>
                <w:rFonts w:cs="Times New Roman"/>
                <w:szCs w:val="22"/>
              </w:rPr>
              <w:t xml:space="preserve">Share of </w:t>
            </w:r>
            <w:r w:rsidR="0002490E">
              <w:rPr>
                <w:rFonts w:cs="Times New Roman"/>
                <w:szCs w:val="22"/>
              </w:rPr>
              <w:t>refrigerant</w:t>
            </w:r>
            <w:r w:rsidRPr="00866793">
              <w:rPr>
                <w:rFonts w:cs="Times New Roman"/>
                <w:szCs w:val="22"/>
              </w:rPr>
              <w:t xml:space="preserve"> bank:</w:t>
            </w:r>
          </w:p>
        </w:tc>
        <w:tc>
          <w:tcPr>
            <w:tcW w:w="4536" w:type="dxa"/>
            <w:tcBorders>
              <w:top w:val="single" w:sz="4" w:space="0" w:color="000000"/>
            </w:tcBorders>
            <w:vAlign w:val="center"/>
          </w:tcPr>
          <w:p w14:paraId="25C1A09E" w14:textId="1A7A95DF" w:rsidR="00D133DC" w:rsidRPr="00866793" w:rsidRDefault="00D133DC" w:rsidP="004C702B">
            <w:pPr>
              <w:spacing w:before="60" w:after="60"/>
              <w:jc w:val="left"/>
              <w:rPr>
                <w:rFonts w:cs="Times New Roman"/>
                <w:szCs w:val="22"/>
              </w:rPr>
            </w:pPr>
            <w:r w:rsidRPr="00F75D99">
              <w:t>5%</w:t>
            </w:r>
          </w:p>
        </w:tc>
      </w:tr>
      <w:tr w:rsidR="00D133DC" w:rsidRPr="00923150" w14:paraId="53AACDDB" w14:textId="77777777" w:rsidTr="00F104B7">
        <w:trPr>
          <w:trHeight w:val="456"/>
        </w:trPr>
        <w:tc>
          <w:tcPr>
            <w:tcW w:w="5103" w:type="dxa"/>
            <w:tcBorders>
              <w:top w:val="single" w:sz="4" w:space="0" w:color="000000"/>
            </w:tcBorders>
            <w:vAlign w:val="center"/>
          </w:tcPr>
          <w:p w14:paraId="5AFEC72B" w14:textId="6C5BCFFC" w:rsidR="00D133DC" w:rsidRPr="00866793" w:rsidRDefault="00D133DC" w:rsidP="0002490E">
            <w:pPr>
              <w:spacing w:before="60" w:after="60"/>
              <w:jc w:val="left"/>
              <w:rPr>
                <w:rFonts w:cs="Times New Roman"/>
                <w:szCs w:val="22"/>
              </w:rPr>
            </w:pPr>
            <w:r w:rsidRPr="00866793">
              <w:rPr>
                <w:rFonts w:cs="Times New Roman"/>
                <w:szCs w:val="22"/>
              </w:rPr>
              <w:t xml:space="preserve">Size of </w:t>
            </w:r>
            <w:r w:rsidR="0002490E">
              <w:rPr>
                <w:rFonts w:cs="Times New Roman"/>
                <w:szCs w:val="22"/>
              </w:rPr>
              <w:t>refrigerant</w:t>
            </w:r>
            <w:r w:rsidRPr="00866793">
              <w:rPr>
                <w:rFonts w:cs="Times New Roman"/>
                <w:szCs w:val="22"/>
              </w:rPr>
              <w:t xml:space="preserve"> bank:</w:t>
            </w:r>
          </w:p>
        </w:tc>
        <w:tc>
          <w:tcPr>
            <w:tcW w:w="4536" w:type="dxa"/>
            <w:tcBorders>
              <w:top w:val="single" w:sz="4" w:space="0" w:color="000000"/>
            </w:tcBorders>
            <w:vAlign w:val="center"/>
          </w:tcPr>
          <w:p w14:paraId="7B2BA01F" w14:textId="4B487171" w:rsidR="00D133DC" w:rsidRPr="00866793" w:rsidRDefault="00D133DC" w:rsidP="000B7E5E">
            <w:pPr>
              <w:spacing w:before="60" w:after="60"/>
              <w:jc w:val="left"/>
              <w:rPr>
                <w:rFonts w:cs="Times New Roman"/>
                <w:szCs w:val="22"/>
              </w:rPr>
            </w:pPr>
            <w:r w:rsidRPr="00F75D99">
              <w:t>2,205 tonnes</w:t>
            </w:r>
          </w:p>
        </w:tc>
      </w:tr>
      <w:tr w:rsidR="00D133DC" w:rsidRPr="00923150" w14:paraId="17868F87" w14:textId="77777777" w:rsidTr="00F104B7">
        <w:trPr>
          <w:trHeight w:val="456"/>
        </w:trPr>
        <w:tc>
          <w:tcPr>
            <w:tcW w:w="5103" w:type="dxa"/>
            <w:tcBorders>
              <w:top w:val="single" w:sz="4" w:space="0" w:color="000000"/>
            </w:tcBorders>
            <w:vAlign w:val="center"/>
          </w:tcPr>
          <w:p w14:paraId="5AA8297E" w14:textId="77777777" w:rsidR="00D133DC" w:rsidRPr="00866793" w:rsidRDefault="00D133DC" w:rsidP="000B7E5E">
            <w:pPr>
              <w:spacing w:before="60" w:after="60"/>
              <w:jc w:val="left"/>
              <w:rPr>
                <w:rFonts w:cs="Times New Roman"/>
                <w:szCs w:val="22"/>
              </w:rPr>
            </w:pPr>
            <w:r w:rsidRPr="00866793">
              <w:rPr>
                <w:rFonts w:cs="Times New Roman"/>
                <w:szCs w:val="22"/>
              </w:rPr>
              <w:t>Annual consumption to replace leaks:</w:t>
            </w:r>
          </w:p>
        </w:tc>
        <w:tc>
          <w:tcPr>
            <w:tcW w:w="4536" w:type="dxa"/>
            <w:tcBorders>
              <w:top w:val="single" w:sz="4" w:space="0" w:color="000000"/>
            </w:tcBorders>
            <w:vAlign w:val="center"/>
          </w:tcPr>
          <w:p w14:paraId="004CA5F0" w14:textId="487F8C2C" w:rsidR="00D133DC" w:rsidRPr="00866793" w:rsidRDefault="00D133DC" w:rsidP="000B7E5E">
            <w:pPr>
              <w:spacing w:before="60" w:after="60"/>
              <w:jc w:val="left"/>
              <w:rPr>
                <w:rFonts w:cs="Times New Roman"/>
                <w:szCs w:val="22"/>
              </w:rPr>
            </w:pPr>
            <w:r w:rsidRPr="00F75D99">
              <w:t>22 tonnes per annum</w:t>
            </w:r>
          </w:p>
        </w:tc>
      </w:tr>
      <w:tr w:rsidR="00D133DC" w:rsidRPr="00923150" w14:paraId="2665844B" w14:textId="77777777" w:rsidTr="00F104B7">
        <w:trPr>
          <w:trHeight w:val="456"/>
        </w:trPr>
        <w:tc>
          <w:tcPr>
            <w:tcW w:w="5103" w:type="dxa"/>
            <w:tcBorders>
              <w:top w:val="single" w:sz="4" w:space="0" w:color="000000"/>
            </w:tcBorders>
            <w:vAlign w:val="center"/>
          </w:tcPr>
          <w:p w14:paraId="203CEF62" w14:textId="77777777" w:rsidR="00D133DC" w:rsidRPr="00866793" w:rsidRDefault="00D133DC" w:rsidP="000B7E5E">
            <w:pPr>
              <w:spacing w:before="60" w:after="60"/>
              <w:jc w:val="left"/>
              <w:rPr>
                <w:rFonts w:cs="Times New Roman"/>
                <w:szCs w:val="22"/>
              </w:rPr>
            </w:pPr>
            <w:r w:rsidRPr="00866793">
              <w:rPr>
                <w:rFonts w:cs="Times New Roman"/>
                <w:szCs w:val="22"/>
              </w:rPr>
              <w:t>Share of total annual bulk imports to replace leaks:</w:t>
            </w:r>
          </w:p>
        </w:tc>
        <w:tc>
          <w:tcPr>
            <w:tcW w:w="4536" w:type="dxa"/>
            <w:tcBorders>
              <w:top w:val="single" w:sz="4" w:space="0" w:color="000000"/>
            </w:tcBorders>
            <w:vAlign w:val="center"/>
          </w:tcPr>
          <w:p w14:paraId="5CB8536E" w14:textId="59366548" w:rsidR="00D133DC" w:rsidRPr="00866793" w:rsidRDefault="00D133DC" w:rsidP="000B7E5E">
            <w:pPr>
              <w:spacing w:before="60" w:after="60"/>
              <w:jc w:val="left"/>
              <w:rPr>
                <w:rFonts w:cs="Times New Roman"/>
                <w:szCs w:val="22"/>
              </w:rPr>
            </w:pPr>
            <w:r w:rsidRPr="00F75D99">
              <w:t>&lt;</w:t>
            </w:r>
            <w:r>
              <w:t xml:space="preserve"> </w:t>
            </w:r>
            <w:r w:rsidRPr="00F75D99">
              <w:t>0.5%</w:t>
            </w:r>
          </w:p>
        </w:tc>
      </w:tr>
      <w:tr w:rsidR="00D133DC" w:rsidRPr="00923150" w14:paraId="1D59CDF7" w14:textId="77777777" w:rsidTr="00F104B7">
        <w:trPr>
          <w:trHeight w:val="456"/>
        </w:trPr>
        <w:tc>
          <w:tcPr>
            <w:tcW w:w="5103" w:type="dxa"/>
            <w:tcBorders>
              <w:top w:val="single" w:sz="4" w:space="0" w:color="000000"/>
            </w:tcBorders>
            <w:vAlign w:val="center"/>
          </w:tcPr>
          <w:p w14:paraId="1F910937" w14:textId="42F80556" w:rsidR="00D133DC" w:rsidRPr="00866793" w:rsidRDefault="004C702B" w:rsidP="000B7E5E">
            <w:pPr>
              <w:spacing w:before="60" w:after="60"/>
              <w:jc w:val="left"/>
              <w:rPr>
                <w:rFonts w:cs="Times New Roman"/>
                <w:szCs w:val="22"/>
              </w:rPr>
            </w:pPr>
            <w:r w:rsidRPr="004C702B">
              <w:rPr>
                <w:rFonts w:cs="Times New Roman"/>
                <w:szCs w:val="22"/>
              </w:rPr>
              <w:t>Gas in pre-charged equipment imports over previous five years (excl. 2012):</w:t>
            </w:r>
          </w:p>
        </w:tc>
        <w:tc>
          <w:tcPr>
            <w:tcW w:w="4536" w:type="dxa"/>
            <w:tcBorders>
              <w:top w:val="single" w:sz="4" w:space="0" w:color="000000"/>
            </w:tcBorders>
            <w:vAlign w:val="center"/>
          </w:tcPr>
          <w:p w14:paraId="226F27E2" w14:textId="43DB3C9F" w:rsidR="00D133DC" w:rsidRPr="00866793" w:rsidRDefault="004C702B" w:rsidP="004C702B">
            <w:pPr>
              <w:spacing w:before="60" w:after="60"/>
              <w:jc w:val="left"/>
              <w:rPr>
                <w:rFonts w:cs="Times New Roman"/>
                <w:szCs w:val="22"/>
              </w:rPr>
            </w:pPr>
            <w:r>
              <w:rPr>
                <w:rFonts w:eastAsia="Times New Roman"/>
              </w:rPr>
              <w:t xml:space="preserve">85 to </w:t>
            </w:r>
            <w:r w:rsidR="00D133DC" w:rsidRPr="00FA279D">
              <w:rPr>
                <w:rFonts w:eastAsia="Times New Roman"/>
              </w:rPr>
              <w:t>1</w:t>
            </w:r>
            <w:r>
              <w:rPr>
                <w:rFonts w:eastAsia="Times New Roman"/>
              </w:rPr>
              <w:t>42</w:t>
            </w:r>
            <w:r w:rsidR="00D133DC" w:rsidRPr="00FA279D">
              <w:rPr>
                <w:rFonts w:eastAsia="Times New Roman"/>
              </w:rPr>
              <w:t xml:space="preserve"> tonnes per annum</w:t>
            </w:r>
          </w:p>
        </w:tc>
      </w:tr>
      <w:tr w:rsidR="00D133DC" w:rsidRPr="00923150" w14:paraId="5F663988" w14:textId="77777777" w:rsidTr="00F104B7">
        <w:trPr>
          <w:trHeight w:val="456"/>
        </w:trPr>
        <w:tc>
          <w:tcPr>
            <w:tcW w:w="5103" w:type="dxa"/>
            <w:tcBorders>
              <w:top w:val="single" w:sz="4" w:space="0" w:color="000000"/>
            </w:tcBorders>
            <w:vAlign w:val="center"/>
          </w:tcPr>
          <w:p w14:paraId="193F2D70" w14:textId="77777777" w:rsidR="00D133DC" w:rsidRPr="00866793" w:rsidRDefault="00D133DC" w:rsidP="000B7E5E">
            <w:pPr>
              <w:spacing w:before="60" w:after="60"/>
              <w:jc w:val="left"/>
              <w:rPr>
                <w:rFonts w:cs="Times New Roman"/>
                <w:szCs w:val="22"/>
              </w:rPr>
            </w:pPr>
            <w:r w:rsidRPr="00866793">
              <w:rPr>
                <w:rFonts w:cs="Times New Roman"/>
                <w:szCs w:val="22"/>
              </w:rPr>
              <w:t>Estimated stock of equipment:</w:t>
            </w:r>
          </w:p>
        </w:tc>
        <w:tc>
          <w:tcPr>
            <w:tcW w:w="4536" w:type="dxa"/>
            <w:tcBorders>
              <w:top w:val="single" w:sz="4" w:space="0" w:color="000000"/>
            </w:tcBorders>
            <w:vAlign w:val="center"/>
          </w:tcPr>
          <w:p w14:paraId="27BED7B6" w14:textId="7A202D68" w:rsidR="00D133DC" w:rsidRPr="00866793" w:rsidRDefault="00D133DC" w:rsidP="00D133DC">
            <w:pPr>
              <w:spacing w:before="60" w:after="60"/>
              <w:jc w:val="left"/>
              <w:rPr>
                <w:rFonts w:cs="Times New Roman"/>
                <w:szCs w:val="22"/>
              </w:rPr>
            </w:pPr>
            <w:r w:rsidRPr="00A140EF">
              <w:t>&gt; 1</w:t>
            </w:r>
            <w:r>
              <w:t>7</w:t>
            </w:r>
            <w:r w:rsidRPr="00A140EF">
              <w:t xml:space="preserve"> million </w:t>
            </w:r>
            <w:r>
              <w:t>appliances</w:t>
            </w:r>
          </w:p>
        </w:tc>
      </w:tr>
      <w:tr w:rsidR="00D133DC" w:rsidRPr="00923150" w14:paraId="77B8C772" w14:textId="77777777" w:rsidTr="00F104B7">
        <w:trPr>
          <w:trHeight w:val="456"/>
        </w:trPr>
        <w:tc>
          <w:tcPr>
            <w:tcW w:w="5103" w:type="dxa"/>
            <w:tcBorders>
              <w:top w:val="single" w:sz="4" w:space="0" w:color="000000"/>
            </w:tcBorders>
            <w:vAlign w:val="center"/>
          </w:tcPr>
          <w:p w14:paraId="6FB9FD21" w14:textId="77777777" w:rsidR="00D133DC" w:rsidRPr="00866793" w:rsidRDefault="00D133DC" w:rsidP="000B7E5E">
            <w:pPr>
              <w:spacing w:before="60" w:after="60"/>
              <w:jc w:val="left"/>
              <w:rPr>
                <w:rFonts w:cs="Times New Roman"/>
                <w:szCs w:val="22"/>
              </w:rPr>
            </w:pPr>
            <w:r w:rsidRPr="00866793">
              <w:rPr>
                <w:rFonts w:cs="Times New Roman"/>
                <w:szCs w:val="22"/>
              </w:rPr>
              <w:t>Charge size:</w:t>
            </w:r>
          </w:p>
        </w:tc>
        <w:tc>
          <w:tcPr>
            <w:tcW w:w="4536" w:type="dxa"/>
            <w:tcBorders>
              <w:top w:val="single" w:sz="4" w:space="0" w:color="000000"/>
            </w:tcBorders>
            <w:vAlign w:val="center"/>
          </w:tcPr>
          <w:p w14:paraId="6680D6AE" w14:textId="43BE29E2" w:rsidR="00D133DC" w:rsidRPr="00866793" w:rsidRDefault="00D133DC" w:rsidP="000B7E5E">
            <w:pPr>
              <w:spacing w:before="60" w:after="60"/>
              <w:jc w:val="left"/>
              <w:rPr>
                <w:rFonts w:cs="Times New Roman"/>
                <w:szCs w:val="22"/>
              </w:rPr>
            </w:pPr>
            <w:r w:rsidRPr="00FA279D">
              <w:rPr>
                <w:rFonts w:eastAsia="Times New Roman"/>
              </w:rPr>
              <w:t>50 to 200 grams, average 140 grams</w:t>
            </w:r>
          </w:p>
        </w:tc>
      </w:tr>
      <w:tr w:rsidR="00D133DC" w:rsidRPr="00923150" w14:paraId="6C1F5792" w14:textId="77777777" w:rsidTr="00F104B7">
        <w:trPr>
          <w:trHeight w:val="456"/>
        </w:trPr>
        <w:tc>
          <w:tcPr>
            <w:tcW w:w="5103" w:type="dxa"/>
            <w:tcBorders>
              <w:top w:val="single" w:sz="4" w:space="0" w:color="000000"/>
            </w:tcBorders>
            <w:vAlign w:val="center"/>
          </w:tcPr>
          <w:p w14:paraId="06C85262" w14:textId="77777777" w:rsidR="00D133DC" w:rsidRPr="00866793" w:rsidRDefault="00D133DC" w:rsidP="000B7E5E">
            <w:pPr>
              <w:spacing w:before="60" w:after="60"/>
              <w:jc w:val="left"/>
              <w:rPr>
                <w:rFonts w:cs="Times New Roman"/>
                <w:szCs w:val="22"/>
              </w:rPr>
            </w:pPr>
            <w:r w:rsidRPr="00866793">
              <w:rPr>
                <w:rFonts w:cs="Times New Roman"/>
                <w:szCs w:val="22"/>
              </w:rPr>
              <w:t>Estimated leak rate:</w:t>
            </w:r>
          </w:p>
        </w:tc>
        <w:tc>
          <w:tcPr>
            <w:tcW w:w="4536" w:type="dxa"/>
            <w:tcBorders>
              <w:top w:val="single" w:sz="4" w:space="0" w:color="000000"/>
            </w:tcBorders>
            <w:vAlign w:val="center"/>
          </w:tcPr>
          <w:p w14:paraId="4E0D37B7" w14:textId="55D62E41" w:rsidR="00D133DC" w:rsidRPr="00866793" w:rsidRDefault="00F104B7" w:rsidP="000B7E5E">
            <w:pPr>
              <w:spacing w:before="60" w:after="60"/>
              <w:jc w:val="left"/>
              <w:rPr>
                <w:rFonts w:cs="Times New Roman"/>
                <w:szCs w:val="22"/>
              </w:rPr>
            </w:pPr>
            <w:r w:rsidRPr="00FA279D">
              <w:rPr>
                <w:rFonts w:eastAsia="Times New Roman"/>
              </w:rPr>
              <w:t>&lt;</w:t>
            </w:r>
            <w:r>
              <w:rPr>
                <w:rFonts w:eastAsia="Times New Roman"/>
              </w:rPr>
              <w:t xml:space="preserve"> </w:t>
            </w:r>
            <w:r w:rsidRPr="00FA279D">
              <w:rPr>
                <w:rFonts w:eastAsia="Times New Roman"/>
              </w:rPr>
              <w:t>1% of charge per annum</w:t>
            </w:r>
          </w:p>
        </w:tc>
      </w:tr>
      <w:tr w:rsidR="00D133DC" w:rsidRPr="00923150" w14:paraId="5FF37E4B" w14:textId="77777777" w:rsidTr="00F104B7">
        <w:trPr>
          <w:trHeight w:val="456"/>
        </w:trPr>
        <w:tc>
          <w:tcPr>
            <w:tcW w:w="5103" w:type="dxa"/>
            <w:tcBorders>
              <w:top w:val="single" w:sz="4" w:space="0" w:color="000000"/>
            </w:tcBorders>
            <w:vAlign w:val="center"/>
          </w:tcPr>
          <w:p w14:paraId="096F720E" w14:textId="77777777" w:rsidR="00D133DC" w:rsidRPr="00866793" w:rsidRDefault="00D133DC" w:rsidP="000B7E5E">
            <w:pPr>
              <w:spacing w:before="60" w:after="60"/>
              <w:jc w:val="left"/>
              <w:rPr>
                <w:rFonts w:cs="Times New Roman"/>
                <w:szCs w:val="22"/>
              </w:rPr>
            </w:pPr>
            <w:r w:rsidRPr="00866793">
              <w:rPr>
                <w:rFonts w:cs="Times New Roman"/>
                <w:szCs w:val="22"/>
              </w:rPr>
              <w:t>Predominant gas species used by volume:</w:t>
            </w:r>
          </w:p>
        </w:tc>
        <w:tc>
          <w:tcPr>
            <w:tcW w:w="4536" w:type="dxa"/>
            <w:tcBorders>
              <w:top w:val="single" w:sz="4" w:space="0" w:color="000000"/>
            </w:tcBorders>
            <w:vAlign w:val="center"/>
          </w:tcPr>
          <w:p w14:paraId="137739DD" w14:textId="4E1756CB" w:rsidR="00D133DC" w:rsidRPr="00866793" w:rsidRDefault="00F104B7" w:rsidP="000B7E5E">
            <w:pPr>
              <w:spacing w:before="60" w:after="60"/>
              <w:jc w:val="left"/>
              <w:rPr>
                <w:rFonts w:cs="Times New Roman"/>
                <w:szCs w:val="22"/>
              </w:rPr>
            </w:pPr>
            <w:r w:rsidRPr="00FA279D">
              <w:rPr>
                <w:rFonts w:eastAsia="Times New Roman"/>
              </w:rPr>
              <w:t>HFC-134a and HC-600a</w:t>
            </w:r>
          </w:p>
        </w:tc>
      </w:tr>
      <w:tr w:rsidR="00D133DC" w:rsidRPr="00923150" w14:paraId="3940CE7F" w14:textId="77777777" w:rsidTr="00F104B7">
        <w:trPr>
          <w:trHeight w:val="456"/>
        </w:trPr>
        <w:tc>
          <w:tcPr>
            <w:tcW w:w="5103" w:type="dxa"/>
            <w:tcBorders>
              <w:top w:val="single" w:sz="4" w:space="0" w:color="000000"/>
            </w:tcBorders>
            <w:vAlign w:val="center"/>
          </w:tcPr>
          <w:p w14:paraId="1B40E721" w14:textId="77777777" w:rsidR="00D133DC" w:rsidRPr="00866793" w:rsidRDefault="00D133DC" w:rsidP="000B7E5E">
            <w:pPr>
              <w:spacing w:before="60" w:after="60"/>
              <w:jc w:val="left"/>
              <w:rPr>
                <w:rFonts w:cs="Times New Roman"/>
                <w:szCs w:val="22"/>
              </w:rPr>
            </w:pPr>
            <w:r w:rsidRPr="00866793">
              <w:rPr>
                <w:rFonts w:cs="Times New Roman"/>
                <w:szCs w:val="22"/>
              </w:rPr>
              <w:t xml:space="preserve">Annual </w:t>
            </w:r>
            <w:r>
              <w:rPr>
                <w:rFonts w:cs="Times New Roman"/>
                <w:szCs w:val="22"/>
              </w:rPr>
              <w:t>e</w:t>
            </w:r>
            <w:r w:rsidRPr="00866793">
              <w:rPr>
                <w:rFonts w:cs="Times New Roman"/>
                <w:szCs w:val="22"/>
              </w:rPr>
              <w:t xml:space="preserve">xpenditure on </w:t>
            </w:r>
            <w:r>
              <w:rPr>
                <w:rFonts w:cs="Times New Roman"/>
                <w:szCs w:val="22"/>
              </w:rPr>
              <w:t>n</w:t>
            </w:r>
            <w:r w:rsidRPr="00866793">
              <w:rPr>
                <w:rFonts w:cs="Times New Roman"/>
                <w:szCs w:val="22"/>
              </w:rPr>
              <w:t xml:space="preserve">ew </w:t>
            </w:r>
            <w:r>
              <w:rPr>
                <w:rFonts w:cs="Times New Roman"/>
                <w:szCs w:val="22"/>
              </w:rPr>
              <w:t>e</w:t>
            </w:r>
            <w:r w:rsidRPr="00866793">
              <w:rPr>
                <w:rFonts w:cs="Times New Roman"/>
                <w:szCs w:val="22"/>
              </w:rPr>
              <w:t>quipment</w:t>
            </w:r>
            <w:r>
              <w:rPr>
                <w:rFonts w:cs="Times New Roman"/>
                <w:szCs w:val="22"/>
              </w:rPr>
              <w:t>:</w:t>
            </w:r>
          </w:p>
        </w:tc>
        <w:tc>
          <w:tcPr>
            <w:tcW w:w="4536" w:type="dxa"/>
            <w:tcBorders>
              <w:top w:val="single" w:sz="4" w:space="0" w:color="000000"/>
            </w:tcBorders>
            <w:vAlign w:val="center"/>
          </w:tcPr>
          <w:p w14:paraId="23EF9556" w14:textId="18E2466B" w:rsidR="00D133DC" w:rsidRPr="00866793" w:rsidRDefault="00F104B7" w:rsidP="000B7E5E">
            <w:pPr>
              <w:spacing w:before="60" w:after="60"/>
              <w:jc w:val="left"/>
              <w:rPr>
                <w:rFonts w:cs="Times New Roman"/>
                <w:szCs w:val="22"/>
              </w:rPr>
            </w:pPr>
            <w:r w:rsidRPr="00FA279D">
              <w:rPr>
                <w:rFonts w:eastAsia="Times New Roman"/>
              </w:rPr>
              <w:t>&lt; $1.2 B</w:t>
            </w:r>
            <w:r>
              <w:rPr>
                <w:rFonts w:eastAsia="Times New Roman"/>
              </w:rPr>
              <w:t>illion</w:t>
            </w:r>
          </w:p>
        </w:tc>
      </w:tr>
      <w:tr w:rsidR="00F104B7" w:rsidRPr="00923150" w14:paraId="098FB80C" w14:textId="77777777" w:rsidTr="00F104B7">
        <w:trPr>
          <w:trHeight w:val="456"/>
        </w:trPr>
        <w:tc>
          <w:tcPr>
            <w:tcW w:w="5103" w:type="dxa"/>
            <w:tcBorders>
              <w:top w:val="single" w:sz="4" w:space="0" w:color="000000"/>
            </w:tcBorders>
            <w:vAlign w:val="center"/>
          </w:tcPr>
          <w:p w14:paraId="2CA014F8" w14:textId="6994647F" w:rsidR="00F104B7" w:rsidRPr="00866793" w:rsidRDefault="00F104B7" w:rsidP="000B7E5E">
            <w:pPr>
              <w:spacing w:before="60" w:after="60"/>
              <w:jc w:val="left"/>
              <w:rPr>
                <w:rFonts w:cs="Times New Roman"/>
                <w:szCs w:val="22"/>
              </w:rPr>
            </w:pPr>
            <w:r>
              <w:rPr>
                <w:rFonts w:cs="Times New Roman"/>
                <w:szCs w:val="22"/>
              </w:rPr>
              <w:t>Annual electricity consumption:</w:t>
            </w:r>
          </w:p>
        </w:tc>
        <w:tc>
          <w:tcPr>
            <w:tcW w:w="4536" w:type="dxa"/>
            <w:tcBorders>
              <w:top w:val="single" w:sz="4" w:space="0" w:color="000000"/>
            </w:tcBorders>
            <w:vAlign w:val="center"/>
          </w:tcPr>
          <w:p w14:paraId="14512F49" w14:textId="5E2728D3" w:rsidR="00F104B7" w:rsidRPr="00A140EF" w:rsidRDefault="004C702B" w:rsidP="00BE667F">
            <w:pPr>
              <w:spacing w:before="60" w:after="60"/>
              <w:jc w:val="left"/>
            </w:pPr>
            <w:r>
              <w:rPr>
                <w:rFonts w:eastAsia="Times New Roman"/>
              </w:rPr>
              <w:t>7</w:t>
            </w:r>
            <w:r w:rsidR="00F104B7" w:rsidRPr="00FA279D">
              <w:rPr>
                <w:rFonts w:eastAsia="Times New Roman"/>
              </w:rPr>
              <w:t>,</w:t>
            </w:r>
            <w:r w:rsidR="00BE667F">
              <w:rPr>
                <w:rFonts w:eastAsia="Times New Roman"/>
              </w:rPr>
              <w:t>4</w:t>
            </w:r>
            <w:r>
              <w:rPr>
                <w:rFonts w:eastAsia="Times New Roman"/>
              </w:rPr>
              <w:t>74</w:t>
            </w:r>
            <w:r w:rsidR="00F104B7" w:rsidRPr="00FA279D">
              <w:rPr>
                <w:rFonts w:eastAsia="Times New Roman"/>
              </w:rPr>
              <w:t xml:space="preserve"> GWh</w:t>
            </w:r>
          </w:p>
        </w:tc>
      </w:tr>
      <w:tr w:rsidR="00F104B7" w:rsidRPr="00923150" w14:paraId="3DB56D18" w14:textId="77777777" w:rsidTr="00F104B7">
        <w:trPr>
          <w:trHeight w:val="456"/>
        </w:trPr>
        <w:tc>
          <w:tcPr>
            <w:tcW w:w="5103" w:type="dxa"/>
            <w:tcBorders>
              <w:top w:val="single" w:sz="4" w:space="0" w:color="000000"/>
            </w:tcBorders>
            <w:vAlign w:val="center"/>
          </w:tcPr>
          <w:p w14:paraId="65751532" w14:textId="7426F6A6" w:rsidR="00F104B7" w:rsidRPr="00866793" w:rsidRDefault="00F104B7" w:rsidP="000B7E5E">
            <w:pPr>
              <w:spacing w:before="60" w:after="60"/>
              <w:jc w:val="left"/>
              <w:rPr>
                <w:rFonts w:cs="Times New Roman"/>
                <w:szCs w:val="22"/>
              </w:rPr>
            </w:pPr>
            <w:r>
              <w:rPr>
                <w:rFonts w:cs="Times New Roman"/>
                <w:szCs w:val="22"/>
              </w:rPr>
              <w:t>Share of HVAC&amp;R electrical consumption:</w:t>
            </w:r>
          </w:p>
        </w:tc>
        <w:tc>
          <w:tcPr>
            <w:tcW w:w="4536" w:type="dxa"/>
            <w:tcBorders>
              <w:top w:val="single" w:sz="4" w:space="0" w:color="000000"/>
            </w:tcBorders>
            <w:vAlign w:val="center"/>
          </w:tcPr>
          <w:p w14:paraId="57BB0B82" w14:textId="255ADAA6" w:rsidR="00F104B7" w:rsidRPr="00A140EF" w:rsidRDefault="004C702B" w:rsidP="000B7E5E">
            <w:pPr>
              <w:spacing w:before="60" w:after="60"/>
              <w:jc w:val="left"/>
            </w:pPr>
            <w:r>
              <w:rPr>
                <w:rFonts w:eastAsia="Times New Roman"/>
              </w:rPr>
              <w:t>13</w:t>
            </w:r>
            <w:r w:rsidR="00F104B7" w:rsidRPr="00FA279D">
              <w:rPr>
                <w:rFonts w:eastAsia="Times New Roman"/>
              </w:rPr>
              <w:t>%</w:t>
            </w:r>
          </w:p>
        </w:tc>
      </w:tr>
      <w:tr w:rsidR="00F104B7" w:rsidRPr="00923150" w14:paraId="7B3FCFD5" w14:textId="77777777" w:rsidTr="00F104B7">
        <w:trPr>
          <w:trHeight w:val="456"/>
        </w:trPr>
        <w:tc>
          <w:tcPr>
            <w:tcW w:w="5103" w:type="dxa"/>
            <w:tcBorders>
              <w:top w:val="single" w:sz="4" w:space="0" w:color="000000"/>
            </w:tcBorders>
            <w:vAlign w:val="center"/>
          </w:tcPr>
          <w:p w14:paraId="063EB834" w14:textId="77777777" w:rsidR="00F104B7" w:rsidRPr="00866793" w:rsidRDefault="00F104B7" w:rsidP="000B7E5E">
            <w:pPr>
              <w:spacing w:before="60" w:after="60"/>
              <w:jc w:val="left"/>
              <w:rPr>
                <w:rFonts w:cs="Times New Roman"/>
                <w:szCs w:val="22"/>
              </w:rPr>
            </w:pPr>
            <w:r w:rsidRPr="00866793">
              <w:rPr>
                <w:rFonts w:cs="Times New Roman"/>
                <w:szCs w:val="22"/>
              </w:rPr>
              <w:t xml:space="preserve">Annual GHG </w:t>
            </w:r>
            <w:r>
              <w:rPr>
                <w:rFonts w:cs="Times New Roman"/>
                <w:szCs w:val="22"/>
              </w:rPr>
              <w:t>indirect e</w:t>
            </w:r>
            <w:r w:rsidRPr="00866793">
              <w:rPr>
                <w:rFonts w:cs="Times New Roman"/>
                <w:szCs w:val="22"/>
              </w:rPr>
              <w:t>missions</w:t>
            </w:r>
            <w:r>
              <w:rPr>
                <w:rFonts w:cs="Times New Roman"/>
                <w:szCs w:val="22"/>
              </w:rPr>
              <w:t>:</w:t>
            </w:r>
          </w:p>
        </w:tc>
        <w:tc>
          <w:tcPr>
            <w:tcW w:w="4536" w:type="dxa"/>
            <w:tcBorders>
              <w:top w:val="single" w:sz="4" w:space="0" w:color="000000"/>
            </w:tcBorders>
            <w:vAlign w:val="center"/>
          </w:tcPr>
          <w:p w14:paraId="2F2D631B" w14:textId="4F6984FC" w:rsidR="00F104B7" w:rsidRPr="00866793" w:rsidRDefault="00F104B7" w:rsidP="000B7E5E">
            <w:pPr>
              <w:spacing w:before="60" w:after="60"/>
              <w:jc w:val="left"/>
              <w:rPr>
                <w:rFonts w:cs="Times New Roman"/>
                <w:szCs w:val="22"/>
              </w:rPr>
            </w:pPr>
            <w:r w:rsidRPr="00FA279D">
              <w:rPr>
                <w:rFonts w:eastAsia="Times New Roman"/>
              </w:rPr>
              <w:t>6.83 Mt CO</w:t>
            </w:r>
            <w:r w:rsidRPr="00FA279D">
              <w:rPr>
                <w:rFonts w:eastAsia="Times New Roman"/>
                <w:vertAlign w:val="subscript"/>
              </w:rPr>
              <w:t>2</w:t>
            </w:r>
            <w:r w:rsidRPr="00FA279D">
              <w:rPr>
                <w:rFonts w:eastAsia="Times New Roman"/>
              </w:rPr>
              <w:t>-e</w:t>
            </w:r>
          </w:p>
        </w:tc>
      </w:tr>
      <w:tr w:rsidR="00F104B7" w:rsidRPr="00923150" w14:paraId="13A9880B" w14:textId="77777777" w:rsidTr="00F104B7">
        <w:trPr>
          <w:trHeight w:val="456"/>
        </w:trPr>
        <w:tc>
          <w:tcPr>
            <w:tcW w:w="5103" w:type="dxa"/>
            <w:tcBorders>
              <w:top w:val="single" w:sz="4" w:space="0" w:color="000000"/>
            </w:tcBorders>
            <w:vAlign w:val="center"/>
          </w:tcPr>
          <w:p w14:paraId="5A151417" w14:textId="77777777" w:rsidR="00F104B7" w:rsidRPr="00866793" w:rsidRDefault="00F104B7" w:rsidP="000B7E5E">
            <w:pPr>
              <w:spacing w:before="60" w:after="60"/>
              <w:jc w:val="left"/>
              <w:rPr>
                <w:rFonts w:cs="Times New Roman"/>
                <w:szCs w:val="22"/>
              </w:rPr>
            </w:pPr>
            <w:r>
              <w:rPr>
                <w:rFonts w:cs="Times New Roman"/>
                <w:szCs w:val="22"/>
              </w:rPr>
              <w:t>Share of HVAC&amp;R i</w:t>
            </w:r>
            <w:r w:rsidRPr="00866793">
              <w:rPr>
                <w:rFonts w:cs="Times New Roman"/>
                <w:szCs w:val="22"/>
              </w:rPr>
              <w:t xml:space="preserve">ndirect </w:t>
            </w:r>
            <w:r>
              <w:rPr>
                <w:rFonts w:cs="Times New Roman"/>
                <w:szCs w:val="22"/>
              </w:rPr>
              <w:t>e</w:t>
            </w:r>
            <w:r w:rsidRPr="00866793">
              <w:rPr>
                <w:rFonts w:cs="Times New Roman"/>
                <w:szCs w:val="22"/>
              </w:rPr>
              <w:t>missions</w:t>
            </w:r>
            <w:r>
              <w:rPr>
                <w:rFonts w:cs="Times New Roman"/>
                <w:szCs w:val="22"/>
              </w:rPr>
              <w:t>:</w:t>
            </w:r>
          </w:p>
        </w:tc>
        <w:tc>
          <w:tcPr>
            <w:tcW w:w="4536" w:type="dxa"/>
            <w:tcBorders>
              <w:top w:val="single" w:sz="4" w:space="0" w:color="000000"/>
            </w:tcBorders>
            <w:vAlign w:val="center"/>
          </w:tcPr>
          <w:p w14:paraId="75B09DFA" w14:textId="6C3CA78F" w:rsidR="00F104B7" w:rsidRPr="00866793" w:rsidRDefault="00F104B7" w:rsidP="000B7E5E">
            <w:pPr>
              <w:spacing w:before="60" w:after="60"/>
              <w:jc w:val="left"/>
              <w:rPr>
                <w:rFonts w:cs="Times New Roman"/>
                <w:szCs w:val="22"/>
              </w:rPr>
            </w:pPr>
            <w:r w:rsidRPr="00FA279D">
              <w:rPr>
                <w:rFonts w:eastAsia="Times New Roman"/>
              </w:rPr>
              <w:t>12.0%</w:t>
            </w:r>
          </w:p>
        </w:tc>
      </w:tr>
      <w:tr w:rsidR="00F104B7" w:rsidRPr="00923150" w14:paraId="2EE5C532" w14:textId="77777777" w:rsidTr="00F104B7">
        <w:trPr>
          <w:trHeight w:val="456"/>
        </w:trPr>
        <w:tc>
          <w:tcPr>
            <w:tcW w:w="5103" w:type="dxa"/>
            <w:tcBorders>
              <w:top w:val="single" w:sz="4" w:space="0" w:color="000000"/>
            </w:tcBorders>
            <w:vAlign w:val="center"/>
          </w:tcPr>
          <w:p w14:paraId="69D4CA29" w14:textId="56A3C1D5" w:rsidR="00F104B7" w:rsidRPr="00866793" w:rsidRDefault="00F104B7" w:rsidP="000B7E5E">
            <w:pPr>
              <w:spacing w:before="60" w:after="60"/>
              <w:jc w:val="left"/>
              <w:rPr>
                <w:rFonts w:cs="Times New Roman"/>
                <w:szCs w:val="22"/>
              </w:rPr>
            </w:pPr>
            <w:r w:rsidRPr="00866793">
              <w:rPr>
                <w:rFonts w:cs="Times New Roman"/>
                <w:szCs w:val="22"/>
              </w:rPr>
              <w:t xml:space="preserve">Annual GHG </w:t>
            </w:r>
            <w:r w:rsidR="00821A4E">
              <w:rPr>
                <w:rFonts w:cs="Times New Roman"/>
                <w:szCs w:val="22"/>
              </w:rPr>
              <w:t xml:space="preserve">(SGG) </w:t>
            </w:r>
            <w:r>
              <w:rPr>
                <w:rFonts w:cs="Times New Roman"/>
                <w:szCs w:val="22"/>
              </w:rPr>
              <w:t>direct e</w:t>
            </w:r>
            <w:r w:rsidRPr="00866793">
              <w:rPr>
                <w:rFonts w:cs="Times New Roman"/>
                <w:szCs w:val="22"/>
              </w:rPr>
              <w:t>missions</w:t>
            </w:r>
            <w:r>
              <w:rPr>
                <w:rFonts w:cs="Times New Roman"/>
                <w:szCs w:val="22"/>
              </w:rPr>
              <w:t>:</w:t>
            </w:r>
          </w:p>
        </w:tc>
        <w:tc>
          <w:tcPr>
            <w:tcW w:w="4536" w:type="dxa"/>
            <w:tcBorders>
              <w:top w:val="single" w:sz="4" w:space="0" w:color="000000"/>
            </w:tcBorders>
            <w:vAlign w:val="center"/>
          </w:tcPr>
          <w:p w14:paraId="235C81A1" w14:textId="6C23BDBF" w:rsidR="00F104B7" w:rsidRPr="00866793" w:rsidRDefault="00F104B7" w:rsidP="000B7E5E">
            <w:pPr>
              <w:spacing w:before="60" w:after="60"/>
              <w:jc w:val="left"/>
              <w:rPr>
                <w:rFonts w:cs="Times New Roman"/>
                <w:szCs w:val="22"/>
              </w:rPr>
            </w:pPr>
            <w:r w:rsidRPr="00FA279D">
              <w:rPr>
                <w:rFonts w:eastAsia="Times New Roman"/>
              </w:rPr>
              <w:t>0.03 Mt CO</w:t>
            </w:r>
            <w:r w:rsidRPr="00FA279D">
              <w:rPr>
                <w:rFonts w:eastAsia="Times New Roman"/>
                <w:vertAlign w:val="subscript"/>
              </w:rPr>
              <w:t>2</w:t>
            </w:r>
            <w:r w:rsidRPr="00FA279D">
              <w:rPr>
                <w:rFonts w:eastAsia="Times New Roman"/>
              </w:rPr>
              <w:t>-e</w:t>
            </w:r>
          </w:p>
        </w:tc>
      </w:tr>
      <w:tr w:rsidR="00F104B7" w:rsidRPr="00923150" w14:paraId="1CFC3F2C" w14:textId="77777777" w:rsidTr="00F104B7">
        <w:trPr>
          <w:trHeight w:val="456"/>
        </w:trPr>
        <w:tc>
          <w:tcPr>
            <w:tcW w:w="5103" w:type="dxa"/>
            <w:tcBorders>
              <w:top w:val="single" w:sz="4" w:space="0" w:color="000000"/>
            </w:tcBorders>
            <w:vAlign w:val="center"/>
          </w:tcPr>
          <w:p w14:paraId="3FCAE27C" w14:textId="77777777" w:rsidR="00F104B7" w:rsidRPr="00866793" w:rsidRDefault="00F104B7" w:rsidP="000B7E5E">
            <w:pPr>
              <w:spacing w:before="60" w:after="60"/>
              <w:jc w:val="left"/>
              <w:rPr>
                <w:rFonts w:cs="Times New Roman"/>
                <w:szCs w:val="22"/>
              </w:rPr>
            </w:pPr>
            <w:r w:rsidRPr="00866793">
              <w:rPr>
                <w:rFonts w:cs="Times New Roman"/>
                <w:szCs w:val="22"/>
              </w:rPr>
              <w:t xml:space="preserve">Share of HVAC&amp;R </w:t>
            </w:r>
            <w:r>
              <w:rPr>
                <w:rFonts w:cs="Times New Roman"/>
                <w:szCs w:val="22"/>
              </w:rPr>
              <w:t>d</w:t>
            </w:r>
            <w:r w:rsidRPr="00866793">
              <w:rPr>
                <w:rFonts w:cs="Times New Roman"/>
                <w:szCs w:val="22"/>
              </w:rPr>
              <w:t xml:space="preserve">irect </w:t>
            </w:r>
            <w:r>
              <w:rPr>
                <w:rFonts w:cs="Times New Roman"/>
                <w:szCs w:val="22"/>
              </w:rPr>
              <w:t>e</w:t>
            </w:r>
            <w:r w:rsidRPr="00866793">
              <w:rPr>
                <w:rFonts w:cs="Times New Roman"/>
                <w:szCs w:val="22"/>
              </w:rPr>
              <w:t>missions</w:t>
            </w:r>
            <w:r>
              <w:rPr>
                <w:rFonts w:cs="Times New Roman"/>
                <w:szCs w:val="22"/>
              </w:rPr>
              <w:t>:</w:t>
            </w:r>
          </w:p>
        </w:tc>
        <w:tc>
          <w:tcPr>
            <w:tcW w:w="4536" w:type="dxa"/>
            <w:tcBorders>
              <w:top w:val="single" w:sz="4" w:space="0" w:color="000000"/>
            </w:tcBorders>
            <w:vAlign w:val="center"/>
          </w:tcPr>
          <w:p w14:paraId="655F8849" w14:textId="2A99D40D" w:rsidR="00F104B7" w:rsidRPr="00866793" w:rsidRDefault="00F104B7" w:rsidP="00AF383F">
            <w:pPr>
              <w:spacing w:before="60" w:after="60"/>
              <w:jc w:val="left"/>
              <w:rPr>
                <w:rFonts w:cs="Times New Roman"/>
                <w:szCs w:val="22"/>
              </w:rPr>
            </w:pPr>
            <w:r w:rsidRPr="00FA279D">
              <w:rPr>
                <w:rFonts w:eastAsia="Times New Roman"/>
              </w:rPr>
              <w:t>0.</w:t>
            </w:r>
            <w:r w:rsidR="00AF383F">
              <w:rPr>
                <w:rFonts w:eastAsia="Times New Roman"/>
              </w:rPr>
              <w:t>5</w:t>
            </w:r>
            <w:r w:rsidRPr="00FA279D">
              <w:rPr>
                <w:rFonts w:eastAsia="Times New Roman"/>
              </w:rPr>
              <w:t>%</w:t>
            </w:r>
          </w:p>
        </w:tc>
      </w:tr>
      <w:tr w:rsidR="00D133DC" w:rsidRPr="00923150" w14:paraId="1A0CCD63" w14:textId="77777777" w:rsidTr="00F104B7">
        <w:trPr>
          <w:trHeight w:val="456"/>
        </w:trPr>
        <w:tc>
          <w:tcPr>
            <w:tcW w:w="5103" w:type="dxa"/>
            <w:tcBorders>
              <w:top w:val="single" w:sz="4" w:space="0" w:color="000000"/>
            </w:tcBorders>
            <w:vAlign w:val="center"/>
          </w:tcPr>
          <w:p w14:paraId="496C4BE8" w14:textId="0A629A84" w:rsidR="00D133DC" w:rsidRPr="00866793" w:rsidRDefault="00D133DC" w:rsidP="000B7E5E">
            <w:pPr>
              <w:spacing w:before="60" w:after="60"/>
              <w:jc w:val="left"/>
              <w:rPr>
                <w:rFonts w:cs="Times New Roman"/>
                <w:szCs w:val="22"/>
              </w:rPr>
            </w:pPr>
            <w:r w:rsidRPr="00866793">
              <w:rPr>
                <w:rFonts w:cs="Times New Roman"/>
                <w:szCs w:val="22"/>
              </w:rPr>
              <w:t xml:space="preserve">Share of HVAC&amp;R </w:t>
            </w:r>
            <w:r>
              <w:rPr>
                <w:rFonts w:cs="Times New Roman"/>
                <w:szCs w:val="22"/>
              </w:rPr>
              <w:t>t</w:t>
            </w:r>
            <w:r w:rsidRPr="00866793">
              <w:rPr>
                <w:rFonts w:cs="Times New Roman"/>
                <w:szCs w:val="22"/>
              </w:rPr>
              <w:t xml:space="preserve">otal </w:t>
            </w:r>
            <w:r>
              <w:rPr>
                <w:rFonts w:cs="Times New Roman"/>
                <w:szCs w:val="22"/>
              </w:rPr>
              <w:t>e</w:t>
            </w:r>
            <w:r w:rsidRPr="00866793">
              <w:rPr>
                <w:rFonts w:cs="Times New Roman"/>
                <w:szCs w:val="22"/>
              </w:rPr>
              <w:t xml:space="preserve">missions </w:t>
            </w:r>
            <w:r>
              <w:rPr>
                <w:rFonts w:cs="Times New Roman"/>
                <w:szCs w:val="22"/>
              </w:rPr>
              <w:t xml:space="preserve">                                                </w:t>
            </w:r>
            <w:r w:rsidRPr="00866793">
              <w:rPr>
                <w:rFonts w:cs="Times New Roman"/>
                <w:szCs w:val="22"/>
              </w:rPr>
              <w:t>(</w:t>
            </w:r>
            <w:r>
              <w:rPr>
                <w:rFonts w:cs="Times New Roman"/>
                <w:szCs w:val="22"/>
              </w:rPr>
              <w:t>d</w:t>
            </w:r>
            <w:r w:rsidRPr="00866793">
              <w:rPr>
                <w:rFonts w:cs="Times New Roman"/>
                <w:szCs w:val="22"/>
              </w:rPr>
              <w:t xml:space="preserve">irect and </w:t>
            </w:r>
            <w:r>
              <w:rPr>
                <w:rFonts w:cs="Times New Roman"/>
                <w:szCs w:val="22"/>
              </w:rPr>
              <w:t>i</w:t>
            </w:r>
            <w:r w:rsidRPr="00866793">
              <w:rPr>
                <w:rFonts w:cs="Times New Roman"/>
                <w:szCs w:val="22"/>
              </w:rPr>
              <w:t>ndirect</w:t>
            </w:r>
            <w:r>
              <w:rPr>
                <w:rFonts w:cs="Times New Roman"/>
                <w:szCs w:val="22"/>
              </w:rPr>
              <w:t xml:space="preserve">, </w:t>
            </w:r>
            <w:r w:rsidRPr="00866793">
              <w:rPr>
                <w:rFonts w:cs="Times New Roman"/>
                <w:szCs w:val="22"/>
              </w:rPr>
              <w:t>not including EOL)</w:t>
            </w:r>
            <w:r w:rsidR="00877C77">
              <w:rPr>
                <w:rFonts w:cs="Times New Roman"/>
                <w:szCs w:val="22"/>
              </w:rPr>
              <w:t>:</w:t>
            </w:r>
          </w:p>
        </w:tc>
        <w:tc>
          <w:tcPr>
            <w:tcW w:w="4536" w:type="dxa"/>
            <w:tcBorders>
              <w:top w:val="single" w:sz="4" w:space="0" w:color="000000"/>
            </w:tcBorders>
            <w:vAlign w:val="center"/>
          </w:tcPr>
          <w:p w14:paraId="5AA8D554" w14:textId="37C9E004" w:rsidR="00D133DC" w:rsidRPr="00866793" w:rsidRDefault="00821A4E" w:rsidP="00821A4E">
            <w:pPr>
              <w:spacing w:before="60" w:after="60"/>
              <w:jc w:val="left"/>
              <w:rPr>
                <w:rFonts w:cs="Times New Roman"/>
                <w:szCs w:val="22"/>
              </w:rPr>
            </w:pPr>
            <w:r>
              <w:rPr>
                <w:rFonts w:cs="Times New Roman"/>
                <w:szCs w:val="22"/>
              </w:rPr>
              <w:t>11</w:t>
            </w:r>
            <w:r w:rsidR="00F104B7">
              <w:rPr>
                <w:rFonts w:cs="Times New Roman"/>
                <w:szCs w:val="22"/>
              </w:rPr>
              <w:t>%</w:t>
            </w:r>
          </w:p>
        </w:tc>
      </w:tr>
    </w:tbl>
    <w:p w14:paraId="12179465" w14:textId="31420BB6" w:rsidR="00A27E31" w:rsidRPr="00116557" w:rsidRDefault="00A27E31" w:rsidP="00A27E31">
      <w:pPr>
        <w:spacing w:before="0"/>
        <w:rPr>
          <w:sz w:val="20"/>
          <w:szCs w:val="20"/>
        </w:rPr>
      </w:pPr>
      <w:r w:rsidRPr="00116557">
        <w:rPr>
          <w:sz w:val="20"/>
          <w:szCs w:val="20"/>
        </w:rPr>
        <w:t>(Sources: DSEWPaC 2013a, DSEWPaC 2013</w:t>
      </w:r>
      <w:r w:rsidR="00F70B91">
        <w:rPr>
          <w:sz w:val="20"/>
          <w:szCs w:val="20"/>
        </w:rPr>
        <w:t>b</w:t>
      </w:r>
      <w:r w:rsidRPr="00116557">
        <w:rPr>
          <w:sz w:val="20"/>
          <w:szCs w:val="20"/>
        </w:rPr>
        <w:t xml:space="preserve">, </w:t>
      </w:r>
      <w:r w:rsidR="00F70B91" w:rsidRPr="00F70B91">
        <w:rPr>
          <w:sz w:val="20"/>
          <w:szCs w:val="20"/>
        </w:rPr>
        <w:t>DSEWPaC 2011, E3 2010b, E3 2010c and E3 2008d</w:t>
      </w:r>
      <w:r w:rsidR="00F70B91">
        <w:rPr>
          <w:sz w:val="20"/>
          <w:szCs w:val="20"/>
        </w:rPr>
        <w:t xml:space="preserve"> </w:t>
      </w:r>
      <w:r w:rsidR="00F70B91" w:rsidRPr="00F70B91">
        <w:rPr>
          <w:sz w:val="20"/>
          <w:szCs w:val="20"/>
        </w:rPr>
        <w:t xml:space="preserve">and </w:t>
      </w:r>
      <w:r w:rsidR="00F70B91">
        <w:rPr>
          <w:sz w:val="20"/>
          <w:szCs w:val="20"/>
        </w:rPr>
        <w:t>i</w:t>
      </w:r>
      <w:r w:rsidRPr="00116557">
        <w:rPr>
          <w:sz w:val="20"/>
          <w:szCs w:val="20"/>
        </w:rPr>
        <w:t>ndustry informants)</w:t>
      </w:r>
    </w:p>
    <w:p w14:paraId="44E953E0" w14:textId="1E015BA7" w:rsidR="007F380B" w:rsidRPr="007F380B" w:rsidRDefault="007F380B" w:rsidP="007F380B">
      <w:pPr>
        <w:rPr>
          <w:szCs w:val="22"/>
        </w:rPr>
      </w:pPr>
    </w:p>
    <w:p w14:paraId="63107BF2" w14:textId="77777777" w:rsidR="00F82605" w:rsidRDefault="00F82605" w:rsidP="00BE3B27">
      <w:pPr>
        <w:rPr>
          <w:szCs w:val="22"/>
        </w:rPr>
      </w:pPr>
    </w:p>
    <w:p w14:paraId="693A4DBD" w14:textId="77777777" w:rsidR="00F82605" w:rsidRDefault="00F82605">
      <w:pPr>
        <w:spacing w:before="0"/>
        <w:jc w:val="left"/>
        <w:rPr>
          <w:rFonts w:ascii="Calibri" w:eastAsia="Times New Roman" w:hAnsi="Calibri" w:cs="Times New Roman"/>
          <w:b/>
          <w:bCs/>
          <w:i/>
          <w:iCs/>
          <w:sz w:val="28"/>
          <w:szCs w:val="28"/>
          <w:lang w:val="en-US"/>
        </w:rPr>
      </w:pPr>
      <w:r>
        <w:br w:type="page"/>
      </w:r>
    </w:p>
    <w:p w14:paraId="28AE59DA" w14:textId="3D6927F4" w:rsidR="00A85138" w:rsidRDefault="003A617E" w:rsidP="007B6646">
      <w:pPr>
        <w:pStyle w:val="Heading2"/>
        <w:ind w:left="567" w:hanging="567"/>
      </w:pPr>
      <w:bookmarkStart w:id="23" w:name="_Toc233084141"/>
      <w:r>
        <w:lastRenderedPageBreak/>
        <w:t>Refrigerated cold food chain</w:t>
      </w:r>
      <w:bookmarkEnd w:id="23"/>
    </w:p>
    <w:p w14:paraId="69407EA4" w14:textId="77777777" w:rsidR="005D210B" w:rsidRDefault="005D210B" w:rsidP="005D210B">
      <w:pPr>
        <w:rPr>
          <w:szCs w:val="22"/>
        </w:rPr>
      </w:pPr>
      <w:r>
        <w:rPr>
          <w:szCs w:val="22"/>
        </w:rPr>
        <w:t xml:space="preserve">More than almost any segment of the RAC industry, the refrigerated cold food chain is essential to the maintenance of our modern way of life. Australia’s reliance on the cold food chain extends to its economic well being as a nation. </w:t>
      </w:r>
    </w:p>
    <w:p w14:paraId="1F5C6079" w14:textId="77777777" w:rsidR="00912691" w:rsidRDefault="005D210B" w:rsidP="005D210B">
      <w:pPr>
        <w:rPr>
          <w:szCs w:val="22"/>
        </w:rPr>
      </w:pPr>
      <w:r>
        <w:rPr>
          <w:szCs w:val="22"/>
        </w:rPr>
        <w:t xml:space="preserve">While total farm gate production of food in Australia were estimated to be worth some $52 billion in 2010-11, more than 60% of that, worth more than $32 billion was exported, contributing to the diets of more than 60 million people around the world. </w:t>
      </w:r>
    </w:p>
    <w:p w14:paraId="2B6C5EFC" w14:textId="1946FA6C" w:rsidR="005D210B" w:rsidRPr="0027449B" w:rsidRDefault="005D210B" w:rsidP="005D210B">
      <w:pPr>
        <w:rPr>
          <w:szCs w:val="22"/>
        </w:rPr>
      </w:pPr>
      <w:r>
        <w:rPr>
          <w:szCs w:val="22"/>
        </w:rPr>
        <w:t>Total production of perishable foods</w:t>
      </w:r>
      <w:r w:rsidR="00912691">
        <w:rPr>
          <w:szCs w:val="22"/>
        </w:rPr>
        <w:t xml:space="preserve"> that require an unbroken chain of refrigeration from the point of production to the point of consumption was worth more than an estimated $28 billion at the farm gate. </w:t>
      </w:r>
      <w:r w:rsidR="00110111">
        <w:rPr>
          <w:szCs w:val="22"/>
        </w:rPr>
        <w:t>Approximately $11</w:t>
      </w:r>
      <w:r w:rsidR="00912691">
        <w:rPr>
          <w:szCs w:val="22"/>
        </w:rPr>
        <w:t xml:space="preserve"> billion was earned from export of perishable foods in 2010-11. At the same time Australian’s dined out on </w:t>
      </w:r>
      <w:r w:rsidR="00110111">
        <w:rPr>
          <w:szCs w:val="22"/>
        </w:rPr>
        <w:t>more than $10</w:t>
      </w:r>
      <w:r w:rsidR="00912691">
        <w:rPr>
          <w:szCs w:val="22"/>
        </w:rPr>
        <w:t xml:space="preserve"> billion worth of food imports in 2010-11, at least half of which was likely to be refrigerated.</w:t>
      </w:r>
    </w:p>
    <w:p w14:paraId="7DF1150C" w14:textId="664796A5" w:rsidR="0027449B" w:rsidRDefault="0010504F" w:rsidP="0027449B">
      <w:pPr>
        <w:rPr>
          <w:szCs w:val="22"/>
        </w:rPr>
      </w:pPr>
      <w:r>
        <w:rPr>
          <w:szCs w:val="22"/>
        </w:rPr>
        <w:t xml:space="preserve">Operation of </w:t>
      </w:r>
      <w:r w:rsidR="00912691">
        <w:rPr>
          <w:szCs w:val="22"/>
        </w:rPr>
        <w:t>the</w:t>
      </w:r>
      <w:r w:rsidR="0027449B" w:rsidRPr="0027449B">
        <w:rPr>
          <w:szCs w:val="22"/>
        </w:rPr>
        <w:t xml:space="preserve"> </w:t>
      </w:r>
      <w:r w:rsidR="00561D00">
        <w:rPr>
          <w:szCs w:val="22"/>
        </w:rPr>
        <w:t>r</w:t>
      </w:r>
      <w:r w:rsidR="0027449B" w:rsidRPr="0027449B">
        <w:rPr>
          <w:szCs w:val="22"/>
        </w:rPr>
        <w:t xml:space="preserve">efrigerated </w:t>
      </w:r>
      <w:r w:rsidR="00561D00">
        <w:rPr>
          <w:szCs w:val="22"/>
        </w:rPr>
        <w:t>c</w:t>
      </w:r>
      <w:r w:rsidR="0027449B" w:rsidRPr="0027449B">
        <w:rPr>
          <w:szCs w:val="22"/>
        </w:rPr>
        <w:t xml:space="preserve">old </w:t>
      </w:r>
      <w:r w:rsidR="00561D00">
        <w:rPr>
          <w:szCs w:val="22"/>
        </w:rPr>
        <w:t>f</w:t>
      </w:r>
      <w:r w:rsidR="0027449B" w:rsidRPr="0027449B">
        <w:rPr>
          <w:szCs w:val="22"/>
        </w:rPr>
        <w:t xml:space="preserve">ood </w:t>
      </w:r>
      <w:r w:rsidR="00561D00">
        <w:rPr>
          <w:szCs w:val="22"/>
        </w:rPr>
        <w:t>c</w:t>
      </w:r>
      <w:r w:rsidR="0027449B" w:rsidRPr="0027449B">
        <w:rPr>
          <w:szCs w:val="22"/>
        </w:rPr>
        <w:t>hain is the original purpose for which the underlying technology was developed. Refrigerating systems for maintaining food stuffs and perishable products have been in constant technological development and innovation for more than 125 years. As such it is no surprise that, while this is not the largest class of equipment</w:t>
      </w:r>
      <w:r w:rsidR="00F440F7">
        <w:rPr>
          <w:szCs w:val="22"/>
        </w:rPr>
        <w:t xml:space="preserve"> employed</w:t>
      </w:r>
      <w:r w:rsidR="0027449B" w:rsidRPr="0027449B">
        <w:rPr>
          <w:szCs w:val="22"/>
        </w:rPr>
        <w:t>, it is characterised by having more variety of formats and mechanical styles for delivery of the cooling services than any of the other classes.</w:t>
      </w:r>
      <w:r w:rsidR="00561D00">
        <w:rPr>
          <w:szCs w:val="22"/>
        </w:rPr>
        <w:t xml:space="preserve"> Part of the reason for this is due to the wide range of application temperatures </w:t>
      </w:r>
      <w:r w:rsidR="00897E0E">
        <w:rPr>
          <w:szCs w:val="22"/>
        </w:rPr>
        <w:t xml:space="preserve">ranging </w:t>
      </w:r>
      <w:r w:rsidR="00561D00">
        <w:rPr>
          <w:szCs w:val="22"/>
        </w:rPr>
        <w:t xml:space="preserve">from water coolers dispensing water at around </w:t>
      </w:r>
      <w:r w:rsidR="00897E0E">
        <w:rPr>
          <w:szCs w:val="22"/>
        </w:rPr>
        <w:t>10</w:t>
      </w:r>
      <w:r w:rsidR="00561D00" w:rsidRPr="00561D00">
        <w:rPr>
          <w:szCs w:val="22"/>
          <w:vertAlign w:val="superscript"/>
        </w:rPr>
        <w:t>o</w:t>
      </w:r>
      <w:r w:rsidR="00561D00">
        <w:rPr>
          <w:szCs w:val="22"/>
        </w:rPr>
        <w:t xml:space="preserve">C to blast freezers operating below </w:t>
      </w:r>
      <w:r>
        <w:rPr>
          <w:szCs w:val="22"/>
        </w:rPr>
        <w:t>-</w:t>
      </w:r>
      <w:r w:rsidR="00561D00">
        <w:rPr>
          <w:szCs w:val="22"/>
        </w:rPr>
        <w:t>35</w:t>
      </w:r>
      <w:r w:rsidR="00561D00" w:rsidRPr="00561D00">
        <w:rPr>
          <w:szCs w:val="22"/>
          <w:vertAlign w:val="superscript"/>
        </w:rPr>
        <w:t>o</w:t>
      </w:r>
      <w:r w:rsidR="00561D00">
        <w:rPr>
          <w:szCs w:val="22"/>
        </w:rPr>
        <w:t xml:space="preserve">C.  </w:t>
      </w:r>
    </w:p>
    <w:p w14:paraId="31721091" w14:textId="14E571FE" w:rsidR="007F380B" w:rsidRDefault="0027449B" w:rsidP="00BE3B27">
      <w:pPr>
        <w:rPr>
          <w:szCs w:val="22"/>
        </w:rPr>
      </w:pPr>
      <w:r w:rsidRPr="0027449B">
        <w:rPr>
          <w:szCs w:val="22"/>
        </w:rPr>
        <w:t xml:space="preserve">The five segments and twenty four product categories that make up this class contained approximately 11 per cent of the bank of working gases in Australia, or around 5,000 tonnes, in more than one million installations and pieces of equipment that consumed an estimated </w:t>
      </w:r>
      <w:r w:rsidR="00713F2C">
        <w:rPr>
          <w:szCs w:val="22"/>
        </w:rPr>
        <w:t>19</w:t>
      </w:r>
      <w:r w:rsidRPr="0027449B">
        <w:rPr>
          <w:szCs w:val="22"/>
        </w:rPr>
        <w:t xml:space="preserve"> per cent (</w:t>
      </w:r>
      <w:r w:rsidR="00713F2C">
        <w:rPr>
          <w:szCs w:val="22"/>
        </w:rPr>
        <w:t>614</w:t>
      </w:r>
      <w:r w:rsidRPr="0027449B">
        <w:rPr>
          <w:szCs w:val="22"/>
        </w:rPr>
        <w:t xml:space="preserve"> tonnes) of all bulk HFCs imported into Australia in 201</w:t>
      </w:r>
      <w:r w:rsidR="00713F2C">
        <w:rPr>
          <w:szCs w:val="22"/>
        </w:rPr>
        <w:t>2</w:t>
      </w:r>
      <w:r w:rsidRPr="0027449B">
        <w:rPr>
          <w:szCs w:val="22"/>
        </w:rPr>
        <w:t xml:space="preserve"> to replace leaked gas.</w:t>
      </w:r>
    </w:p>
    <w:p w14:paraId="7FF255D3" w14:textId="77777777" w:rsidR="007F380B" w:rsidRDefault="007F380B" w:rsidP="00BE3B27">
      <w:pPr>
        <w:rPr>
          <w:szCs w:val="22"/>
        </w:rPr>
      </w:pPr>
    </w:p>
    <w:p w14:paraId="0D7597B1" w14:textId="43B0A6CA" w:rsidR="00F82605" w:rsidRPr="00D16B26" w:rsidRDefault="00F82605" w:rsidP="00F82605">
      <w:pPr>
        <w:rPr>
          <w:i/>
          <w:szCs w:val="22"/>
        </w:rPr>
      </w:pPr>
      <w:bookmarkStart w:id="24" w:name="_Toc233084055"/>
      <w:r w:rsidRPr="00D16B26">
        <w:rPr>
          <w:i/>
          <w:szCs w:val="22"/>
        </w:rPr>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11</w:t>
      </w:r>
      <w:r w:rsidRPr="00D16B26">
        <w:rPr>
          <w:i/>
          <w:szCs w:val="22"/>
        </w:rPr>
        <w:fldChar w:fldCharType="end"/>
      </w:r>
      <w:r w:rsidRPr="00D16B26">
        <w:rPr>
          <w:i/>
          <w:szCs w:val="22"/>
        </w:rPr>
        <w:t xml:space="preserve">: </w:t>
      </w:r>
      <w:r w:rsidR="003A617E">
        <w:rPr>
          <w:i/>
          <w:szCs w:val="22"/>
        </w:rPr>
        <w:t>Refrigerated cold food chain</w:t>
      </w:r>
      <w:r>
        <w:rPr>
          <w:i/>
          <w:szCs w:val="22"/>
        </w:rPr>
        <w:t xml:space="preserve"> </w:t>
      </w:r>
      <w:r w:rsidRPr="00F82605">
        <w:rPr>
          <w:i/>
          <w:szCs w:val="22"/>
        </w:rPr>
        <w:t>taxonomy</w:t>
      </w:r>
      <w:bookmarkEnd w:id="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850"/>
        <w:gridCol w:w="1134"/>
        <w:gridCol w:w="2268"/>
        <w:gridCol w:w="1418"/>
        <w:gridCol w:w="3118"/>
      </w:tblGrid>
      <w:tr w:rsidR="00F82605" w:rsidRPr="00923150" w14:paraId="6FB1BC9A" w14:textId="77777777" w:rsidTr="00230E2E">
        <w:trPr>
          <w:trHeight w:val="684"/>
        </w:trPr>
        <w:tc>
          <w:tcPr>
            <w:tcW w:w="851" w:type="dxa"/>
            <w:tcBorders>
              <w:top w:val="single" w:sz="8" w:space="0" w:color="auto"/>
              <w:left w:val="single" w:sz="8" w:space="0" w:color="auto"/>
              <w:bottom w:val="single" w:sz="4" w:space="0" w:color="000000"/>
              <w:right w:val="single" w:sz="4" w:space="0" w:color="FFFFFF"/>
            </w:tcBorders>
            <w:shd w:val="clear" w:color="auto" w:fill="000000"/>
            <w:vAlign w:val="center"/>
          </w:tcPr>
          <w:p w14:paraId="7349251C" w14:textId="77777777" w:rsidR="00F82605" w:rsidRPr="00923150" w:rsidRDefault="00F82605" w:rsidP="00F82605">
            <w:pPr>
              <w:spacing w:after="120"/>
            </w:pPr>
            <w:r>
              <w:t>Item</w:t>
            </w:r>
          </w:p>
        </w:tc>
        <w:tc>
          <w:tcPr>
            <w:tcW w:w="850" w:type="dxa"/>
            <w:tcBorders>
              <w:top w:val="single" w:sz="8" w:space="0" w:color="auto"/>
              <w:left w:val="single" w:sz="4" w:space="0" w:color="FFFFFF"/>
              <w:bottom w:val="single" w:sz="4" w:space="0" w:color="000000"/>
              <w:right w:val="single" w:sz="4" w:space="0" w:color="FFFFFF"/>
            </w:tcBorders>
            <w:shd w:val="clear" w:color="auto" w:fill="000000"/>
            <w:vAlign w:val="center"/>
          </w:tcPr>
          <w:p w14:paraId="58218BC5" w14:textId="77777777" w:rsidR="00F82605" w:rsidRDefault="00F82605" w:rsidP="00F82605">
            <w:pPr>
              <w:spacing w:after="120"/>
              <w:jc w:val="center"/>
            </w:pPr>
            <w:r>
              <w:t>Major class</w:t>
            </w:r>
          </w:p>
        </w:tc>
        <w:tc>
          <w:tcPr>
            <w:tcW w:w="3402" w:type="dxa"/>
            <w:gridSpan w:val="2"/>
            <w:tcBorders>
              <w:top w:val="single" w:sz="8" w:space="0" w:color="auto"/>
              <w:left w:val="single" w:sz="4" w:space="0" w:color="FFFFFF"/>
              <w:bottom w:val="single" w:sz="4" w:space="0" w:color="000000"/>
              <w:right w:val="single" w:sz="4" w:space="0" w:color="FFFFFF"/>
            </w:tcBorders>
            <w:shd w:val="clear" w:color="auto" w:fill="000000"/>
            <w:vAlign w:val="center"/>
          </w:tcPr>
          <w:p w14:paraId="19FBF44A" w14:textId="77777777" w:rsidR="00F82605" w:rsidRDefault="00F82605" w:rsidP="00F82605">
            <w:pPr>
              <w:spacing w:after="120"/>
              <w:jc w:val="center"/>
            </w:pPr>
            <w:r>
              <w:t>Segments (application/product)</w:t>
            </w:r>
          </w:p>
        </w:tc>
        <w:tc>
          <w:tcPr>
            <w:tcW w:w="4536" w:type="dxa"/>
            <w:gridSpan w:val="2"/>
            <w:tcBorders>
              <w:top w:val="single" w:sz="8" w:space="0" w:color="auto"/>
              <w:left w:val="single" w:sz="4" w:space="0" w:color="FFFFFF"/>
              <w:bottom w:val="single" w:sz="4" w:space="0" w:color="000000"/>
              <w:right w:val="single" w:sz="8" w:space="0" w:color="auto"/>
            </w:tcBorders>
            <w:shd w:val="clear" w:color="auto" w:fill="000000"/>
            <w:vAlign w:val="center"/>
          </w:tcPr>
          <w:p w14:paraId="71D767B0" w14:textId="77777777" w:rsidR="00F82605" w:rsidRPr="00923150" w:rsidRDefault="00F82605" w:rsidP="00F82605">
            <w:pPr>
              <w:spacing w:after="120"/>
              <w:jc w:val="center"/>
            </w:pPr>
            <w:r>
              <w:t>Product/equipment categories</w:t>
            </w:r>
          </w:p>
        </w:tc>
      </w:tr>
      <w:tr w:rsidR="00F82605" w:rsidRPr="00923150" w14:paraId="085EB9B7" w14:textId="77777777" w:rsidTr="00F82605">
        <w:trPr>
          <w:trHeight w:val="456"/>
        </w:trPr>
        <w:tc>
          <w:tcPr>
            <w:tcW w:w="9639" w:type="dxa"/>
            <w:gridSpan w:val="6"/>
            <w:tcBorders>
              <w:top w:val="single" w:sz="4" w:space="0" w:color="000000"/>
            </w:tcBorders>
            <w:shd w:val="clear" w:color="auto" w:fill="CCFFFF"/>
            <w:vAlign w:val="center"/>
          </w:tcPr>
          <w:p w14:paraId="3D1276A7" w14:textId="77777777" w:rsidR="00F82605" w:rsidRPr="00923150" w:rsidRDefault="00F82605" w:rsidP="00F82605">
            <w:pPr>
              <w:spacing w:before="60" w:after="60"/>
              <w:jc w:val="center"/>
              <w:rPr>
                <w:sz w:val="20"/>
              </w:rPr>
            </w:pPr>
            <w:r>
              <w:rPr>
                <w:sz w:val="20"/>
              </w:rPr>
              <w:t>REFRIGERATED COLD FOOD CHAIN</w:t>
            </w:r>
          </w:p>
        </w:tc>
      </w:tr>
      <w:tr w:rsidR="00F82605" w:rsidRPr="00923150" w14:paraId="0685F604" w14:textId="77777777" w:rsidTr="00F82605">
        <w:trPr>
          <w:trHeight w:val="456"/>
        </w:trPr>
        <w:tc>
          <w:tcPr>
            <w:tcW w:w="851" w:type="dxa"/>
          </w:tcPr>
          <w:p w14:paraId="35075B2D" w14:textId="77777777" w:rsidR="00F82605" w:rsidRDefault="00F82605" w:rsidP="00F82605">
            <w:pPr>
              <w:spacing w:before="60" w:after="60"/>
              <w:ind w:left="284" w:hanging="284"/>
              <w:jc w:val="center"/>
              <w:rPr>
                <w:sz w:val="20"/>
              </w:rPr>
            </w:pPr>
            <w:r w:rsidRPr="00B06CA9">
              <w:t>29</w:t>
            </w:r>
          </w:p>
        </w:tc>
        <w:tc>
          <w:tcPr>
            <w:tcW w:w="850" w:type="dxa"/>
            <w:vMerge w:val="restart"/>
            <w:textDirection w:val="btLr"/>
          </w:tcPr>
          <w:p w14:paraId="7641A1F0" w14:textId="77777777" w:rsidR="00F82605" w:rsidRDefault="00F82605" w:rsidP="00F82605">
            <w:pPr>
              <w:spacing w:before="60" w:after="60"/>
              <w:ind w:left="113" w:right="113"/>
              <w:jc w:val="center"/>
              <w:rPr>
                <w:sz w:val="20"/>
              </w:rPr>
            </w:pPr>
            <w:r w:rsidRPr="00B06CA9">
              <w:t>Refrigerated cold food chain</w:t>
            </w:r>
            <w:r>
              <w:t xml:space="preserve"> (RCFC)</w:t>
            </w:r>
            <w:r w:rsidRPr="00B06CA9">
              <w:t xml:space="preserve"> </w:t>
            </w:r>
          </w:p>
          <w:p w14:paraId="4EEE7729" w14:textId="77777777" w:rsidR="00F82605" w:rsidRDefault="00F82605" w:rsidP="00F82605">
            <w:pPr>
              <w:spacing w:before="60" w:after="60"/>
              <w:ind w:left="113" w:right="113"/>
              <w:jc w:val="center"/>
              <w:rPr>
                <w:sz w:val="20"/>
              </w:rPr>
            </w:pPr>
            <w:r w:rsidRPr="00B06CA9">
              <w:t xml:space="preserve"> </w:t>
            </w:r>
          </w:p>
          <w:p w14:paraId="2D5E4D37" w14:textId="77777777" w:rsidR="00F82605" w:rsidRDefault="00F82605" w:rsidP="00F82605">
            <w:pPr>
              <w:spacing w:before="60" w:after="60"/>
              <w:ind w:left="113" w:right="113"/>
              <w:jc w:val="center"/>
              <w:rPr>
                <w:sz w:val="20"/>
              </w:rPr>
            </w:pPr>
            <w:r w:rsidRPr="00B06CA9">
              <w:t xml:space="preserve"> </w:t>
            </w:r>
          </w:p>
          <w:p w14:paraId="15C51159" w14:textId="77777777" w:rsidR="00F82605" w:rsidRDefault="00F82605" w:rsidP="00F82605">
            <w:pPr>
              <w:spacing w:before="60" w:after="60"/>
              <w:ind w:left="113" w:right="113"/>
              <w:jc w:val="center"/>
              <w:rPr>
                <w:sz w:val="20"/>
              </w:rPr>
            </w:pPr>
            <w:r w:rsidRPr="00B06CA9">
              <w:t xml:space="preserve"> </w:t>
            </w:r>
          </w:p>
          <w:p w14:paraId="4437390E" w14:textId="77777777" w:rsidR="00F82605" w:rsidRDefault="00F82605" w:rsidP="00F82605">
            <w:pPr>
              <w:spacing w:before="60" w:after="60"/>
              <w:ind w:left="113" w:right="113"/>
              <w:jc w:val="center"/>
              <w:rPr>
                <w:sz w:val="20"/>
              </w:rPr>
            </w:pPr>
            <w:r w:rsidRPr="00B06CA9">
              <w:t xml:space="preserve"> </w:t>
            </w:r>
          </w:p>
          <w:p w14:paraId="1594B0FF" w14:textId="77777777" w:rsidR="00F82605" w:rsidRDefault="00F82605" w:rsidP="00F82605">
            <w:pPr>
              <w:spacing w:before="60" w:after="60"/>
              <w:ind w:left="113" w:right="113"/>
              <w:jc w:val="center"/>
              <w:rPr>
                <w:sz w:val="20"/>
              </w:rPr>
            </w:pPr>
            <w:r w:rsidRPr="00B06CA9">
              <w:t xml:space="preserve"> </w:t>
            </w:r>
          </w:p>
          <w:p w14:paraId="0456D120" w14:textId="77777777" w:rsidR="00F82605" w:rsidRDefault="00F82605" w:rsidP="00F82605">
            <w:pPr>
              <w:spacing w:before="60" w:after="60"/>
              <w:ind w:left="113" w:right="113"/>
              <w:jc w:val="center"/>
              <w:rPr>
                <w:sz w:val="20"/>
              </w:rPr>
            </w:pPr>
            <w:r w:rsidRPr="00B06CA9">
              <w:t xml:space="preserve"> </w:t>
            </w:r>
          </w:p>
          <w:p w14:paraId="11A16BBB" w14:textId="77777777" w:rsidR="00F82605" w:rsidRDefault="00F82605" w:rsidP="00F82605">
            <w:pPr>
              <w:spacing w:before="60" w:after="60"/>
              <w:ind w:left="113" w:right="113"/>
              <w:jc w:val="center"/>
              <w:rPr>
                <w:sz w:val="20"/>
              </w:rPr>
            </w:pPr>
            <w:r w:rsidRPr="00B06CA9">
              <w:t xml:space="preserve"> </w:t>
            </w:r>
          </w:p>
          <w:p w14:paraId="78AE93C3" w14:textId="77777777" w:rsidR="00F82605" w:rsidRDefault="00F82605" w:rsidP="00F82605">
            <w:pPr>
              <w:spacing w:before="60" w:after="60"/>
              <w:ind w:left="113" w:right="113"/>
              <w:jc w:val="center"/>
              <w:rPr>
                <w:sz w:val="20"/>
              </w:rPr>
            </w:pPr>
            <w:r w:rsidRPr="00B06CA9">
              <w:t xml:space="preserve"> </w:t>
            </w:r>
          </w:p>
        </w:tc>
        <w:tc>
          <w:tcPr>
            <w:tcW w:w="1134" w:type="dxa"/>
          </w:tcPr>
          <w:p w14:paraId="5C678DD5" w14:textId="77777777" w:rsidR="00F82605" w:rsidRDefault="00F82605" w:rsidP="00F82605">
            <w:pPr>
              <w:spacing w:before="60" w:after="60"/>
              <w:jc w:val="center"/>
              <w:rPr>
                <w:sz w:val="20"/>
              </w:rPr>
            </w:pPr>
            <w:r w:rsidRPr="00B06CA9">
              <w:t>RCFC1</w:t>
            </w:r>
          </w:p>
        </w:tc>
        <w:tc>
          <w:tcPr>
            <w:tcW w:w="2268" w:type="dxa"/>
          </w:tcPr>
          <w:p w14:paraId="0BB91719" w14:textId="77777777" w:rsidR="00F82605" w:rsidRDefault="00F82605" w:rsidP="00F82605">
            <w:pPr>
              <w:spacing w:before="60" w:after="60"/>
              <w:jc w:val="left"/>
              <w:rPr>
                <w:sz w:val="20"/>
              </w:rPr>
            </w:pPr>
            <w:r w:rsidRPr="00B06CA9">
              <w:t>Unitary equipment</w:t>
            </w:r>
          </w:p>
        </w:tc>
        <w:tc>
          <w:tcPr>
            <w:tcW w:w="1418" w:type="dxa"/>
          </w:tcPr>
          <w:p w14:paraId="56B7D114" w14:textId="77777777" w:rsidR="00F82605" w:rsidRDefault="00F82605" w:rsidP="00F82605">
            <w:pPr>
              <w:spacing w:before="60" w:after="60"/>
              <w:jc w:val="center"/>
              <w:rPr>
                <w:sz w:val="20"/>
              </w:rPr>
            </w:pPr>
            <w:r w:rsidRPr="00B06CA9">
              <w:t>RCFC1-1</w:t>
            </w:r>
          </w:p>
        </w:tc>
        <w:tc>
          <w:tcPr>
            <w:tcW w:w="3118" w:type="dxa"/>
          </w:tcPr>
          <w:p w14:paraId="64DCD28A" w14:textId="77777777" w:rsidR="00F82605" w:rsidRDefault="00F82605" w:rsidP="00F82605">
            <w:pPr>
              <w:spacing w:before="60" w:after="60"/>
              <w:jc w:val="left"/>
              <w:rPr>
                <w:sz w:val="20"/>
              </w:rPr>
            </w:pPr>
            <w:r w:rsidRPr="00B06CA9">
              <w:t>Refrigeration cabinets</w:t>
            </w:r>
          </w:p>
        </w:tc>
      </w:tr>
      <w:tr w:rsidR="00F82605" w:rsidRPr="00923150" w14:paraId="063CDFF1" w14:textId="77777777" w:rsidTr="00F82605">
        <w:trPr>
          <w:trHeight w:val="456"/>
        </w:trPr>
        <w:tc>
          <w:tcPr>
            <w:tcW w:w="851" w:type="dxa"/>
          </w:tcPr>
          <w:p w14:paraId="5C3BB0EC" w14:textId="77777777" w:rsidR="00F82605" w:rsidRDefault="00F82605" w:rsidP="00F82605">
            <w:pPr>
              <w:spacing w:before="60" w:after="60"/>
              <w:ind w:left="284" w:hanging="284"/>
              <w:jc w:val="center"/>
              <w:rPr>
                <w:sz w:val="20"/>
              </w:rPr>
            </w:pPr>
            <w:r w:rsidRPr="00B06CA9">
              <w:t>30</w:t>
            </w:r>
          </w:p>
        </w:tc>
        <w:tc>
          <w:tcPr>
            <w:tcW w:w="850" w:type="dxa"/>
            <w:vMerge/>
          </w:tcPr>
          <w:p w14:paraId="78FF33C9" w14:textId="77777777" w:rsidR="00F82605" w:rsidRDefault="00F82605" w:rsidP="00F82605">
            <w:pPr>
              <w:spacing w:before="60" w:after="60"/>
              <w:jc w:val="center"/>
              <w:rPr>
                <w:sz w:val="20"/>
              </w:rPr>
            </w:pPr>
          </w:p>
        </w:tc>
        <w:tc>
          <w:tcPr>
            <w:tcW w:w="1134" w:type="dxa"/>
          </w:tcPr>
          <w:p w14:paraId="71728EFE" w14:textId="77777777" w:rsidR="00F82605" w:rsidRDefault="00F82605" w:rsidP="00F82605">
            <w:pPr>
              <w:spacing w:before="60" w:after="60"/>
              <w:jc w:val="center"/>
              <w:rPr>
                <w:sz w:val="20"/>
              </w:rPr>
            </w:pPr>
            <w:r w:rsidRPr="00B06CA9">
              <w:t>RCFC1</w:t>
            </w:r>
          </w:p>
        </w:tc>
        <w:tc>
          <w:tcPr>
            <w:tcW w:w="2268" w:type="dxa"/>
          </w:tcPr>
          <w:p w14:paraId="52E4928B" w14:textId="77777777" w:rsidR="00F82605" w:rsidRDefault="00F82605" w:rsidP="00F82605">
            <w:pPr>
              <w:spacing w:before="60" w:after="60"/>
              <w:jc w:val="left"/>
              <w:rPr>
                <w:sz w:val="20"/>
              </w:rPr>
            </w:pPr>
            <w:r w:rsidRPr="00B06CA9">
              <w:t>Unitary equipment</w:t>
            </w:r>
          </w:p>
        </w:tc>
        <w:tc>
          <w:tcPr>
            <w:tcW w:w="1418" w:type="dxa"/>
          </w:tcPr>
          <w:p w14:paraId="25D6CA78" w14:textId="77777777" w:rsidR="00F82605" w:rsidRDefault="00F82605" w:rsidP="00F82605">
            <w:pPr>
              <w:spacing w:before="60" w:after="60"/>
              <w:jc w:val="center"/>
              <w:rPr>
                <w:sz w:val="20"/>
              </w:rPr>
            </w:pPr>
            <w:r w:rsidRPr="00B06CA9">
              <w:t>RCFC1-2</w:t>
            </w:r>
          </w:p>
        </w:tc>
        <w:tc>
          <w:tcPr>
            <w:tcW w:w="3118" w:type="dxa"/>
          </w:tcPr>
          <w:p w14:paraId="3C222D9E" w14:textId="77777777" w:rsidR="00F82605" w:rsidRDefault="00F82605" w:rsidP="00F82605">
            <w:pPr>
              <w:spacing w:before="60" w:after="60"/>
              <w:jc w:val="left"/>
              <w:rPr>
                <w:sz w:val="20"/>
              </w:rPr>
            </w:pPr>
            <w:r w:rsidRPr="00B06CA9">
              <w:t>Refrigeration beverage vending machines</w:t>
            </w:r>
          </w:p>
        </w:tc>
      </w:tr>
      <w:tr w:rsidR="00F82605" w:rsidRPr="00923150" w14:paraId="5D687175" w14:textId="77777777" w:rsidTr="00F82605">
        <w:trPr>
          <w:trHeight w:val="456"/>
        </w:trPr>
        <w:tc>
          <w:tcPr>
            <w:tcW w:w="851" w:type="dxa"/>
          </w:tcPr>
          <w:p w14:paraId="6867D659" w14:textId="77777777" w:rsidR="00F82605" w:rsidRDefault="00F82605" w:rsidP="00F82605">
            <w:pPr>
              <w:spacing w:before="60" w:after="60"/>
              <w:ind w:left="284" w:hanging="284"/>
              <w:jc w:val="center"/>
              <w:rPr>
                <w:sz w:val="20"/>
              </w:rPr>
            </w:pPr>
            <w:r w:rsidRPr="00B06CA9">
              <w:t>31</w:t>
            </w:r>
          </w:p>
        </w:tc>
        <w:tc>
          <w:tcPr>
            <w:tcW w:w="850" w:type="dxa"/>
            <w:vMerge/>
          </w:tcPr>
          <w:p w14:paraId="7296FE34" w14:textId="77777777" w:rsidR="00F82605" w:rsidRDefault="00F82605" w:rsidP="00F82605">
            <w:pPr>
              <w:spacing w:before="60" w:after="60"/>
              <w:jc w:val="center"/>
              <w:rPr>
                <w:sz w:val="20"/>
              </w:rPr>
            </w:pPr>
          </w:p>
        </w:tc>
        <w:tc>
          <w:tcPr>
            <w:tcW w:w="1134" w:type="dxa"/>
          </w:tcPr>
          <w:p w14:paraId="25A303FB" w14:textId="77777777" w:rsidR="00F82605" w:rsidRDefault="00F82605" w:rsidP="00F82605">
            <w:pPr>
              <w:spacing w:before="60" w:after="60"/>
              <w:jc w:val="center"/>
              <w:rPr>
                <w:sz w:val="20"/>
              </w:rPr>
            </w:pPr>
            <w:r w:rsidRPr="00B06CA9">
              <w:t>RCFC1</w:t>
            </w:r>
          </w:p>
        </w:tc>
        <w:tc>
          <w:tcPr>
            <w:tcW w:w="2268" w:type="dxa"/>
          </w:tcPr>
          <w:p w14:paraId="79DC8E05" w14:textId="77777777" w:rsidR="00F82605" w:rsidRDefault="00F82605" w:rsidP="00F82605">
            <w:pPr>
              <w:spacing w:before="60" w:after="60"/>
              <w:jc w:val="left"/>
              <w:rPr>
                <w:sz w:val="20"/>
              </w:rPr>
            </w:pPr>
            <w:r w:rsidRPr="00B06CA9">
              <w:t>Unitary equipment</w:t>
            </w:r>
          </w:p>
        </w:tc>
        <w:tc>
          <w:tcPr>
            <w:tcW w:w="1418" w:type="dxa"/>
          </w:tcPr>
          <w:p w14:paraId="1D414DDB" w14:textId="77777777" w:rsidR="00F82605" w:rsidRDefault="00F82605" w:rsidP="00F82605">
            <w:pPr>
              <w:spacing w:before="60" w:after="60"/>
              <w:jc w:val="center"/>
              <w:rPr>
                <w:sz w:val="20"/>
              </w:rPr>
            </w:pPr>
            <w:r w:rsidRPr="00B06CA9">
              <w:t>RCFC1-3</w:t>
            </w:r>
          </w:p>
        </w:tc>
        <w:tc>
          <w:tcPr>
            <w:tcW w:w="3118" w:type="dxa"/>
          </w:tcPr>
          <w:p w14:paraId="6D547DBB" w14:textId="77777777" w:rsidR="00F82605" w:rsidRDefault="00F82605" w:rsidP="00F82605">
            <w:pPr>
              <w:spacing w:before="60" w:after="60"/>
              <w:jc w:val="left"/>
              <w:rPr>
                <w:sz w:val="20"/>
              </w:rPr>
            </w:pPr>
            <w:r w:rsidRPr="00B06CA9">
              <w:t>Ice makers</w:t>
            </w:r>
          </w:p>
        </w:tc>
      </w:tr>
      <w:tr w:rsidR="00F82605" w:rsidRPr="00923150" w14:paraId="775F6912" w14:textId="77777777" w:rsidTr="00F82605">
        <w:trPr>
          <w:trHeight w:val="456"/>
        </w:trPr>
        <w:tc>
          <w:tcPr>
            <w:tcW w:w="851" w:type="dxa"/>
          </w:tcPr>
          <w:p w14:paraId="0AD57F88" w14:textId="77777777" w:rsidR="00F82605" w:rsidRDefault="00F82605" w:rsidP="00F82605">
            <w:pPr>
              <w:spacing w:before="60" w:after="60"/>
              <w:ind w:left="284" w:hanging="284"/>
              <w:jc w:val="center"/>
              <w:rPr>
                <w:sz w:val="20"/>
              </w:rPr>
            </w:pPr>
            <w:r w:rsidRPr="00B06CA9">
              <w:t>32</w:t>
            </w:r>
          </w:p>
        </w:tc>
        <w:tc>
          <w:tcPr>
            <w:tcW w:w="850" w:type="dxa"/>
            <w:vMerge/>
          </w:tcPr>
          <w:p w14:paraId="3B8A38B5" w14:textId="77777777" w:rsidR="00F82605" w:rsidRDefault="00F82605" w:rsidP="00F82605">
            <w:pPr>
              <w:spacing w:before="60" w:after="60"/>
              <w:jc w:val="center"/>
              <w:rPr>
                <w:sz w:val="20"/>
              </w:rPr>
            </w:pPr>
          </w:p>
        </w:tc>
        <w:tc>
          <w:tcPr>
            <w:tcW w:w="1134" w:type="dxa"/>
          </w:tcPr>
          <w:p w14:paraId="40AE495A" w14:textId="77777777" w:rsidR="00F82605" w:rsidRDefault="00F82605" w:rsidP="00F82605">
            <w:pPr>
              <w:spacing w:before="60" w:after="60"/>
              <w:jc w:val="center"/>
              <w:rPr>
                <w:sz w:val="20"/>
              </w:rPr>
            </w:pPr>
            <w:r w:rsidRPr="00B06CA9">
              <w:t>RCFC1</w:t>
            </w:r>
          </w:p>
        </w:tc>
        <w:tc>
          <w:tcPr>
            <w:tcW w:w="2268" w:type="dxa"/>
          </w:tcPr>
          <w:p w14:paraId="7940D41D" w14:textId="77777777" w:rsidR="00F82605" w:rsidRDefault="00F82605" w:rsidP="00F82605">
            <w:pPr>
              <w:spacing w:before="60" w:after="60"/>
              <w:jc w:val="left"/>
              <w:rPr>
                <w:sz w:val="20"/>
              </w:rPr>
            </w:pPr>
            <w:r w:rsidRPr="00B06CA9">
              <w:t>Unitary equipment</w:t>
            </w:r>
          </w:p>
        </w:tc>
        <w:tc>
          <w:tcPr>
            <w:tcW w:w="1418" w:type="dxa"/>
          </w:tcPr>
          <w:p w14:paraId="4716553F" w14:textId="77777777" w:rsidR="00F82605" w:rsidRDefault="00F82605" w:rsidP="00F82605">
            <w:pPr>
              <w:spacing w:before="60" w:after="60"/>
              <w:jc w:val="center"/>
              <w:rPr>
                <w:sz w:val="20"/>
              </w:rPr>
            </w:pPr>
            <w:r w:rsidRPr="00B06CA9">
              <w:t>RCFC1-4</w:t>
            </w:r>
          </w:p>
        </w:tc>
        <w:tc>
          <w:tcPr>
            <w:tcW w:w="3118" w:type="dxa"/>
          </w:tcPr>
          <w:p w14:paraId="3ED11D57" w14:textId="77777777" w:rsidR="00F82605" w:rsidRDefault="00F82605" w:rsidP="00F82605">
            <w:pPr>
              <w:spacing w:before="60" w:after="60"/>
              <w:jc w:val="left"/>
              <w:rPr>
                <w:sz w:val="20"/>
              </w:rPr>
            </w:pPr>
            <w:r w:rsidRPr="00B06CA9">
              <w:t>Walk-in coolrooms: small</w:t>
            </w:r>
          </w:p>
        </w:tc>
      </w:tr>
      <w:tr w:rsidR="00F82605" w:rsidRPr="00923150" w14:paraId="28E01E20" w14:textId="77777777" w:rsidTr="00F82605">
        <w:trPr>
          <w:trHeight w:val="456"/>
        </w:trPr>
        <w:tc>
          <w:tcPr>
            <w:tcW w:w="851" w:type="dxa"/>
          </w:tcPr>
          <w:p w14:paraId="224EC8E8" w14:textId="77777777" w:rsidR="00F82605" w:rsidRDefault="00F82605" w:rsidP="00F82605">
            <w:pPr>
              <w:spacing w:before="60" w:after="60"/>
              <w:ind w:left="284" w:hanging="284"/>
              <w:jc w:val="center"/>
              <w:rPr>
                <w:sz w:val="20"/>
              </w:rPr>
            </w:pPr>
            <w:r w:rsidRPr="00B06CA9">
              <w:t>33</w:t>
            </w:r>
          </w:p>
        </w:tc>
        <w:tc>
          <w:tcPr>
            <w:tcW w:w="850" w:type="dxa"/>
            <w:vMerge/>
          </w:tcPr>
          <w:p w14:paraId="437E3F60" w14:textId="77777777" w:rsidR="00F82605" w:rsidRDefault="00F82605" w:rsidP="00F82605">
            <w:pPr>
              <w:spacing w:before="60" w:after="60"/>
              <w:jc w:val="center"/>
              <w:rPr>
                <w:sz w:val="20"/>
              </w:rPr>
            </w:pPr>
          </w:p>
        </w:tc>
        <w:tc>
          <w:tcPr>
            <w:tcW w:w="1134" w:type="dxa"/>
          </w:tcPr>
          <w:p w14:paraId="5D523092" w14:textId="77777777" w:rsidR="00F82605" w:rsidRDefault="00F82605" w:rsidP="00F82605">
            <w:pPr>
              <w:spacing w:before="60" w:after="60"/>
              <w:jc w:val="center"/>
              <w:rPr>
                <w:sz w:val="20"/>
              </w:rPr>
            </w:pPr>
            <w:r w:rsidRPr="00B06CA9">
              <w:t>RCFC1</w:t>
            </w:r>
          </w:p>
        </w:tc>
        <w:tc>
          <w:tcPr>
            <w:tcW w:w="2268" w:type="dxa"/>
          </w:tcPr>
          <w:p w14:paraId="351E440E" w14:textId="77777777" w:rsidR="00F82605" w:rsidRDefault="00F82605" w:rsidP="00F82605">
            <w:pPr>
              <w:spacing w:before="60" w:after="60"/>
              <w:jc w:val="left"/>
              <w:rPr>
                <w:sz w:val="20"/>
              </w:rPr>
            </w:pPr>
            <w:r w:rsidRPr="00B06CA9">
              <w:t>Unitary equipment</w:t>
            </w:r>
          </w:p>
        </w:tc>
        <w:tc>
          <w:tcPr>
            <w:tcW w:w="1418" w:type="dxa"/>
          </w:tcPr>
          <w:p w14:paraId="65259FF4" w14:textId="77777777" w:rsidR="00F82605" w:rsidRDefault="00F82605" w:rsidP="00F82605">
            <w:pPr>
              <w:spacing w:before="60" w:after="60"/>
              <w:jc w:val="center"/>
              <w:rPr>
                <w:sz w:val="20"/>
              </w:rPr>
            </w:pPr>
            <w:r w:rsidRPr="00B06CA9">
              <w:t>RCFC1-5</w:t>
            </w:r>
          </w:p>
        </w:tc>
        <w:tc>
          <w:tcPr>
            <w:tcW w:w="3118" w:type="dxa"/>
          </w:tcPr>
          <w:p w14:paraId="6F764FCB" w14:textId="77777777" w:rsidR="00F82605" w:rsidRDefault="00F82605" w:rsidP="00F82605">
            <w:pPr>
              <w:spacing w:before="60" w:after="60"/>
              <w:jc w:val="left"/>
              <w:rPr>
                <w:sz w:val="20"/>
              </w:rPr>
            </w:pPr>
            <w:r w:rsidRPr="00B06CA9">
              <w:t>Walk-in coolrooms: medium</w:t>
            </w:r>
          </w:p>
        </w:tc>
      </w:tr>
      <w:tr w:rsidR="00F82605" w:rsidRPr="00923150" w14:paraId="7A46175A" w14:textId="77777777" w:rsidTr="00F82605">
        <w:trPr>
          <w:trHeight w:val="456"/>
        </w:trPr>
        <w:tc>
          <w:tcPr>
            <w:tcW w:w="851" w:type="dxa"/>
          </w:tcPr>
          <w:p w14:paraId="38F0835F" w14:textId="77777777" w:rsidR="00F82605" w:rsidRDefault="00F82605" w:rsidP="00F82605">
            <w:pPr>
              <w:spacing w:before="60" w:after="60"/>
              <w:ind w:left="284" w:hanging="284"/>
              <w:jc w:val="center"/>
              <w:rPr>
                <w:sz w:val="20"/>
              </w:rPr>
            </w:pPr>
            <w:r w:rsidRPr="00B06CA9">
              <w:t>34</w:t>
            </w:r>
          </w:p>
        </w:tc>
        <w:tc>
          <w:tcPr>
            <w:tcW w:w="850" w:type="dxa"/>
            <w:vMerge/>
          </w:tcPr>
          <w:p w14:paraId="7DECB3DE" w14:textId="77777777" w:rsidR="00F82605" w:rsidRDefault="00F82605" w:rsidP="00F82605">
            <w:pPr>
              <w:spacing w:before="60" w:after="60"/>
              <w:jc w:val="center"/>
              <w:rPr>
                <w:sz w:val="20"/>
              </w:rPr>
            </w:pPr>
          </w:p>
        </w:tc>
        <w:tc>
          <w:tcPr>
            <w:tcW w:w="1134" w:type="dxa"/>
          </w:tcPr>
          <w:p w14:paraId="7CBD3C1D" w14:textId="77777777" w:rsidR="00F82605" w:rsidRDefault="00F82605" w:rsidP="00F82605">
            <w:pPr>
              <w:spacing w:before="60" w:after="60"/>
              <w:jc w:val="center"/>
              <w:rPr>
                <w:sz w:val="20"/>
              </w:rPr>
            </w:pPr>
            <w:r w:rsidRPr="00B06CA9">
              <w:t>RCFC1</w:t>
            </w:r>
          </w:p>
        </w:tc>
        <w:tc>
          <w:tcPr>
            <w:tcW w:w="2268" w:type="dxa"/>
          </w:tcPr>
          <w:p w14:paraId="02B8171B" w14:textId="77777777" w:rsidR="00F82605" w:rsidRDefault="00F82605" w:rsidP="00F82605">
            <w:pPr>
              <w:spacing w:before="60" w:after="60"/>
              <w:jc w:val="left"/>
              <w:rPr>
                <w:sz w:val="20"/>
              </w:rPr>
            </w:pPr>
            <w:r w:rsidRPr="00B06CA9">
              <w:t>Unitary equipment</w:t>
            </w:r>
          </w:p>
        </w:tc>
        <w:tc>
          <w:tcPr>
            <w:tcW w:w="1418" w:type="dxa"/>
          </w:tcPr>
          <w:p w14:paraId="6B5B0FF1" w14:textId="77777777" w:rsidR="00F82605" w:rsidRDefault="00F82605" w:rsidP="00F82605">
            <w:pPr>
              <w:spacing w:before="60" w:after="60"/>
              <w:jc w:val="center"/>
              <w:rPr>
                <w:sz w:val="20"/>
              </w:rPr>
            </w:pPr>
            <w:r w:rsidRPr="00B06CA9">
              <w:t>RCFC1-6</w:t>
            </w:r>
          </w:p>
        </w:tc>
        <w:tc>
          <w:tcPr>
            <w:tcW w:w="3118" w:type="dxa"/>
          </w:tcPr>
          <w:p w14:paraId="1F7F860B" w14:textId="77777777" w:rsidR="00F82605" w:rsidRDefault="00F82605" w:rsidP="00F82605">
            <w:pPr>
              <w:spacing w:before="60" w:after="60"/>
              <w:jc w:val="left"/>
              <w:rPr>
                <w:sz w:val="20"/>
              </w:rPr>
            </w:pPr>
            <w:r w:rsidRPr="00B06CA9">
              <w:t>Walk-in coolrooms: large</w:t>
            </w:r>
          </w:p>
        </w:tc>
      </w:tr>
      <w:tr w:rsidR="00F82605" w:rsidRPr="00923150" w14:paraId="387565DD" w14:textId="77777777" w:rsidTr="00F82605">
        <w:trPr>
          <w:trHeight w:val="456"/>
        </w:trPr>
        <w:tc>
          <w:tcPr>
            <w:tcW w:w="851" w:type="dxa"/>
          </w:tcPr>
          <w:p w14:paraId="6DFAE336" w14:textId="77777777" w:rsidR="00F82605" w:rsidRDefault="00F82605" w:rsidP="00F82605">
            <w:pPr>
              <w:spacing w:before="60" w:after="60"/>
              <w:ind w:left="284" w:hanging="284"/>
              <w:jc w:val="center"/>
              <w:rPr>
                <w:sz w:val="20"/>
              </w:rPr>
            </w:pPr>
            <w:r w:rsidRPr="00B06CA9">
              <w:t>35</w:t>
            </w:r>
          </w:p>
        </w:tc>
        <w:tc>
          <w:tcPr>
            <w:tcW w:w="850" w:type="dxa"/>
            <w:vMerge/>
          </w:tcPr>
          <w:p w14:paraId="4CEB70D9" w14:textId="77777777" w:rsidR="00F82605" w:rsidRDefault="00F82605" w:rsidP="00F82605">
            <w:pPr>
              <w:spacing w:before="60" w:after="60"/>
              <w:jc w:val="center"/>
              <w:rPr>
                <w:sz w:val="20"/>
              </w:rPr>
            </w:pPr>
          </w:p>
        </w:tc>
        <w:tc>
          <w:tcPr>
            <w:tcW w:w="1134" w:type="dxa"/>
          </w:tcPr>
          <w:p w14:paraId="7F5513C3" w14:textId="77777777" w:rsidR="00F82605" w:rsidRDefault="00F82605" w:rsidP="00F82605">
            <w:pPr>
              <w:spacing w:before="60" w:after="60"/>
              <w:jc w:val="center"/>
              <w:rPr>
                <w:sz w:val="20"/>
              </w:rPr>
            </w:pPr>
            <w:r w:rsidRPr="00B06CA9">
              <w:t>RCFC1</w:t>
            </w:r>
          </w:p>
        </w:tc>
        <w:tc>
          <w:tcPr>
            <w:tcW w:w="2268" w:type="dxa"/>
          </w:tcPr>
          <w:p w14:paraId="7DE4255C" w14:textId="77777777" w:rsidR="00F82605" w:rsidRDefault="00F82605" w:rsidP="00F82605">
            <w:pPr>
              <w:spacing w:before="60" w:after="60"/>
              <w:jc w:val="left"/>
              <w:rPr>
                <w:sz w:val="20"/>
              </w:rPr>
            </w:pPr>
            <w:r w:rsidRPr="00B06CA9">
              <w:t>Unitary equipment</w:t>
            </w:r>
          </w:p>
        </w:tc>
        <w:tc>
          <w:tcPr>
            <w:tcW w:w="1418" w:type="dxa"/>
          </w:tcPr>
          <w:p w14:paraId="347A2EA3" w14:textId="77777777" w:rsidR="00F82605" w:rsidRDefault="00F82605" w:rsidP="00F82605">
            <w:pPr>
              <w:spacing w:before="60" w:after="60"/>
              <w:jc w:val="center"/>
              <w:rPr>
                <w:sz w:val="20"/>
              </w:rPr>
            </w:pPr>
            <w:r w:rsidRPr="00B06CA9">
              <w:t>RCFC1-7</w:t>
            </w:r>
          </w:p>
        </w:tc>
        <w:tc>
          <w:tcPr>
            <w:tcW w:w="3118" w:type="dxa"/>
          </w:tcPr>
          <w:p w14:paraId="4E5BF290" w14:textId="77777777" w:rsidR="00F82605" w:rsidRDefault="00F82605" w:rsidP="00F82605">
            <w:pPr>
              <w:spacing w:before="60" w:after="60"/>
              <w:jc w:val="left"/>
              <w:rPr>
                <w:sz w:val="20"/>
              </w:rPr>
            </w:pPr>
            <w:r w:rsidRPr="00B06CA9">
              <w:t>Beverage cooling (post mix)</w:t>
            </w:r>
          </w:p>
        </w:tc>
      </w:tr>
      <w:tr w:rsidR="00F82605" w:rsidRPr="00923150" w14:paraId="0908C230" w14:textId="77777777" w:rsidTr="00F82605">
        <w:trPr>
          <w:trHeight w:val="456"/>
        </w:trPr>
        <w:tc>
          <w:tcPr>
            <w:tcW w:w="851" w:type="dxa"/>
          </w:tcPr>
          <w:p w14:paraId="0AD1AA2D" w14:textId="77777777" w:rsidR="00F82605" w:rsidRDefault="00F82605" w:rsidP="00F82605">
            <w:pPr>
              <w:spacing w:before="60" w:after="60"/>
              <w:ind w:left="284" w:hanging="284"/>
              <w:jc w:val="center"/>
              <w:rPr>
                <w:sz w:val="20"/>
              </w:rPr>
            </w:pPr>
            <w:r w:rsidRPr="00B06CA9">
              <w:t>36</w:t>
            </w:r>
          </w:p>
        </w:tc>
        <w:tc>
          <w:tcPr>
            <w:tcW w:w="850" w:type="dxa"/>
            <w:vMerge/>
          </w:tcPr>
          <w:p w14:paraId="287A407D" w14:textId="77777777" w:rsidR="00F82605" w:rsidRDefault="00F82605" w:rsidP="00F82605">
            <w:pPr>
              <w:spacing w:before="60" w:after="60"/>
              <w:jc w:val="center"/>
              <w:rPr>
                <w:sz w:val="20"/>
              </w:rPr>
            </w:pPr>
          </w:p>
        </w:tc>
        <w:tc>
          <w:tcPr>
            <w:tcW w:w="1134" w:type="dxa"/>
          </w:tcPr>
          <w:p w14:paraId="7508C177" w14:textId="77777777" w:rsidR="00F82605" w:rsidRDefault="00F82605" w:rsidP="00F82605">
            <w:pPr>
              <w:spacing w:before="60" w:after="60"/>
              <w:jc w:val="center"/>
              <w:rPr>
                <w:sz w:val="20"/>
              </w:rPr>
            </w:pPr>
            <w:r w:rsidRPr="00B06CA9">
              <w:t>RCFC1</w:t>
            </w:r>
          </w:p>
        </w:tc>
        <w:tc>
          <w:tcPr>
            <w:tcW w:w="2268" w:type="dxa"/>
          </w:tcPr>
          <w:p w14:paraId="6BF2EC10" w14:textId="77777777" w:rsidR="00F82605" w:rsidRDefault="00F82605" w:rsidP="00F82605">
            <w:pPr>
              <w:spacing w:before="60" w:after="60"/>
              <w:jc w:val="left"/>
              <w:rPr>
                <w:sz w:val="20"/>
              </w:rPr>
            </w:pPr>
            <w:r w:rsidRPr="00B06CA9">
              <w:t>Unitary equipment</w:t>
            </w:r>
          </w:p>
        </w:tc>
        <w:tc>
          <w:tcPr>
            <w:tcW w:w="1418" w:type="dxa"/>
          </w:tcPr>
          <w:p w14:paraId="61570923" w14:textId="77777777" w:rsidR="00F82605" w:rsidRDefault="00F82605" w:rsidP="00F82605">
            <w:pPr>
              <w:spacing w:before="60" w:after="60"/>
              <w:jc w:val="center"/>
              <w:rPr>
                <w:sz w:val="20"/>
              </w:rPr>
            </w:pPr>
            <w:r w:rsidRPr="00B06CA9">
              <w:t>RCFC1-8</w:t>
            </w:r>
          </w:p>
        </w:tc>
        <w:tc>
          <w:tcPr>
            <w:tcW w:w="3118" w:type="dxa"/>
          </w:tcPr>
          <w:p w14:paraId="63067022" w14:textId="77777777" w:rsidR="00F82605" w:rsidRDefault="00F82605" w:rsidP="00F82605">
            <w:pPr>
              <w:spacing w:before="60" w:after="60"/>
              <w:jc w:val="left"/>
              <w:rPr>
                <w:sz w:val="20"/>
              </w:rPr>
            </w:pPr>
            <w:r w:rsidRPr="00B06CA9">
              <w:t>Beverage cooling (beer)</w:t>
            </w:r>
          </w:p>
        </w:tc>
      </w:tr>
      <w:tr w:rsidR="00F82605" w:rsidRPr="00923150" w14:paraId="665AE876" w14:textId="77777777" w:rsidTr="00F82605">
        <w:trPr>
          <w:trHeight w:val="456"/>
        </w:trPr>
        <w:tc>
          <w:tcPr>
            <w:tcW w:w="851" w:type="dxa"/>
          </w:tcPr>
          <w:p w14:paraId="300E6C40" w14:textId="77777777" w:rsidR="00F82605" w:rsidRDefault="00F82605" w:rsidP="00F82605">
            <w:pPr>
              <w:spacing w:before="60" w:after="60"/>
              <w:ind w:left="284" w:hanging="284"/>
              <w:jc w:val="center"/>
              <w:rPr>
                <w:sz w:val="20"/>
              </w:rPr>
            </w:pPr>
            <w:r w:rsidRPr="00B06CA9">
              <w:t>37</w:t>
            </w:r>
          </w:p>
        </w:tc>
        <w:tc>
          <w:tcPr>
            <w:tcW w:w="850" w:type="dxa"/>
            <w:vMerge/>
          </w:tcPr>
          <w:p w14:paraId="345BB1A9" w14:textId="77777777" w:rsidR="00F82605" w:rsidRDefault="00F82605" w:rsidP="00F82605">
            <w:pPr>
              <w:spacing w:before="60" w:after="60"/>
              <w:jc w:val="center"/>
              <w:rPr>
                <w:sz w:val="20"/>
              </w:rPr>
            </w:pPr>
          </w:p>
        </w:tc>
        <w:tc>
          <w:tcPr>
            <w:tcW w:w="1134" w:type="dxa"/>
          </w:tcPr>
          <w:p w14:paraId="3CBB7524" w14:textId="77777777" w:rsidR="00F82605" w:rsidRDefault="00F82605" w:rsidP="00F82605">
            <w:pPr>
              <w:spacing w:before="60" w:after="60"/>
              <w:jc w:val="center"/>
              <w:rPr>
                <w:sz w:val="20"/>
              </w:rPr>
            </w:pPr>
            <w:r w:rsidRPr="00B06CA9">
              <w:t>RCFC1</w:t>
            </w:r>
          </w:p>
        </w:tc>
        <w:tc>
          <w:tcPr>
            <w:tcW w:w="2268" w:type="dxa"/>
          </w:tcPr>
          <w:p w14:paraId="7E89AA42" w14:textId="77777777" w:rsidR="00F82605" w:rsidRDefault="00F82605" w:rsidP="00F82605">
            <w:pPr>
              <w:spacing w:before="60" w:after="60"/>
              <w:jc w:val="left"/>
              <w:rPr>
                <w:sz w:val="20"/>
              </w:rPr>
            </w:pPr>
            <w:r w:rsidRPr="00B06CA9">
              <w:t>Unitary equipment</w:t>
            </w:r>
          </w:p>
        </w:tc>
        <w:tc>
          <w:tcPr>
            <w:tcW w:w="1418" w:type="dxa"/>
          </w:tcPr>
          <w:p w14:paraId="0255B16C" w14:textId="77777777" w:rsidR="00F82605" w:rsidRDefault="00F82605" w:rsidP="00F82605">
            <w:pPr>
              <w:spacing w:before="60" w:after="60"/>
              <w:jc w:val="center"/>
              <w:rPr>
                <w:sz w:val="20"/>
              </w:rPr>
            </w:pPr>
            <w:r w:rsidRPr="00B06CA9">
              <w:t>RCFC1-9</w:t>
            </w:r>
          </w:p>
        </w:tc>
        <w:tc>
          <w:tcPr>
            <w:tcW w:w="3118" w:type="dxa"/>
          </w:tcPr>
          <w:p w14:paraId="2C84310F" w14:textId="77777777" w:rsidR="00F82605" w:rsidRDefault="00F82605" w:rsidP="00F82605">
            <w:pPr>
              <w:spacing w:before="60" w:after="60"/>
              <w:jc w:val="left"/>
              <w:rPr>
                <w:sz w:val="20"/>
              </w:rPr>
            </w:pPr>
            <w:r w:rsidRPr="00B06CA9">
              <w:t>Water dispensers (incl. bottle)</w:t>
            </w:r>
          </w:p>
        </w:tc>
      </w:tr>
      <w:tr w:rsidR="00F82605" w:rsidRPr="00923150" w14:paraId="661EEDAA" w14:textId="77777777" w:rsidTr="00F82605">
        <w:trPr>
          <w:trHeight w:val="456"/>
        </w:trPr>
        <w:tc>
          <w:tcPr>
            <w:tcW w:w="851" w:type="dxa"/>
          </w:tcPr>
          <w:p w14:paraId="4894E9CF" w14:textId="77777777" w:rsidR="00F82605" w:rsidRDefault="00F82605" w:rsidP="00F82605">
            <w:pPr>
              <w:spacing w:before="60" w:after="60"/>
              <w:ind w:left="284" w:hanging="284"/>
              <w:jc w:val="center"/>
              <w:rPr>
                <w:sz w:val="20"/>
              </w:rPr>
            </w:pPr>
            <w:r w:rsidRPr="00B06CA9">
              <w:t>38</w:t>
            </w:r>
          </w:p>
        </w:tc>
        <w:tc>
          <w:tcPr>
            <w:tcW w:w="850" w:type="dxa"/>
            <w:vMerge/>
          </w:tcPr>
          <w:p w14:paraId="13DA761B" w14:textId="77777777" w:rsidR="00F82605" w:rsidRDefault="00F82605" w:rsidP="00F82605">
            <w:pPr>
              <w:spacing w:before="60" w:after="60"/>
              <w:jc w:val="center"/>
              <w:rPr>
                <w:sz w:val="20"/>
              </w:rPr>
            </w:pPr>
          </w:p>
        </w:tc>
        <w:tc>
          <w:tcPr>
            <w:tcW w:w="1134" w:type="dxa"/>
          </w:tcPr>
          <w:p w14:paraId="3EF19D5C" w14:textId="77777777" w:rsidR="00F82605" w:rsidRDefault="00F82605" w:rsidP="00F82605">
            <w:pPr>
              <w:spacing w:before="60" w:after="60"/>
              <w:jc w:val="center"/>
              <w:rPr>
                <w:sz w:val="20"/>
              </w:rPr>
            </w:pPr>
            <w:r w:rsidRPr="00B06CA9">
              <w:t>RCFC1</w:t>
            </w:r>
          </w:p>
        </w:tc>
        <w:tc>
          <w:tcPr>
            <w:tcW w:w="2268" w:type="dxa"/>
          </w:tcPr>
          <w:p w14:paraId="562EAB10" w14:textId="77777777" w:rsidR="00F82605" w:rsidRDefault="00F82605" w:rsidP="00F82605">
            <w:pPr>
              <w:spacing w:before="60" w:after="60"/>
              <w:jc w:val="left"/>
              <w:rPr>
                <w:sz w:val="20"/>
              </w:rPr>
            </w:pPr>
            <w:r w:rsidRPr="00B06CA9">
              <w:t>Unitary equipment</w:t>
            </w:r>
          </w:p>
        </w:tc>
        <w:tc>
          <w:tcPr>
            <w:tcW w:w="1418" w:type="dxa"/>
          </w:tcPr>
          <w:p w14:paraId="57655A14" w14:textId="77777777" w:rsidR="00F82605" w:rsidRDefault="00F82605" w:rsidP="00F82605">
            <w:pPr>
              <w:spacing w:before="60" w:after="60"/>
              <w:jc w:val="center"/>
              <w:rPr>
                <w:sz w:val="20"/>
              </w:rPr>
            </w:pPr>
            <w:r w:rsidRPr="00B06CA9">
              <w:t>RCFC1-10</w:t>
            </w:r>
          </w:p>
        </w:tc>
        <w:tc>
          <w:tcPr>
            <w:tcW w:w="3118" w:type="dxa"/>
          </w:tcPr>
          <w:p w14:paraId="663DA63A" w14:textId="77777777" w:rsidR="00F82605" w:rsidRDefault="00F82605" w:rsidP="00F82605">
            <w:pPr>
              <w:spacing w:before="60" w:after="60"/>
              <w:jc w:val="left"/>
              <w:rPr>
                <w:sz w:val="20"/>
              </w:rPr>
            </w:pPr>
            <w:r w:rsidRPr="00B06CA9">
              <w:t>Packaged liquid chillers</w:t>
            </w:r>
          </w:p>
        </w:tc>
      </w:tr>
      <w:tr w:rsidR="00F82605" w:rsidRPr="00923150" w14:paraId="402A4B7F" w14:textId="77777777" w:rsidTr="00F82605">
        <w:trPr>
          <w:trHeight w:val="456"/>
        </w:trPr>
        <w:tc>
          <w:tcPr>
            <w:tcW w:w="851" w:type="dxa"/>
          </w:tcPr>
          <w:p w14:paraId="4B90707E" w14:textId="77777777" w:rsidR="00F82605" w:rsidRDefault="00F82605" w:rsidP="00F82605">
            <w:pPr>
              <w:spacing w:before="60" w:after="60"/>
              <w:ind w:left="284" w:hanging="284"/>
              <w:jc w:val="center"/>
              <w:rPr>
                <w:sz w:val="20"/>
              </w:rPr>
            </w:pPr>
            <w:r w:rsidRPr="00B06CA9">
              <w:t>39</w:t>
            </w:r>
          </w:p>
        </w:tc>
        <w:tc>
          <w:tcPr>
            <w:tcW w:w="850" w:type="dxa"/>
            <w:vMerge/>
          </w:tcPr>
          <w:p w14:paraId="7F387487" w14:textId="77777777" w:rsidR="00F82605" w:rsidRDefault="00F82605" w:rsidP="00F82605">
            <w:pPr>
              <w:spacing w:before="60" w:after="60"/>
              <w:jc w:val="center"/>
              <w:rPr>
                <w:sz w:val="20"/>
              </w:rPr>
            </w:pPr>
          </w:p>
        </w:tc>
        <w:tc>
          <w:tcPr>
            <w:tcW w:w="1134" w:type="dxa"/>
          </w:tcPr>
          <w:p w14:paraId="33DB4851" w14:textId="77777777" w:rsidR="00F82605" w:rsidRDefault="00F82605" w:rsidP="00F82605">
            <w:pPr>
              <w:spacing w:before="60" w:after="60"/>
              <w:jc w:val="center"/>
              <w:rPr>
                <w:sz w:val="20"/>
              </w:rPr>
            </w:pPr>
            <w:r w:rsidRPr="00B06CA9">
              <w:t>RCFC1</w:t>
            </w:r>
          </w:p>
        </w:tc>
        <w:tc>
          <w:tcPr>
            <w:tcW w:w="2268" w:type="dxa"/>
          </w:tcPr>
          <w:p w14:paraId="7E722D34" w14:textId="77777777" w:rsidR="00F82605" w:rsidRDefault="00F82605" w:rsidP="00F82605">
            <w:pPr>
              <w:spacing w:before="60" w:after="60"/>
              <w:jc w:val="left"/>
              <w:rPr>
                <w:sz w:val="20"/>
              </w:rPr>
            </w:pPr>
            <w:r w:rsidRPr="00B06CA9">
              <w:t>Unitary equipment</w:t>
            </w:r>
          </w:p>
        </w:tc>
        <w:tc>
          <w:tcPr>
            <w:tcW w:w="1418" w:type="dxa"/>
          </w:tcPr>
          <w:p w14:paraId="7D3D25AA" w14:textId="77777777" w:rsidR="00F82605" w:rsidRDefault="00F82605" w:rsidP="00F82605">
            <w:pPr>
              <w:spacing w:before="60" w:after="60"/>
              <w:jc w:val="center"/>
              <w:rPr>
                <w:sz w:val="20"/>
              </w:rPr>
            </w:pPr>
            <w:r w:rsidRPr="00B06CA9">
              <w:t>RCFC1-11</w:t>
            </w:r>
          </w:p>
        </w:tc>
        <w:tc>
          <w:tcPr>
            <w:tcW w:w="3118" w:type="dxa"/>
          </w:tcPr>
          <w:p w14:paraId="2DDADBAD" w14:textId="77777777" w:rsidR="00F82605" w:rsidRDefault="00F82605" w:rsidP="00F82605">
            <w:pPr>
              <w:spacing w:before="60" w:after="60"/>
              <w:jc w:val="left"/>
              <w:rPr>
                <w:sz w:val="20"/>
              </w:rPr>
            </w:pPr>
            <w:r w:rsidRPr="00B06CA9">
              <w:t>Milk vat refrigeration</w:t>
            </w:r>
          </w:p>
        </w:tc>
      </w:tr>
      <w:tr w:rsidR="00F82605" w:rsidRPr="00923150" w14:paraId="5586A74D" w14:textId="77777777" w:rsidTr="00F82605">
        <w:trPr>
          <w:trHeight w:val="456"/>
        </w:trPr>
        <w:tc>
          <w:tcPr>
            <w:tcW w:w="851" w:type="dxa"/>
          </w:tcPr>
          <w:p w14:paraId="319F2433" w14:textId="77777777" w:rsidR="00F82605" w:rsidRDefault="00F82605" w:rsidP="00F82605">
            <w:pPr>
              <w:spacing w:before="60" w:after="60"/>
              <w:ind w:left="284" w:hanging="284"/>
              <w:jc w:val="center"/>
              <w:rPr>
                <w:sz w:val="20"/>
              </w:rPr>
            </w:pPr>
            <w:r w:rsidRPr="00B06CA9">
              <w:lastRenderedPageBreak/>
              <w:t>40</w:t>
            </w:r>
          </w:p>
        </w:tc>
        <w:tc>
          <w:tcPr>
            <w:tcW w:w="850" w:type="dxa"/>
            <w:vMerge/>
          </w:tcPr>
          <w:p w14:paraId="413C82EE" w14:textId="77777777" w:rsidR="00F82605" w:rsidRDefault="00F82605" w:rsidP="00F82605">
            <w:pPr>
              <w:spacing w:before="60" w:after="60"/>
              <w:jc w:val="center"/>
              <w:rPr>
                <w:sz w:val="20"/>
              </w:rPr>
            </w:pPr>
          </w:p>
        </w:tc>
        <w:tc>
          <w:tcPr>
            <w:tcW w:w="1134" w:type="dxa"/>
          </w:tcPr>
          <w:p w14:paraId="4977CC76" w14:textId="77777777" w:rsidR="00F82605" w:rsidRDefault="00F82605" w:rsidP="00F82605">
            <w:pPr>
              <w:spacing w:before="60" w:after="60"/>
              <w:jc w:val="center"/>
              <w:rPr>
                <w:sz w:val="20"/>
              </w:rPr>
            </w:pPr>
            <w:r w:rsidRPr="00B06CA9">
              <w:t>RCFC1</w:t>
            </w:r>
          </w:p>
        </w:tc>
        <w:tc>
          <w:tcPr>
            <w:tcW w:w="2268" w:type="dxa"/>
          </w:tcPr>
          <w:p w14:paraId="13EBA934" w14:textId="77777777" w:rsidR="00F82605" w:rsidRDefault="00F82605" w:rsidP="00F82605">
            <w:pPr>
              <w:spacing w:before="60" w:after="60"/>
              <w:jc w:val="left"/>
              <w:rPr>
                <w:sz w:val="20"/>
              </w:rPr>
            </w:pPr>
            <w:r w:rsidRPr="00B06CA9">
              <w:t>Unitary equipment</w:t>
            </w:r>
          </w:p>
        </w:tc>
        <w:tc>
          <w:tcPr>
            <w:tcW w:w="1418" w:type="dxa"/>
          </w:tcPr>
          <w:p w14:paraId="52C6FDAA" w14:textId="77777777" w:rsidR="00F82605" w:rsidRDefault="00F82605" w:rsidP="00F82605">
            <w:pPr>
              <w:spacing w:before="60" w:after="60"/>
              <w:jc w:val="center"/>
              <w:rPr>
                <w:sz w:val="20"/>
              </w:rPr>
            </w:pPr>
            <w:r w:rsidRPr="00B06CA9">
              <w:t>RCFC1-12</w:t>
            </w:r>
          </w:p>
        </w:tc>
        <w:tc>
          <w:tcPr>
            <w:tcW w:w="3118" w:type="dxa"/>
          </w:tcPr>
          <w:p w14:paraId="36FE516E" w14:textId="77777777" w:rsidR="00F82605" w:rsidRDefault="00F82605" w:rsidP="00F82605">
            <w:pPr>
              <w:spacing w:before="60" w:after="60"/>
              <w:jc w:val="left"/>
              <w:rPr>
                <w:sz w:val="20"/>
              </w:rPr>
            </w:pPr>
            <w:r w:rsidRPr="00B06CA9">
              <w:t>Portable refrigerators (commercial)</w:t>
            </w:r>
          </w:p>
        </w:tc>
      </w:tr>
      <w:tr w:rsidR="00F82605" w:rsidRPr="00923150" w14:paraId="14228472" w14:textId="77777777" w:rsidTr="00F82605">
        <w:trPr>
          <w:trHeight w:val="456"/>
        </w:trPr>
        <w:tc>
          <w:tcPr>
            <w:tcW w:w="851" w:type="dxa"/>
          </w:tcPr>
          <w:p w14:paraId="29CD139C" w14:textId="77777777" w:rsidR="00F82605" w:rsidRDefault="00F82605" w:rsidP="00F82605">
            <w:pPr>
              <w:spacing w:before="60" w:after="60"/>
              <w:ind w:left="284" w:hanging="284"/>
              <w:jc w:val="center"/>
              <w:rPr>
                <w:sz w:val="20"/>
              </w:rPr>
            </w:pPr>
            <w:r w:rsidRPr="00B06CA9">
              <w:t>41</w:t>
            </w:r>
          </w:p>
        </w:tc>
        <w:tc>
          <w:tcPr>
            <w:tcW w:w="850" w:type="dxa"/>
            <w:vMerge/>
          </w:tcPr>
          <w:p w14:paraId="3B760AF5" w14:textId="77777777" w:rsidR="00F82605" w:rsidRDefault="00F82605" w:rsidP="00F82605">
            <w:pPr>
              <w:spacing w:before="60" w:after="60"/>
              <w:jc w:val="center"/>
              <w:rPr>
                <w:sz w:val="20"/>
              </w:rPr>
            </w:pPr>
          </w:p>
        </w:tc>
        <w:tc>
          <w:tcPr>
            <w:tcW w:w="1134" w:type="dxa"/>
          </w:tcPr>
          <w:p w14:paraId="3A8F3730" w14:textId="77777777" w:rsidR="00F82605" w:rsidRDefault="00F82605" w:rsidP="00F82605">
            <w:pPr>
              <w:spacing w:before="60" w:after="60"/>
              <w:jc w:val="center"/>
              <w:rPr>
                <w:sz w:val="20"/>
              </w:rPr>
            </w:pPr>
            <w:r w:rsidRPr="00B06CA9">
              <w:t>RCFC2</w:t>
            </w:r>
          </w:p>
        </w:tc>
        <w:tc>
          <w:tcPr>
            <w:tcW w:w="2268" w:type="dxa"/>
          </w:tcPr>
          <w:p w14:paraId="234512A4" w14:textId="77777777" w:rsidR="00F82605" w:rsidRDefault="00F82605" w:rsidP="00F82605">
            <w:pPr>
              <w:spacing w:before="60" w:after="60"/>
              <w:jc w:val="left"/>
              <w:rPr>
                <w:sz w:val="20"/>
              </w:rPr>
            </w:pPr>
            <w:r w:rsidRPr="00B06CA9">
              <w:t>Transport refrigeration</w:t>
            </w:r>
          </w:p>
        </w:tc>
        <w:tc>
          <w:tcPr>
            <w:tcW w:w="1418" w:type="dxa"/>
          </w:tcPr>
          <w:p w14:paraId="2BE8EE21" w14:textId="77777777" w:rsidR="00F82605" w:rsidRDefault="00F82605" w:rsidP="00F82605">
            <w:pPr>
              <w:spacing w:before="60" w:after="60"/>
              <w:jc w:val="center"/>
              <w:rPr>
                <w:sz w:val="20"/>
              </w:rPr>
            </w:pPr>
            <w:r w:rsidRPr="00B06CA9">
              <w:t>RCFC2-1</w:t>
            </w:r>
          </w:p>
        </w:tc>
        <w:tc>
          <w:tcPr>
            <w:tcW w:w="3118" w:type="dxa"/>
          </w:tcPr>
          <w:p w14:paraId="22042595" w14:textId="77777777" w:rsidR="00F82605" w:rsidRDefault="00F82605" w:rsidP="00F82605">
            <w:pPr>
              <w:spacing w:before="60" w:after="60"/>
              <w:jc w:val="left"/>
              <w:rPr>
                <w:sz w:val="20"/>
              </w:rPr>
            </w:pPr>
            <w:r w:rsidRPr="00B06CA9">
              <w:t>Mobile refrigeration: road: trailer - inter-modal</w:t>
            </w:r>
          </w:p>
        </w:tc>
      </w:tr>
      <w:tr w:rsidR="00F82605" w:rsidRPr="00923150" w14:paraId="1828A0F9" w14:textId="77777777" w:rsidTr="00F82605">
        <w:trPr>
          <w:trHeight w:val="456"/>
        </w:trPr>
        <w:tc>
          <w:tcPr>
            <w:tcW w:w="851" w:type="dxa"/>
          </w:tcPr>
          <w:p w14:paraId="0B3FCF8D" w14:textId="77777777" w:rsidR="00F82605" w:rsidRDefault="00F82605" w:rsidP="00F82605">
            <w:pPr>
              <w:spacing w:before="60" w:after="60"/>
              <w:ind w:left="284" w:hanging="284"/>
              <w:jc w:val="center"/>
              <w:rPr>
                <w:sz w:val="20"/>
              </w:rPr>
            </w:pPr>
            <w:r w:rsidRPr="00B06CA9">
              <w:t>42</w:t>
            </w:r>
          </w:p>
        </w:tc>
        <w:tc>
          <w:tcPr>
            <w:tcW w:w="850" w:type="dxa"/>
            <w:vMerge/>
          </w:tcPr>
          <w:p w14:paraId="2A0A084D" w14:textId="77777777" w:rsidR="00F82605" w:rsidRDefault="00F82605" w:rsidP="00F82605">
            <w:pPr>
              <w:spacing w:before="60" w:after="60"/>
              <w:jc w:val="center"/>
              <w:rPr>
                <w:sz w:val="20"/>
              </w:rPr>
            </w:pPr>
          </w:p>
        </w:tc>
        <w:tc>
          <w:tcPr>
            <w:tcW w:w="1134" w:type="dxa"/>
          </w:tcPr>
          <w:p w14:paraId="5DED2EAA" w14:textId="77777777" w:rsidR="00F82605" w:rsidRDefault="00F82605" w:rsidP="00F82605">
            <w:pPr>
              <w:spacing w:before="60" w:after="60"/>
              <w:jc w:val="center"/>
              <w:rPr>
                <w:sz w:val="20"/>
              </w:rPr>
            </w:pPr>
            <w:r w:rsidRPr="00B06CA9">
              <w:t>RCFC2</w:t>
            </w:r>
          </w:p>
        </w:tc>
        <w:tc>
          <w:tcPr>
            <w:tcW w:w="2268" w:type="dxa"/>
          </w:tcPr>
          <w:p w14:paraId="6F240E8A" w14:textId="77777777" w:rsidR="00F82605" w:rsidRDefault="00F82605" w:rsidP="00F82605">
            <w:pPr>
              <w:spacing w:before="60" w:after="60"/>
              <w:jc w:val="left"/>
              <w:rPr>
                <w:sz w:val="20"/>
              </w:rPr>
            </w:pPr>
            <w:r w:rsidRPr="00B06CA9">
              <w:t>Transport refrigeration</w:t>
            </w:r>
          </w:p>
        </w:tc>
        <w:tc>
          <w:tcPr>
            <w:tcW w:w="1418" w:type="dxa"/>
          </w:tcPr>
          <w:p w14:paraId="554EBBB8" w14:textId="77777777" w:rsidR="00F82605" w:rsidRDefault="00F82605" w:rsidP="00F82605">
            <w:pPr>
              <w:spacing w:before="60" w:after="60"/>
              <w:jc w:val="center"/>
              <w:rPr>
                <w:sz w:val="20"/>
              </w:rPr>
            </w:pPr>
            <w:r w:rsidRPr="00B06CA9">
              <w:t>RCFC2-2</w:t>
            </w:r>
          </w:p>
        </w:tc>
        <w:tc>
          <w:tcPr>
            <w:tcW w:w="3118" w:type="dxa"/>
          </w:tcPr>
          <w:p w14:paraId="488457C9" w14:textId="77777777" w:rsidR="00F82605" w:rsidRDefault="00F82605" w:rsidP="00F82605">
            <w:pPr>
              <w:spacing w:before="60" w:after="60"/>
              <w:jc w:val="left"/>
              <w:rPr>
                <w:sz w:val="20"/>
              </w:rPr>
            </w:pPr>
            <w:r w:rsidRPr="00B06CA9">
              <w:t>Mobile refrigeration: road: diesel drive</w:t>
            </w:r>
          </w:p>
        </w:tc>
      </w:tr>
      <w:tr w:rsidR="00F82605" w:rsidRPr="00923150" w14:paraId="31293BC7" w14:textId="77777777" w:rsidTr="00F82605">
        <w:trPr>
          <w:trHeight w:val="456"/>
        </w:trPr>
        <w:tc>
          <w:tcPr>
            <w:tcW w:w="851" w:type="dxa"/>
          </w:tcPr>
          <w:p w14:paraId="69B439F6" w14:textId="77777777" w:rsidR="00F82605" w:rsidRDefault="00F82605" w:rsidP="00F82605">
            <w:pPr>
              <w:spacing w:before="60" w:after="60"/>
              <w:ind w:left="284" w:hanging="284"/>
              <w:jc w:val="center"/>
              <w:rPr>
                <w:sz w:val="20"/>
              </w:rPr>
            </w:pPr>
            <w:r w:rsidRPr="00B06CA9">
              <w:t>43</w:t>
            </w:r>
          </w:p>
        </w:tc>
        <w:tc>
          <w:tcPr>
            <w:tcW w:w="850" w:type="dxa"/>
            <w:vMerge/>
          </w:tcPr>
          <w:p w14:paraId="42207379" w14:textId="77777777" w:rsidR="00F82605" w:rsidRDefault="00F82605" w:rsidP="00F82605">
            <w:pPr>
              <w:spacing w:before="60" w:after="60"/>
              <w:jc w:val="center"/>
              <w:rPr>
                <w:sz w:val="20"/>
              </w:rPr>
            </w:pPr>
          </w:p>
        </w:tc>
        <w:tc>
          <w:tcPr>
            <w:tcW w:w="1134" w:type="dxa"/>
          </w:tcPr>
          <w:p w14:paraId="71FAD261" w14:textId="77777777" w:rsidR="00F82605" w:rsidRDefault="00F82605" w:rsidP="00F82605">
            <w:pPr>
              <w:spacing w:before="60" w:after="60"/>
              <w:jc w:val="center"/>
              <w:rPr>
                <w:sz w:val="20"/>
              </w:rPr>
            </w:pPr>
            <w:r w:rsidRPr="00B06CA9">
              <w:t>RCFC2</w:t>
            </w:r>
          </w:p>
        </w:tc>
        <w:tc>
          <w:tcPr>
            <w:tcW w:w="2268" w:type="dxa"/>
          </w:tcPr>
          <w:p w14:paraId="3E65C2E2" w14:textId="77777777" w:rsidR="00F82605" w:rsidRDefault="00F82605" w:rsidP="00F82605">
            <w:pPr>
              <w:spacing w:before="60" w:after="60"/>
              <w:jc w:val="left"/>
              <w:rPr>
                <w:sz w:val="20"/>
              </w:rPr>
            </w:pPr>
            <w:r w:rsidRPr="00B06CA9">
              <w:t>Transport refrigeration</w:t>
            </w:r>
          </w:p>
        </w:tc>
        <w:tc>
          <w:tcPr>
            <w:tcW w:w="1418" w:type="dxa"/>
          </w:tcPr>
          <w:p w14:paraId="60F22474" w14:textId="77777777" w:rsidR="00F82605" w:rsidRDefault="00F82605" w:rsidP="00F82605">
            <w:pPr>
              <w:spacing w:before="60" w:after="60"/>
              <w:jc w:val="center"/>
              <w:rPr>
                <w:sz w:val="20"/>
              </w:rPr>
            </w:pPr>
            <w:r w:rsidRPr="00B06CA9">
              <w:t>RCFC2-3</w:t>
            </w:r>
          </w:p>
        </w:tc>
        <w:tc>
          <w:tcPr>
            <w:tcW w:w="3118" w:type="dxa"/>
          </w:tcPr>
          <w:p w14:paraId="446D5380" w14:textId="77777777" w:rsidR="00F82605" w:rsidRDefault="00F82605" w:rsidP="00F82605">
            <w:pPr>
              <w:spacing w:before="60" w:after="60"/>
              <w:jc w:val="left"/>
              <w:rPr>
                <w:sz w:val="20"/>
              </w:rPr>
            </w:pPr>
            <w:r w:rsidRPr="00B06CA9">
              <w:t>Mobile refrigeration: road: off engine</w:t>
            </w:r>
          </w:p>
        </w:tc>
      </w:tr>
      <w:tr w:rsidR="00F82605" w:rsidRPr="00923150" w14:paraId="5E9709C7" w14:textId="77777777" w:rsidTr="00F82605">
        <w:trPr>
          <w:trHeight w:val="456"/>
        </w:trPr>
        <w:tc>
          <w:tcPr>
            <w:tcW w:w="851" w:type="dxa"/>
          </w:tcPr>
          <w:p w14:paraId="15E718D0" w14:textId="77777777" w:rsidR="00F82605" w:rsidRDefault="00F82605" w:rsidP="00F82605">
            <w:pPr>
              <w:spacing w:before="60" w:after="60"/>
              <w:ind w:left="284" w:hanging="284"/>
              <w:jc w:val="center"/>
              <w:rPr>
                <w:sz w:val="20"/>
              </w:rPr>
            </w:pPr>
            <w:r w:rsidRPr="00B06CA9">
              <w:t>44</w:t>
            </w:r>
          </w:p>
        </w:tc>
        <w:tc>
          <w:tcPr>
            <w:tcW w:w="850" w:type="dxa"/>
            <w:vMerge/>
          </w:tcPr>
          <w:p w14:paraId="5DAF9D08" w14:textId="77777777" w:rsidR="00F82605" w:rsidRDefault="00F82605" w:rsidP="00F82605">
            <w:pPr>
              <w:spacing w:before="60" w:after="60"/>
              <w:jc w:val="center"/>
              <w:rPr>
                <w:sz w:val="20"/>
              </w:rPr>
            </w:pPr>
          </w:p>
        </w:tc>
        <w:tc>
          <w:tcPr>
            <w:tcW w:w="1134" w:type="dxa"/>
          </w:tcPr>
          <w:p w14:paraId="352821F6" w14:textId="77777777" w:rsidR="00F82605" w:rsidRDefault="00F82605" w:rsidP="00F82605">
            <w:pPr>
              <w:spacing w:before="60" w:after="60"/>
              <w:jc w:val="center"/>
              <w:rPr>
                <w:sz w:val="20"/>
              </w:rPr>
            </w:pPr>
            <w:r w:rsidRPr="00B06CA9">
              <w:t>RCFC2</w:t>
            </w:r>
          </w:p>
        </w:tc>
        <w:tc>
          <w:tcPr>
            <w:tcW w:w="2268" w:type="dxa"/>
          </w:tcPr>
          <w:p w14:paraId="5FAB9CFA" w14:textId="77777777" w:rsidR="00F82605" w:rsidRDefault="00F82605" w:rsidP="00F82605">
            <w:pPr>
              <w:spacing w:before="60" w:after="60"/>
              <w:jc w:val="left"/>
              <w:rPr>
                <w:sz w:val="20"/>
              </w:rPr>
            </w:pPr>
            <w:r w:rsidRPr="00B06CA9">
              <w:t>Transport refrigeration</w:t>
            </w:r>
          </w:p>
        </w:tc>
        <w:tc>
          <w:tcPr>
            <w:tcW w:w="1418" w:type="dxa"/>
          </w:tcPr>
          <w:p w14:paraId="55B20F04" w14:textId="77777777" w:rsidR="00F82605" w:rsidRDefault="00F82605" w:rsidP="00F82605">
            <w:pPr>
              <w:spacing w:before="60" w:after="60"/>
              <w:jc w:val="center"/>
              <w:rPr>
                <w:sz w:val="20"/>
              </w:rPr>
            </w:pPr>
            <w:r w:rsidRPr="00B06CA9">
              <w:t>RCFC2-4</w:t>
            </w:r>
          </w:p>
        </w:tc>
        <w:tc>
          <w:tcPr>
            <w:tcW w:w="3118" w:type="dxa"/>
          </w:tcPr>
          <w:p w14:paraId="2AF6F162" w14:textId="77777777" w:rsidR="00F82605" w:rsidRDefault="00F82605" w:rsidP="00F82605">
            <w:pPr>
              <w:spacing w:before="60" w:after="60"/>
              <w:jc w:val="left"/>
              <w:rPr>
                <w:sz w:val="20"/>
              </w:rPr>
            </w:pPr>
            <w:r w:rsidRPr="00B06CA9">
              <w:t>Mobile refrigeration: marine</w:t>
            </w:r>
          </w:p>
        </w:tc>
      </w:tr>
      <w:tr w:rsidR="00F82605" w:rsidRPr="00923150" w14:paraId="0068BBAD" w14:textId="77777777" w:rsidTr="00F82605">
        <w:trPr>
          <w:trHeight w:val="456"/>
        </w:trPr>
        <w:tc>
          <w:tcPr>
            <w:tcW w:w="851" w:type="dxa"/>
          </w:tcPr>
          <w:p w14:paraId="635EF494" w14:textId="77777777" w:rsidR="00F82605" w:rsidRDefault="00F82605" w:rsidP="00F82605">
            <w:pPr>
              <w:spacing w:before="60" w:after="60"/>
              <w:ind w:left="284" w:hanging="284"/>
              <w:jc w:val="center"/>
              <w:rPr>
                <w:sz w:val="20"/>
              </w:rPr>
            </w:pPr>
            <w:r w:rsidRPr="00B06CA9">
              <w:t>45</w:t>
            </w:r>
          </w:p>
        </w:tc>
        <w:tc>
          <w:tcPr>
            <w:tcW w:w="850" w:type="dxa"/>
            <w:vMerge/>
          </w:tcPr>
          <w:p w14:paraId="4CD9B113" w14:textId="77777777" w:rsidR="00F82605" w:rsidRDefault="00F82605" w:rsidP="00F82605">
            <w:pPr>
              <w:spacing w:before="60" w:after="60"/>
              <w:jc w:val="center"/>
              <w:rPr>
                <w:sz w:val="20"/>
              </w:rPr>
            </w:pPr>
          </w:p>
        </w:tc>
        <w:tc>
          <w:tcPr>
            <w:tcW w:w="1134" w:type="dxa"/>
          </w:tcPr>
          <w:p w14:paraId="566B018A" w14:textId="77777777" w:rsidR="00F82605" w:rsidRDefault="00F82605" w:rsidP="00F82605">
            <w:pPr>
              <w:spacing w:before="60" w:after="60"/>
              <w:jc w:val="center"/>
              <w:rPr>
                <w:sz w:val="20"/>
              </w:rPr>
            </w:pPr>
            <w:r w:rsidRPr="00B06CA9">
              <w:t>RCFC3</w:t>
            </w:r>
          </w:p>
        </w:tc>
        <w:tc>
          <w:tcPr>
            <w:tcW w:w="2268" w:type="dxa"/>
          </w:tcPr>
          <w:p w14:paraId="6226EA97" w14:textId="77777777" w:rsidR="00F82605" w:rsidRDefault="00F82605" w:rsidP="00F82605">
            <w:pPr>
              <w:spacing w:before="60" w:after="60"/>
              <w:jc w:val="left"/>
              <w:rPr>
                <w:sz w:val="20"/>
              </w:rPr>
            </w:pPr>
            <w:r w:rsidRPr="00B06CA9">
              <w:t>Supermarkets</w:t>
            </w:r>
          </w:p>
        </w:tc>
        <w:tc>
          <w:tcPr>
            <w:tcW w:w="1418" w:type="dxa"/>
          </w:tcPr>
          <w:p w14:paraId="0A028C6F" w14:textId="77777777" w:rsidR="00F82605" w:rsidRDefault="00F82605" w:rsidP="00F82605">
            <w:pPr>
              <w:spacing w:before="60" w:after="60"/>
              <w:jc w:val="center"/>
              <w:rPr>
                <w:sz w:val="20"/>
              </w:rPr>
            </w:pPr>
            <w:r w:rsidRPr="00B06CA9">
              <w:t>RCFC3-1</w:t>
            </w:r>
          </w:p>
        </w:tc>
        <w:tc>
          <w:tcPr>
            <w:tcW w:w="3118" w:type="dxa"/>
          </w:tcPr>
          <w:p w14:paraId="1ED22F2E" w14:textId="77777777" w:rsidR="00F82605" w:rsidRDefault="00F82605" w:rsidP="00F82605">
            <w:pPr>
              <w:spacing w:before="60" w:after="60"/>
              <w:jc w:val="left"/>
              <w:rPr>
                <w:sz w:val="20"/>
              </w:rPr>
            </w:pPr>
            <w:r w:rsidRPr="00B06CA9">
              <w:t>Supermarket refrigeration: small</w:t>
            </w:r>
          </w:p>
        </w:tc>
      </w:tr>
      <w:tr w:rsidR="00F82605" w:rsidRPr="00923150" w14:paraId="71742A45" w14:textId="77777777" w:rsidTr="00F82605">
        <w:trPr>
          <w:trHeight w:val="456"/>
        </w:trPr>
        <w:tc>
          <w:tcPr>
            <w:tcW w:w="851" w:type="dxa"/>
          </w:tcPr>
          <w:p w14:paraId="4CF485A8" w14:textId="77777777" w:rsidR="00F82605" w:rsidRDefault="00F82605" w:rsidP="00F82605">
            <w:pPr>
              <w:spacing w:before="60" w:after="60"/>
              <w:ind w:left="284" w:hanging="284"/>
              <w:jc w:val="center"/>
              <w:rPr>
                <w:sz w:val="20"/>
              </w:rPr>
            </w:pPr>
            <w:r w:rsidRPr="00B06CA9">
              <w:t>46</w:t>
            </w:r>
          </w:p>
        </w:tc>
        <w:tc>
          <w:tcPr>
            <w:tcW w:w="850" w:type="dxa"/>
            <w:vMerge/>
          </w:tcPr>
          <w:p w14:paraId="5BB86582" w14:textId="77777777" w:rsidR="00F82605" w:rsidRDefault="00F82605" w:rsidP="00F82605">
            <w:pPr>
              <w:spacing w:before="60" w:after="60"/>
              <w:jc w:val="center"/>
              <w:rPr>
                <w:sz w:val="20"/>
              </w:rPr>
            </w:pPr>
          </w:p>
        </w:tc>
        <w:tc>
          <w:tcPr>
            <w:tcW w:w="1134" w:type="dxa"/>
          </w:tcPr>
          <w:p w14:paraId="4C1B0E88" w14:textId="77777777" w:rsidR="00F82605" w:rsidRDefault="00F82605" w:rsidP="00F82605">
            <w:pPr>
              <w:spacing w:before="60" w:after="60"/>
              <w:jc w:val="center"/>
              <w:rPr>
                <w:sz w:val="20"/>
              </w:rPr>
            </w:pPr>
            <w:r w:rsidRPr="00B06CA9">
              <w:t>RCFC3</w:t>
            </w:r>
          </w:p>
        </w:tc>
        <w:tc>
          <w:tcPr>
            <w:tcW w:w="2268" w:type="dxa"/>
          </w:tcPr>
          <w:p w14:paraId="45095D3C" w14:textId="77777777" w:rsidR="00F82605" w:rsidRDefault="00F82605" w:rsidP="00F82605">
            <w:pPr>
              <w:spacing w:before="60" w:after="60"/>
              <w:jc w:val="left"/>
              <w:rPr>
                <w:sz w:val="20"/>
              </w:rPr>
            </w:pPr>
            <w:r w:rsidRPr="00B06CA9">
              <w:t>Supermarkets</w:t>
            </w:r>
          </w:p>
        </w:tc>
        <w:tc>
          <w:tcPr>
            <w:tcW w:w="1418" w:type="dxa"/>
          </w:tcPr>
          <w:p w14:paraId="134A9ADF" w14:textId="77777777" w:rsidR="00F82605" w:rsidRDefault="00F82605" w:rsidP="00F82605">
            <w:pPr>
              <w:spacing w:before="60" w:after="60"/>
              <w:jc w:val="center"/>
              <w:rPr>
                <w:sz w:val="20"/>
              </w:rPr>
            </w:pPr>
            <w:r w:rsidRPr="00B06CA9">
              <w:t>RCFC3-2</w:t>
            </w:r>
          </w:p>
        </w:tc>
        <w:tc>
          <w:tcPr>
            <w:tcW w:w="3118" w:type="dxa"/>
          </w:tcPr>
          <w:p w14:paraId="302408D9" w14:textId="77777777" w:rsidR="00F82605" w:rsidRDefault="00F82605" w:rsidP="00F82605">
            <w:pPr>
              <w:spacing w:before="60" w:after="60"/>
              <w:jc w:val="left"/>
              <w:rPr>
                <w:sz w:val="20"/>
              </w:rPr>
            </w:pPr>
            <w:r w:rsidRPr="00B06CA9">
              <w:t>Supermarket refrigeration: medium</w:t>
            </w:r>
          </w:p>
        </w:tc>
      </w:tr>
      <w:tr w:rsidR="00F82605" w:rsidRPr="00923150" w14:paraId="147A4E92" w14:textId="77777777" w:rsidTr="00F82605">
        <w:trPr>
          <w:trHeight w:val="456"/>
        </w:trPr>
        <w:tc>
          <w:tcPr>
            <w:tcW w:w="851" w:type="dxa"/>
          </w:tcPr>
          <w:p w14:paraId="1086972D" w14:textId="77777777" w:rsidR="00F82605" w:rsidRDefault="00F82605" w:rsidP="00F82605">
            <w:pPr>
              <w:spacing w:before="60" w:after="60"/>
              <w:ind w:left="284" w:hanging="284"/>
              <w:jc w:val="center"/>
              <w:rPr>
                <w:sz w:val="20"/>
              </w:rPr>
            </w:pPr>
            <w:r w:rsidRPr="00B06CA9">
              <w:t>47</w:t>
            </w:r>
          </w:p>
        </w:tc>
        <w:tc>
          <w:tcPr>
            <w:tcW w:w="850" w:type="dxa"/>
            <w:vMerge/>
          </w:tcPr>
          <w:p w14:paraId="16624170" w14:textId="77777777" w:rsidR="00F82605" w:rsidRDefault="00F82605" w:rsidP="00F82605">
            <w:pPr>
              <w:spacing w:before="60" w:after="60"/>
              <w:jc w:val="center"/>
              <w:rPr>
                <w:sz w:val="20"/>
              </w:rPr>
            </w:pPr>
          </w:p>
        </w:tc>
        <w:tc>
          <w:tcPr>
            <w:tcW w:w="1134" w:type="dxa"/>
          </w:tcPr>
          <w:p w14:paraId="52751FFB" w14:textId="77777777" w:rsidR="00F82605" w:rsidRDefault="00F82605" w:rsidP="00F82605">
            <w:pPr>
              <w:spacing w:before="60" w:after="60"/>
              <w:jc w:val="center"/>
              <w:rPr>
                <w:sz w:val="20"/>
              </w:rPr>
            </w:pPr>
            <w:r w:rsidRPr="00B06CA9">
              <w:t>RCFC3</w:t>
            </w:r>
          </w:p>
        </w:tc>
        <w:tc>
          <w:tcPr>
            <w:tcW w:w="2268" w:type="dxa"/>
          </w:tcPr>
          <w:p w14:paraId="7258C629" w14:textId="77777777" w:rsidR="00F82605" w:rsidRDefault="00F82605" w:rsidP="00F82605">
            <w:pPr>
              <w:spacing w:before="60" w:after="60"/>
              <w:jc w:val="left"/>
              <w:rPr>
                <w:sz w:val="20"/>
              </w:rPr>
            </w:pPr>
            <w:r w:rsidRPr="00B06CA9">
              <w:t>Supermarkets</w:t>
            </w:r>
          </w:p>
        </w:tc>
        <w:tc>
          <w:tcPr>
            <w:tcW w:w="1418" w:type="dxa"/>
          </w:tcPr>
          <w:p w14:paraId="52B6F4E6" w14:textId="77777777" w:rsidR="00F82605" w:rsidRDefault="00F82605" w:rsidP="00F82605">
            <w:pPr>
              <w:spacing w:before="60" w:after="60"/>
              <w:jc w:val="center"/>
              <w:rPr>
                <w:sz w:val="20"/>
              </w:rPr>
            </w:pPr>
            <w:r w:rsidRPr="00B06CA9">
              <w:t>RCFC3-3</w:t>
            </w:r>
          </w:p>
        </w:tc>
        <w:tc>
          <w:tcPr>
            <w:tcW w:w="3118" w:type="dxa"/>
          </w:tcPr>
          <w:p w14:paraId="4FDE0BDF" w14:textId="77777777" w:rsidR="00F82605" w:rsidRDefault="00F82605" w:rsidP="00F82605">
            <w:pPr>
              <w:spacing w:before="60" w:after="60"/>
              <w:jc w:val="left"/>
              <w:rPr>
                <w:sz w:val="20"/>
              </w:rPr>
            </w:pPr>
            <w:r w:rsidRPr="00B06CA9">
              <w:t>Supermarket refrigeration: large</w:t>
            </w:r>
          </w:p>
        </w:tc>
      </w:tr>
      <w:tr w:rsidR="00F82605" w:rsidRPr="00923150" w14:paraId="07A99C4C" w14:textId="77777777" w:rsidTr="00F82605">
        <w:trPr>
          <w:trHeight w:val="456"/>
        </w:trPr>
        <w:tc>
          <w:tcPr>
            <w:tcW w:w="851" w:type="dxa"/>
          </w:tcPr>
          <w:p w14:paraId="3324E160" w14:textId="77777777" w:rsidR="00F82605" w:rsidRDefault="00F82605" w:rsidP="00F82605">
            <w:pPr>
              <w:spacing w:before="60" w:after="60"/>
              <w:ind w:left="284" w:hanging="284"/>
              <w:jc w:val="center"/>
              <w:rPr>
                <w:sz w:val="20"/>
              </w:rPr>
            </w:pPr>
            <w:r w:rsidRPr="00B06CA9">
              <w:t>48</w:t>
            </w:r>
          </w:p>
        </w:tc>
        <w:tc>
          <w:tcPr>
            <w:tcW w:w="850" w:type="dxa"/>
            <w:vMerge/>
          </w:tcPr>
          <w:p w14:paraId="28E6EB68" w14:textId="77777777" w:rsidR="00F82605" w:rsidRDefault="00F82605" w:rsidP="00F82605">
            <w:pPr>
              <w:spacing w:before="60" w:after="60"/>
              <w:jc w:val="center"/>
              <w:rPr>
                <w:sz w:val="20"/>
              </w:rPr>
            </w:pPr>
          </w:p>
        </w:tc>
        <w:tc>
          <w:tcPr>
            <w:tcW w:w="1134" w:type="dxa"/>
          </w:tcPr>
          <w:p w14:paraId="3DE1ABDB" w14:textId="77777777" w:rsidR="00F82605" w:rsidRDefault="00F82605" w:rsidP="00F82605">
            <w:pPr>
              <w:spacing w:before="60" w:after="60"/>
              <w:jc w:val="center"/>
              <w:rPr>
                <w:sz w:val="20"/>
              </w:rPr>
            </w:pPr>
            <w:r w:rsidRPr="00B06CA9">
              <w:t>RCFC4</w:t>
            </w:r>
          </w:p>
        </w:tc>
        <w:tc>
          <w:tcPr>
            <w:tcW w:w="2268" w:type="dxa"/>
          </w:tcPr>
          <w:p w14:paraId="158AB772" w14:textId="77777777" w:rsidR="00F82605" w:rsidRDefault="00F82605" w:rsidP="00F82605">
            <w:pPr>
              <w:spacing w:before="60" w:after="60"/>
              <w:jc w:val="left"/>
              <w:rPr>
                <w:sz w:val="20"/>
              </w:rPr>
            </w:pPr>
            <w:r w:rsidRPr="00B06CA9">
              <w:t>Hospital refrigeration</w:t>
            </w:r>
          </w:p>
        </w:tc>
        <w:tc>
          <w:tcPr>
            <w:tcW w:w="1418" w:type="dxa"/>
          </w:tcPr>
          <w:p w14:paraId="05AC3D73" w14:textId="77777777" w:rsidR="00F82605" w:rsidRDefault="00F82605" w:rsidP="00F82605">
            <w:pPr>
              <w:spacing w:before="60" w:after="60"/>
              <w:jc w:val="center"/>
              <w:rPr>
                <w:sz w:val="20"/>
              </w:rPr>
            </w:pPr>
            <w:r w:rsidRPr="00B06CA9">
              <w:t>RCFC4</w:t>
            </w:r>
          </w:p>
        </w:tc>
        <w:tc>
          <w:tcPr>
            <w:tcW w:w="3118" w:type="dxa"/>
          </w:tcPr>
          <w:p w14:paraId="3BBE1E9F" w14:textId="77777777" w:rsidR="00F82605" w:rsidRDefault="00F82605" w:rsidP="00F82605">
            <w:pPr>
              <w:spacing w:before="60" w:after="60"/>
              <w:jc w:val="left"/>
              <w:rPr>
                <w:sz w:val="20"/>
              </w:rPr>
            </w:pPr>
            <w:r w:rsidRPr="00B06CA9">
              <w:t>Process and large kitchens</w:t>
            </w:r>
          </w:p>
        </w:tc>
      </w:tr>
      <w:tr w:rsidR="00F82605" w:rsidRPr="00923150" w14:paraId="49802A1E" w14:textId="77777777" w:rsidTr="00F82605">
        <w:trPr>
          <w:trHeight w:val="456"/>
        </w:trPr>
        <w:tc>
          <w:tcPr>
            <w:tcW w:w="851" w:type="dxa"/>
          </w:tcPr>
          <w:p w14:paraId="10DDBD9E" w14:textId="77777777" w:rsidR="00F82605" w:rsidRDefault="00F82605" w:rsidP="00F82605">
            <w:pPr>
              <w:spacing w:before="60" w:after="60"/>
              <w:ind w:left="284" w:hanging="284"/>
              <w:jc w:val="center"/>
              <w:rPr>
                <w:sz w:val="20"/>
              </w:rPr>
            </w:pPr>
            <w:r w:rsidRPr="00B06CA9">
              <w:t>49</w:t>
            </w:r>
          </w:p>
        </w:tc>
        <w:tc>
          <w:tcPr>
            <w:tcW w:w="850" w:type="dxa"/>
            <w:vMerge/>
          </w:tcPr>
          <w:p w14:paraId="25C01E1B" w14:textId="77777777" w:rsidR="00F82605" w:rsidRDefault="00F82605" w:rsidP="00F82605">
            <w:pPr>
              <w:spacing w:before="60" w:after="60"/>
              <w:jc w:val="center"/>
              <w:rPr>
                <w:sz w:val="20"/>
              </w:rPr>
            </w:pPr>
          </w:p>
        </w:tc>
        <w:tc>
          <w:tcPr>
            <w:tcW w:w="1134" w:type="dxa"/>
          </w:tcPr>
          <w:p w14:paraId="564FC521" w14:textId="77777777" w:rsidR="00F82605" w:rsidRDefault="00F82605" w:rsidP="00F82605">
            <w:pPr>
              <w:spacing w:before="60" w:after="60"/>
              <w:jc w:val="center"/>
              <w:rPr>
                <w:sz w:val="20"/>
              </w:rPr>
            </w:pPr>
            <w:r w:rsidRPr="00B06CA9">
              <w:t>RCFC5</w:t>
            </w:r>
          </w:p>
        </w:tc>
        <w:tc>
          <w:tcPr>
            <w:tcW w:w="2268" w:type="dxa"/>
          </w:tcPr>
          <w:p w14:paraId="4D4A5C3A" w14:textId="77777777" w:rsidR="00F82605" w:rsidRDefault="00F82605" w:rsidP="00F82605">
            <w:pPr>
              <w:spacing w:before="60" w:after="60"/>
              <w:jc w:val="left"/>
              <w:rPr>
                <w:sz w:val="20"/>
              </w:rPr>
            </w:pPr>
            <w:r w:rsidRPr="00B06CA9">
              <w:t>Industrial refrigeration</w:t>
            </w:r>
          </w:p>
        </w:tc>
        <w:tc>
          <w:tcPr>
            <w:tcW w:w="1418" w:type="dxa"/>
          </w:tcPr>
          <w:p w14:paraId="38C103B9" w14:textId="77777777" w:rsidR="00F82605" w:rsidRDefault="00F82605" w:rsidP="00F82605">
            <w:pPr>
              <w:spacing w:before="60" w:after="60"/>
              <w:jc w:val="center"/>
              <w:rPr>
                <w:sz w:val="20"/>
              </w:rPr>
            </w:pPr>
            <w:r w:rsidRPr="00B06CA9">
              <w:t>RCFC5-1</w:t>
            </w:r>
          </w:p>
        </w:tc>
        <w:tc>
          <w:tcPr>
            <w:tcW w:w="3118" w:type="dxa"/>
          </w:tcPr>
          <w:p w14:paraId="5FB8A433" w14:textId="77777777" w:rsidR="00F82605" w:rsidRDefault="00F82605" w:rsidP="00F82605">
            <w:pPr>
              <w:spacing w:before="60" w:after="60"/>
              <w:jc w:val="left"/>
              <w:rPr>
                <w:sz w:val="20"/>
              </w:rPr>
            </w:pPr>
            <w:r w:rsidRPr="00B06CA9">
              <w:t>Cold storage and distribution</w:t>
            </w:r>
          </w:p>
        </w:tc>
      </w:tr>
      <w:tr w:rsidR="00F82605" w14:paraId="1685D1E5" w14:textId="77777777" w:rsidTr="00F82605">
        <w:trPr>
          <w:trHeight w:val="456"/>
        </w:trPr>
        <w:tc>
          <w:tcPr>
            <w:tcW w:w="851" w:type="dxa"/>
          </w:tcPr>
          <w:p w14:paraId="54DCA8D3" w14:textId="77777777" w:rsidR="00F82605" w:rsidRDefault="00F82605" w:rsidP="00F82605">
            <w:pPr>
              <w:spacing w:before="60" w:after="60"/>
              <w:ind w:left="284" w:hanging="284"/>
              <w:jc w:val="center"/>
              <w:rPr>
                <w:sz w:val="20"/>
              </w:rPr>
            </w:pPr>
            <w:r w:rsidRPr="00B06CA9">
              <w:t>50</w:t>
            </w:r>
          </w:p>
        </w:tc>
        <w:tc>
          <w:tcPr>
            <w:tcW w:w="850" w:type="dxa"/>
            <w:vMerge/>
          </w:tcPr>
          <w:p w14:paraId="30457E05" w14:textId="77777777" w:rsidR="00F82605" w:rsidRDefault="00F82605" w:rsidP="00F82605">
            <w:pPr>
              <w:spacing w:before="60" w:after="60"/>
              <w:jc w:val="center"/>
              <w:rPr>
                <w:sz w:val="20"/>
              </w:rPr>
            </w:pPr>
          </w:p>
        </w:tc>
        <w:tc>
          <w:tcPr>
            <w:tcW w:w="1134" w:type="dxa"/>
          </w:tcPr>
          <w:p w14:paraId="750057B6" w14:textId="77777777" w:rsidR="00F82605" w:rsidRDefault="00F82605" w:rsidP="00F82605">
            <w:pPr>
              <w:spacing w:before="60" w:after="60"/>
              <w:jc w:val="center"/>
              <w:rPr>
                <w:sz w:val="20"/>
              </w:rPr>
            </w:pPr>
            <w:r w:rsidRPr="00B06CA9">
              <w:t>RCFC5</w:t>
            </w:r>
          </w:p>
        </w:tc>
        <w:tc>
          <w:tcPr>
            <w:tcW w:w="2268" w:type="dxa"/>
          </w:tcPr>
          <w:p w14:paraId="2931CF6A" w14:textId="77777777" w:rsidR="00F82605" w:rsidRDefault="00F82605" w:rsidP="00F82605">
            <w:pPr>
              <w:spacing w:before="60" w:after="60"/>
              <w:jc w:val="left"/>
              <w:rPr>
                <w:sz w:val="20"/>
              </w:rPr>
            </w:pPr>
            <w:r w:rsidRPr="00B06CA9">
              <w:t>Industrial refrigeration</w:t>
            </w:r>
          </w:p>
        </w:tc>
        <w:tc>
          <w:tcPr>
            <w:tcW w:w="1418" w:type="dxa"/>
          </w:tcPr>
          <w:p w14:paraId="76EED75E" w14:textId="77777777" w:rsidR="00F82605" w:rsidRDefault="00F82605" w:rsidP="00F82605">
            <w:pPr>
              <w:spacing w:before="60" w:after="60"/>
              <w:jc w:val="center"/>
              <w:rPr>
                <w:sz w:val="20"/>
              </w:rPr>
            </w:pPr>
            <w:r w:rsidRPr="00B06CA9">
              <w:t>RCFC5-2</w:t>
            </w:r>
          </w:p>
        </w:tc>
        <w:tc>
          <w:tcPr>
            <w:tcW w:w="3118" w:type="dxa"/>
          </w:tcPr>
          <w:p w14:paraId="43C92463" w14:textId="77777777" w:rsidR="00F82605" w:rsidRDefault="00F82605" w:rsidP="00F82605">
            <w:pPr>
              <w:spacing w:before="60" w:after="60"/>
              <w:jc w:val="left"/>
              <w:rPr>
                <w:sz w:val="20"/>
              </w:rPr>
            </w:pPr>
            <w:r w:rsidRPr="00B06CA9">
              <w:t>Process chilling</w:t>
            </w:r>
          </w:p>
        </w:tc>
      </w:tr>
    </w:tbl>
    <w:p w14:paraId="421BFC49" w14:textId="5756338E" w:rsidR="0010504F" w:rsidRDefault="008E5EFC" w:rsidP="00F153C3">
      <w:pPr>
        <w:spacing w:before="240"/>
        <w:rPr>
          <w:szCs w:val="22"/>
        </w:rPr>
      </w:pPr>
      <w:r w:rsidRPr="008E5EFC">
        <w:rPr>
          <w:szCs w:val="22"/>
        </w:rPr>
        <w:t>The disproportionate level of bulk gas consumption, compared to the portion of the working bank employed in this class is to some extent because of the nature of the task. Machinery in the cold food chain</w:t>
      </w:r>
      <w:r w:rsidR="0010504F">
        <w:rPr>
          <w:szCs w:val="22"/>
        </w:rPr>
        <w:t xml:space="preserve"> is</w:t>
      </w:r>
      <w:r w:rsidRPr="008E5EFC">
        <w:rPr>
          <w:szCs w:val="22"/>
        </w:rPr>
        <w:t xml:space="preserve"> generally very hard working and operates the majority of hours of the day, if not 24 hours a day</w:t>
      </w:r>
      <w:r w:rsidR="0010504F">
        <w:rPr>
          <w:szCs w:val="22"/>
        </w:rPr>
        <w:t xml:space="preserve">.  Generally </w:t>
      </w:r>
      <w:r w:rsidRPr="008E5EFC">
        <w:rPr>
          <w:szCs w:val="22"/>
        </w:rPr>
        <w:t xml:space="preserve">much lower temperatures need to be attained and maintained than in any air conditioning applications.  </w:t>
      </w:r>
    </w:p>
    <w:p w14:paraId="2BD401EA" w14:textId="78B24851" w:rsidR="008E5EFC" w:rsidRPr="008E5EFC" w:rsidRDefault="0010504F" w:rsidP="008E5EFC">
      <w:pPr>
        <w:rPr>
          <w:szCs w:val="22"/>
        </w:rPr>
      </w:pPr>
      <w:r>
        <w:rPr>
          <w:szCs w:val="22"/>
        </w:rPr>
        <w:t>T</w:t>
      </w:r>
      <w:r w:rsidR="008E5EFC" w:rsidRPr="008E5EFC">
        <w:rPr>
          <w:szCs w:val="22"/>
        </w:rPr>
        <w:t>he industry does acknowledge that leak rates are high in this sector of the industry and a renewed focus on gas containment</w:t>
      </w:r>
      <w:r>
        <w:rPr>
          <w:szCs w:val="22"/>
        </w:rPr>
        <w:t>,</w:t>
      </w:r>
      <w:r w:rsidR="008E5EFC" w:rsidRPr="008E5EFC">
        <w:rPr>
          <w:szCs w:val="22"/>
        </w:rPr>
        <w:t xml:space="preserve"> </w:t>
      </w:r>
      <w:r w:rsidR="00C5432A">
        <w:rPr>
          <w:szCs w:val="22"/>
        </w:rPr>
        <w:t>l</w:t>
      </w:r>
      <w:r w:rsidR="008E5EFC" w:rsidRPr="008E5EFC">
        <w:rPr>
          <w:szCs w:val="22"/>
        </w:rPr>
        <w:t>eak detection and prevention is sweeping through some parts of the sector.</w:t>
      </w:r>
    </w:p>
    <w:p w14:paraId="7F5A3689" w14:textId="4E5605E2" w:rsidR="008E5EFC" w:rsidRPr="008E5EFC" w:rsidRDefault="008E5EFC" w:rsidP="008E5EFC">
      <w:pPr>
        <w:rPr>
          <w:szCs w:val="22"/>
        </w:rPr>
      </w:pPr>
      <w:r w:rsidRPr="008E5EFC">
        <w:rPr>
          <w:szCs w:val="22"/>
        </w:rPr>
        <w:t>While being one of the smaller classes in terms of the portion of the bank employed, and being the smallest in terms of the stock of equipment, the refrigerated cold food chain is thought to be the largest source of employment in the sector, including the people employed in the refrigerated transport task.</w:t>
      </w:r>
    </w:p>
    <w:p w14:paraId="3407FF3E" w14:textId="47453F6F" w:rsidR="00D4326E" w:rsidRDefault="008E5EFC" w:rsidP="008E5EFC">
      <w:pPr>
        <w:rPr>
          <w:szCs w:val="22"/>
          <w:highlight w:val="yellow"/>
        </w:rPr>
      </w:pPr>
      <w:r w:rsidRPr="008E5EFC">
        <w:rPr>
          <w:szCs w:val="22"/>
        </w:rPr>
        <w:t xml:space="preserve">Stocks of the various product categories in this extensive class of equipment are listed in </w:t>
      </w:r>
      <w:r w:rsidRPr="008E5EFC">
        <w:rPr>
          <w:i/>
          <w:szCs w:val="22"/>
        </w:rPr>
        <w:t>Table 12</w:t>
      </w:r>
      <w:r>
        <w:rPr>
          <w:szCs w:val="22"/>
        </w:rPr>
        <w:t>.</w:t>
      </w:r>
    </w:p>
    <w:p w14:paraId="2C94C9DA" w14:textId="77777777" w:rsidR="00F82605" w:rsidRDefault="00F82605" w:rsidP="00F82605"/>
    <w:p w14:paraId="7585D09C" w14:textId="77DFDE8C" w:rsidR="00F104B7" w:rsidRPr="00D16B26" w:rsidRDefault="00F104B7" w:rsidP="00F104B7">
      <w:pPr>
        <w:rPr>
          <w:i/>
          <w:szCs w:val="22"/>
        </w:rPr>
      </w:pPr>
      <w:bookmarkStart w:id="25" w:name="_Toc233084056"/>
      <w:r w:rsidRPr="00D16B26">
        <w:rPr>
          <w:i/>
          <w:szCs w:val="22"/>
        </w:rPr>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12</w:t>
      </w:r>
      <w:r w:rsidRPr="00D16B26">
        <w:rPr>
          <w:i/>
          <w:szCs w:val="22"/>
        </w:rPr>
        <w:fldChar w:fldCharType="end"/>
      </w:r>
      <w:r w:rsidRPr="00D16B26">
        <w:rPr>
          <w:i/>
          <w:szCs w:val="22"/>
        </w:rPr>
        <w:t xml:space="preserve">: </w:t>
      </w:r>
      <w:r w:rsidR="00B948FC">
        <w:rPr>
          <w:i/>
          <w:szCs w:val="22"/>
        </w:rPr>
        <w:t>Refrigerated cold food chain</w:t>
      </w:r>
      <w:r w:rsidRPr="0043456E">
        <w:rPr>
          <w:i/>
          <w:szCs w:val="22"/>
        </w:rPr>
        <w:t xml:space="preserve"> by </w:t>
      </w:r>
      <w:r>
        <w:rPr>
          <w:i/>
          <w:szCs w:val="22"/>
        </w:rPr>
        <w:t>c</w:t>
      </w:r>
      <w:r w:rsidRPr="0043456E">
        <w:rPr>
          <w:i/>
          <w:szCs w:val="22"/>
        </w:rPr>
        <w:t>ategory and stock numbers</w:t>
      </w:r>
      <w:bookmarkEnd w:id="25"/>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410"/>
        <w:gridCol w:w="3969"/>
        <w:gridCol w:w="1984"/>
      </w:tblGrid>
      <w:tr w:rsidR="00F104B7" w:rsidRPr="00923150" w14:paraId="1225C393" w14:textId="77777777" w:rsidTr="004F4D00">
        <w:trPr>
          <w:trHeight w:val="456"/>
        </w:trPr>
        <w:tc>
          <w:tcPr>
            <w:tcW w:w="1276" w:type="dxa"/>
            <w:tcBorders>
              <w:top w:val="single" w:sz="4" w:space="0" w:color="000000"/>
              <w:right w:val="single" w:sz="4" w:space="0" w:color="FFFFFF" w:themeColor="background1"/>
            </w:tcBorders>
            <w:shd w:val="clear" w:color="auto" w:fill="000000"/>
            <w:vAlign w:val="center"/>
          </w:tcPr>
          <w:p w14:paraId="29A0E2DD" w14:textId="77777777" w:rsidR="00F104B7" w:rsidRPr="003E19E1" w:rsidRDefault="00F104B7" w:rsidP="000B7E5E">
            <w:pPr>
              <w:spacing w:before="60" w:after="60"/>
              <w:jc w:val="left"/>
            </w:pPr>
            <w:r w:rsidRPr="003E19E1">
              <w:t>Category code</w:t>
            </w:r>
          </w:p>
        </w:tc>
        <w:tc>
          <w:tcPr>
            <w:tcW w:w="2410"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1C2C0B3C" w14:textId="77777777" w:rsidR="00F104B7" w:rsidRPr="003E19E1" w:rsidRDefault="00F104B7" w:rsidP="000B7E5E">
            <w:pPr>
              <w:spacing w:before="60" w:after="60"/>
              <w:jc w:val="left"/>
            </w:pPr>
            <w:r w:rsidRPr="003E19E1">
              <w:t>Segment</w:t>
            </w:r>
          </w:p>
        </w:tc>
        <w:tc>
          <w:tcPr>
            <w:tcW w:w="3969"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60B7B331" w14:textId="77777777" w:rsidR="00F104B7" w:rsidRPr="003E19E1" w:rsidRDefault="00F104B7" w:rsidP="000B7E5E">
            <w:pPr>
              <w:spacing w:before="60" w:after="60"/>
              <w:jc w:val="left"/>
            </w:pPr>
            <w:r w:rsidRPr="003E19E1">
              <w:t>Product category</w:t>
            </w:r>
          </w:p>
        </w:tc>
        <w:tc>
          <w:tcPr>
            <w:tcW w:w="1984" w:type="dxa"/>
            <w:tcBorders>
              <w:top w:val="single" w:sz="4" w:space="0" w:color="000000"/>
              <w:left w:val="single" w:sz="4" w:space="0" w:color="FFFFFF" w:themeColor="background1"/>
            </w:tcBorders>
            <w:shd w:val="clear" w:color="auto" w:fill="000000"/>
            <w:vAlign w:val="center"/>
          </w:tcPr>
          <w:p w14:paraId="02625A10" w14:textId="77777777" w:rsidR="00F104B7" w:rsidRPr="003F2CDC" w:rsidRDefault="00F104B7" w:rsidP="000B7E5E">
            <w:pPr>
              <w:spacing w:before="60" w:after="60"/>
              <w:jc w:val="center"/>
            </w:pPr>
            <w:r w:rsidRPr="003E19E1">
              <w:t>Total (units)</w:t>
            </w:r>
          </w:p>
        </w:tc>
      </w:tr>
      <w:tr w:rsidR="006A572B" w:rsidRPr="00923150" w14:paraId="354EC379" w14:textId="77777777" w:rsidTr="006A572B">
        <w:trPr>
          <w:trHeight w:val="456"/>
        </w:trPr>
        <w:tc>
          <w:tcPr>
            <w:tcW w:w="1276" w:type="dxa"/>
            <w:tcBorders>
              <w:top w:val="single" w:sz="4" w:space="0" w:color="000000"/>
            </w:tcBorders>
            <w:vAlign w:val="center"/>
          </w:tcPr>
          <w:p w14:paraId="4DCC94E1" w14:textId="76B1A184" w:rsidR="006A572B" w:rsidRDefault="006A572B" w:rsidP="000B7E5E">
            <w:pPr>
              <w:spacing w:before="60" w:after="60"/>
              <w:jc w:val="left"/>
              <w:rPr>
                <w:sz w:val="20"/>
              </w:rPr>
            </w:pPr>
            <w:r w:rsidRPr="0046640E">
              <w:t>RCFC1-1</w:t>
            </w:r>
          </w:p>
        </w:tc>
        <w:tc>
          <w:tcPr>
            <w:tcW w:w="2410" w:type="dxa"/>
            <w:tcBorders>
              <w:top w:val="single" w:sz="4" w:space="0" w:color="000000"/>
            </w:tcBorders>
            <w:vAlign w:val="center"/>
          </w:tcPr>
          <w:p w14:paraId="3C78483E" w14:textId="2E29C7D3" w:rsidR="006A572B" w:rsidRDefault="006A572B" w:rsidP="000B7E5E">
            <w:pPr>
              <w:spacing w:before="60" w:after="60"/>
              <w:jc w:val="left"/>
              <w:rPr>
                <w:sz w:val="20"/>
              </w:rPr>
            </w:pPr>
            <w:r w:rsidRPr="006B66F0">
              <w:t>Unitary equipment</w:t>
            </w:r>
          </w:p>
        </w:tc>
        <w:tc>
          <w:tcPr>
            <w:tcW w:w="3969" w:type="dxa"/>
            <w:tcBorders>
              <w:top w:val="single" w:sz="4" w:space="0" w:color="000000"/>
            </w:tcBorders>
            <w:vAlign w:val="center"/>
          </w:tcPr>
          <w:p w14:paraId="6D783774" w14:textId="72B4782A" w:rsidR="006A572B" w:rsidRPr="008343EF" w:rsidRDefault="006A572B" w:rsidP="000B7E5E">
            <w:pPr>
              <w:spacing w:before="60" w:after="60"/>
              <w:jc w:val="left"/>
              <w:rPr>
                <w:sz w:val="20"/>
              </w:rPr>
            </w:pPr>
            <w:r w:rsidRPr="00C14F9F">
              <w:t>Refrigeration cabinets</w:t>
            </w:r>
          </w:p>
        </w:tc>
        <w:tc>
          <w:tcPr>
            <w:tcW w:w="1984" w:type="dxa"/>
            <w:tcBorders>
              <w:top w:val="single" w:sz="4" w:space="0" w:color="000000"/>
            </w:tcBorders>
            <w:vAlign w:val="center"/>
          </w:tcPr>
          <w:p w14:paraId="37F4618A" w14:textId="701F50D7" w:rsidR="006A572B" w:rsidRPr="00923150" w:rsidRDefault="006A572B" w:rsidP="000B7E5E">
            <w:pPr>
              <w:spacing w:before="60" w:after="60"/>
              <w:jc w:val="center"/>
              <w:rPr>
                <w:sz w:val="20"/>
              </w:rPr>
            </w:pPr>
            <w:r w:rsidRPr="00B13F30">
              <w:t>447,000</w:t>
            </w:r>
          </w:p>
        </w:tc>
      </w:tr>
      <w:tr w:rsidR="006A572B" w:rsidRPr="00923150" w14:paraId="022FF166" w14:textId="77777777" w:rsidTr="006A572B">
        <w:trPr>
          <w:trHeight w:val="456"/>
        </w:trPr>
        <w:tc>
          <w:tcPr>
            <w:tcW w:w="1276" w:type="dxa"/>
            <w:tcBorders>
              <w:top w:val="single" w:sz="4" w:space="0" w:color="000000"/>
            </w:tcBorders>
            <w:vAlign w:val="center"/>
          </w:tcPr>
          <w:p w14:paraId="29ADD8B8" w14:textId="2AEB94F6" w:rsidR="006A572B" w:rsidRDefault="006A572B" w:rsidP="000B7E5E">
            <w:pPr>
              <w:spacing w:before="60" w:after="60"/>
              <w:jc w:val="left"/>
              <w:rPr>
                <w:sz w:val="20"/>
              </w:rPr>
            </w:pPr>
            <w:r w:rsidRPr="0046640E">
              <w:t>RCFC1-2</w:t>
            </w:r>
          </w:p>
        </w:tc>
        <w:tc>
          <w:tcPr>
            <w:tcW w:w="2410" w:type="dxa"/>
            <w:tcBorders>
              <w:top w:val="single" w:sz="4" w:space="0" w:color="000000"/>
            </w:tcBorders>
            <w:vAlign w:val="center"/>
          </w:tcPr>
          <w:p w14:paraId="0D5FC391" w14:textId="1FD0387D" w:rsidR="006A572B" w:rsidRDefault="006A572B" w:rsidP="000B7E5E">
            <w:pPr>
              <w:spacing w:before="60" w:after="60"/>
              <w:jc w:val="left"/>
              <w:rPr>
                <w:sz w:val="20"/>
              </w:rPr>
            </w:pPr>
            <w:r w:rsidRPr="006B66F0">
              <w:t>Unitary equipment</w:t>
            </w:r>
          </w:p>
        </w:tc>
        <w:tc>
          <w:tcPr>
            <w:tcW w:w="3969" w:type="dxa"/>
            <w:tcBorders>
              <w:top w:val="single" w:sz="4" w:space="0" w:color="000000"/>
            </w:tcBorders>
            <w:vAlign w:val="center"/>
          </w:tcPr>
          <w:p w14:paraId="2DDE5869" w14:textId="1EB303E6" w:rsidR="006A572B" w:rsidRPr="008343EF" w:rsidRDefault="006A572B" w:rsidP="000B7E5E">
            <w:pPr>
              <w:spacing w:before="60" w:after="60"/>
              <w:jc w:val="left"/>
              <w:rPr>
                <w:sz w:val="20"/>
              </w:rPr>
            </w:pPr>
            <w:r w:rsidRPr="00C14F9F">
              <w:t>Refrigeration beverage vending machines</w:t>
            </w:r>
          </w:p>
        </w:tc>
        <w:tc>
          <w:tcPr>
            <w:tcW w:w="1984" w:type="dxa"/>
            <w:tcBorders>
              <w:top w:val="single" w:sz="4" w:space="0" w:color="000000"/>
            </w:tcBorders>
            <w:vAlign w:val="center"/>
          </w:tcPr>
          <w:p w14:paraId="45F2799A" w14:textId="07C3AD24" w:rsidR="006A572B" w:rsidRPr="00923150" w:rsidRDefault="006A572B" w:rsidP="000B7E5E">
            <w:pPr>
              <w:spacing w:before="60" w:after="60"/>
              <w:jc w:val="center"/>
              <w:rPr>
                <w:sz w:val="20"/>
              </w:rPr>
            </w:pPr>
            <w:r w:rsidRPr="00B13F30">
              <w:t>134,000</w:t>
            </w:r>
          </w:p>
        </w:tc>
      </w:tr>
      <w:tr w:rsidR="006A572B" w:rsidRPr="00923150" w14:paraId="3EDDC1D2" w14:textId="77777777" w:rsidTr="006A572B">
        <w:trPr>
          <w:trHeight w:val="456"/>
        </w:trPr>
        <w:tc>
          <w:tcPr>
            <w:tcW w:w="1276" w:type="dxa"/>
            <w:tcBorders>
              <w:top w:val="single" w:sz="4" w:space="0" w:color="000000"/>
            </w:tcBorders>
            <w:vAlign w:val="center"/>
          </w:tcPr>
          <w:p w14:paraId="1DB4B328" w14:textId="2ABE7656" w:rsidR="006A572B" w:rsidRPr="00481C6A" w:rsidRDefault="006A572B" w:rsidP="000B7E5E">
            <w:pPr>
              <w:spacing w:before="60" w:after="60"/>
              <w:jc w:val="left"/>
            </w:pPr>
            <w:r w:rsidRPr="0046640E">
              <w:t>RCFC1-3</w:t>
            </w:r>
          </w:p>
        </w:tc>
        <w:tc>
          <w:tcPr>
            <w:tcW w:w="2410" w:type="dxa"/>
            <w:tcBorders>
              <w:top w:val="single" w:sz="4" w:space="0" w:color="000000"/>
            </w:tcBorders>
            <w:vAlign w:val="center"/>
          </w:tcPr>
          <w:p w14:paraId="3849CE23" w14:textId="1213CFBB" w:rsidR="006A572B" w:rsidRPr="007A225B" w:rsidRDefault="006A572B" w:rsidP="000B7E5E">
            <w:pPr>
              <w:spacing w:before="60" w:after="60"/>
              <w:jc w:val="left"/>
            </w:pPr>
            <w:r w:rsidRPr="006B66F0">
              <w:t>Unitary equipment</w:t>
            </w:r>
          </w:p>
        </w:tc>
        <w:tc>
          <w:tcPr>
            <w:tcW w:w="3969" w:type="dxa"/>
            <w:tcBorders>
              <w:top w:val="single" w:sz="4" w:space="0" w:color="000000"/>
            </w:tcBorders>
            <w:vAlign w:val="center"/>
          </w:tcPr>
          <w:p w14:paraId="0275EEEF" w14:textId="54A96206" w:rsidR="006A572B" w:rsidRPr="00D22FDF" w:rsidRDefault="006A572B" w:rsidP="000B7E5E">
            <w:pPr>
              <w:spacing w:before="60" w:after="60"/>
              <w:jc w:val="left"/>
            </w:pPr>
            <w:r w:rsidRPr="00C14F9F">
              <w:t>Ice makers</w:t>
            </w:r>
          </w:p>
        </w:tc>
        <w:tc>
          <w:tcPr>
            <w:tcW w:w="1984" w:type="dxa"/>
            <w:tcBorders>
              <w:top w:val="single" w:sz="4" w:space="0" w:color="000000"/>
            </w:tcBorders>
            <w:vAlign w:val="center"/>
          </w:tcPr>
          <w:p w14:paraId="015BEE9E" w14:textId="44611215" w:rsidR="006A572B" w:rsidRPr="00F515AE" w:rsidRDefault="006A572B" w:rsidP="000B7E5E">
            <w:pPr>
              <w:spacing w:before="60" w:after="60"/>
              <w:jc w:val="center"/>
            </w:pPr>
            <w:r w:rsidRPr="00B13F30">
              <w:t>66,000</w:t>
            </w:r>
          </w:p>
        </w:tc>
      </w:tr>
      <w:tr w:rsidR="006A572B" w:rsidRPr="00923150" w14:paraId="7E89965A" w14:textId="77777777" w:rsidTr="006A572B">
        <w:trPr>
          <w:trHeight w:val="456"/>
        </w:trPr>
        <w:tc>
          <w:tcPr>
            <w:tcW w:w="1276" w:type="dxa"/>
            <w:tcBorders>
              <w:top w:val="single" w:sz="4" w:space="0" w:color="000000"/>
            </w:tcBorders>
            <w:vAlign w:val="center"/>
          </w:tcPr>
          <w:p w14:paraId="6865B2DF" w14:textId="67CE9A54" w:rsidR="006A572B" w:rsidRPr="00481C6A" w:rsidRDefault="006A572B" w:rsidP="000B7E5E">
            <w:pPr>
              <w:spacing w:before="60" w:after="60"/>
              <w:jc w:val="left"/>
            </w:pPr>
            <w:r w:rsidRPr="0046640E">
              <w:t>RCFC1-4</w:t>
            </w:r>
          </w:p>
        </w:tc>
        <w:tc>
          <w:tcPr>
            <w:tcW w:w="2410" w:type="dxa"/>
            <w:tcBorders>
              <w:top w:val="single" w:sz="4" w:space="0" w:color="000000"/>
            </w:tcBorders>
            <w:vAlign w:val="center"/>
          </w:tcPr>
          <w:p w14:paraId="208C0C99" w14:textId="1D14F4E1" w:rsidR="006A572B" w:rsidRPr="007A225B" w:rsidRDefault="006A572B" w:rsidP="000B7E5E">
            <w:pPr>
              <w:spacing w:before="60" w:after="60"/>
              <w:jc w:val="left"/>
            </w:pPr>
            <w:r w:rsidRPr="006B66F0">
              <w:t>Unitary equipment</w:t>
            </w:r>
          </w:p>
        </w:tc>
        <w:tc>
          <w:tcPr>
            <w:tcW w:w="3969" w:type="dxa"/>
            <w:tcBorders>
              <w:top w:val="single" w:sz="4" w:space="0" w:color="000000"/>
            </w:tcBorders>
            <w:vAlign w:val="center"/>
          </w:tcPr>
          <w:p w14:paraId="37CC1F87" w14:textId="0122675C" w:rsidR="006A572B" w:rsidRPr="00D22FDF" w:rsidRDefault="006A572B" w:rsidP="000B7E5E">
            <w:pPr>
              <w:spacing w:before="60" w:after="60"/>
              <w:jc w:val="left"/>
            </w:pPr>
            <w:r w:rsidRPr="00C14F9F">
              <w:t>Walk-in coolrooms: small</w:t>
            </w:r>
          </w:p>
        </w:tc>
        <w:tc>
          <w:tcPr>
            <w:tcW w:w="1984" w:type="dxa"/>
            <w:tcBorders>
              <w:top w:val="single" w:sz="4" w:space="0" w:color="000000"/>
            </w:tcBorders>
            <w:vAlign w:val="center"/>
          </w:tcPr>
          <w:p w14:paraId="2CE23EA2" w14:textId="19A282C0" w:rsidR="006A572B" w:rsidRPr="00F515AE" w:rsidRDefault="006A572B" w:rsidP="000B7E5E">
            <w:pPr>
              <w:spacing w:before="60" w:after="60"/>
              <w:jc w:val="center"/>
            </w:pPr>
            <w:r w:rsidRPr="00B13F30">
              <w:t>65,700</w:t>
            </w:r>
          </w:p>
        </w:tc>
      </w:tr>
      <w:tr w:rsidR="006A572B" w:rsidRPr="00923150" w14:paraId="60442D94" w14:textId="77777777" w:rsidTr="006A572B">
        <w:trPr>
          <w:trHeight w:val="456"/>
        </w:trPr>
        <w:tc>
          <w:tcPr>
            <w:tcW w:w="1276" w:type="dxa"/>
            <w:tcBorders>
              <w:top w:val="single" w:sz="4" w:space="0" w:color="000000"/>
            </w:tcBorders>
            <w:vAlign w:val="center"/>
          </w:tcPr>
          <w:p w14:paraId="2092C97A" w14:textId="7C038797" w:rsidR="006A572B" w:rsidRPr="00481C6A" w:rsidRDefault="006A572B" w:rsidP="000B7E5E">
            <w:pPr>
              <w:spacing w:before="60" w:after="60"/>
              <w:jc w:val="left"/>
            </w:pPr>
            <w:r w:rsidRPr="0046640E">
              <w:t>RCFC1-5</w:t>
            </w:r>
          </w:p>
        </w:tc>
        <w:tc>
          <w:tcPr>
            <w:tcW w:w="2410" w:type="dxa"/>
            <w:tcBorders>
              <w:top w:val="single" w:sz="4" w:space="0" w:color="000000"/>
            </w:tcBorders>
            <w:vAlign w:val="center"/>
          </w:tcPr>
          <w:p w14:paraId="3A4817A6" w14:textId="48031B34" w:rsidR="006A572B" w:rsidRPr="007A225B" w:rsidRDefault="006A572B" w:rsidP="000B7E5E">
            <w:pPr>
              <w:spacing w:before="60" w:after="60"/>
              <w:jc w:val="left"/>
            </w:pPr>
            <w:r w:rsidRPr="006B66F0">
              <w:t>Unitary equipment</w:t>
            </w:r>
          </w:p>
        </w:tc>
        <w:tc>
          <w:tcPr>
            <w:tcW w:w="3969" w:type="dxa"/>
            <w:tcBorders>
              <w:top w:val="single" w:sz="4" w:space="0" w:color="000000"/>
            </w:tcBorders>
            <w:vAlign w:val="center"/>
          </w:tcPr>
          <w:p w14:paraId="7AC01C55" w14:textId="1FE3EC78" w:rsidR="006A572B" w:rsidRPr="00D22FDF" w:rsidRDefault="006A572B" w:rsidP="000B7E5E">
            <w:pPr>
              <w:spacing w:before="60" w:after="60"/>
              <w:jc w:val="left"/>
            </w:pPr>
            <w:r w:rsidRPr="00C14F9F">
              <w:t>Walk-in coolrooms: medium</w:t>
            </w:r>
          </w:p>
        </w:tc>
        <w:tc>
          <w:tcPr>
            <w:tcW w:w="1984" w:type="dxa"/>
            <w:tcBorders>
              <w:top w:val="single" w:sz="4" w:space="0" w:color="000000"/>
            </w:tcBorders>
            <w:vAlign w:val="center"/>
          </w:tcPr>
          <w:p w14:paraId="370BF1B3" w14:textId="3A3E4347" w:rsidR="006A572B" w:rsidRPr="00F515AE" w:rsidRDefault="006A572B" w:rsidP="000B7E5E">
            <w:pPr>
              <w:spacing w:before="60" w:after="60"/>
              <w:jc w:val="center"/>
            </w:pPr>
            <w:r w:rsidRPr="00B13F30">
              <w:t>20,200</w:t>
            </w:r>
          </w:p>
        </w:tc>
      </w:tr>
      <w:tr w:rsidR="006A572B" w:rsidRPr="00923150" w14:paraId="5944958D" w14:textId="77777777" w:rsidTr="006A572B">
        <w:trPr>
          <w:trHeight w:val="456"/>
        </w:trPr>
        <w:tc>
          <w:tcPr>
            <w:tcW w:w="1276" w:type="dxa"/>
            <w:tcBorders>
              <w:top w:val="single" w:sz="4" w:space="0" w:color="000000"/>
            </w:tcBorders>
            <w:vAlign w:val="center"/>
          </w:tcPr>
          <w:p w14:paraId="497D7E7A" w14:textId="2E75AE75" w:rsidR="006A572B" w:rsidRPr="00481C6A" w:rsidRDefault="006A572B" w:rsidP="000B7E5E">
            <w:pPr>
              <w:spacing w:before="60" w:after="60"/>
              <w:jc w:val="left"/>
            </w:pPr>
            <w:r w:rsidRPr="0046640E">
              <w:t>RCFC1-6</w:t>
            </w:r>
          </w:p>
        </w:tc>
        <w:tc>
          <w:tcPr>
            <w:tcW w:w="2410" w:type="dxa"/>
            <w:tcBorders>
              <w:top w:val="single" w:sz="4" w:space="0" w:color="000000"/>
            </w:tcBorders>
            <w:vAlign w:val="center"/>
          </w:tcPr>
          <w:p w14:paraId="6E69DB0A" w14:textId="3A376DF6" w:rsidR="006A572B" w:rsidRPr="007A225B" w:rsidRDefault="006A572B" w:rsidP="000B7E5E">
            <w:pPr>
              <w:spacing w:before="60" w:after="60"/>
              <w:jc w:val="left"/>
            </w:pPr>
            <w:r w:rsidRPr="006B66F0">
              <w:t>Unitary equipment</w:t>
            </w:r>
          </w:p>
        </w:tc>
        <w:tc>
          <w:tcPr>
            <w:tcW w:w="3969" w:type="dxa"/>
            <w:tcBorders>
              <w:top w:val="single" w:sz="4" w:space="0" w:color="000000"/>
            </w:tcBorders>
            <w:vAlign w:val="center"/>
          </w:tcPr>
          <w:p w14:paraId="6E04FDE6" w14:textId="05F38C58" w:rsidR="006A572B" w:rsidRPr="00D22FDF" w:rsidRDefault="006A572B" w:rsidP="000B7E5E">
            <w:pPr>
              <w:spacing w:before="60" w:after="60"/>
              <w:jc w:val="left"/>
            </w:pPr>
            <w:r w:rsidRPr="00C14F9F">
              <w:t>Walk-in coolrooms: large</w:t>
            </w:r>
          </w:p>
        </w:tc>
        <w:tc>
          <w:tcPr>
            <w:tcW w:w="1984" w:type="dxa"/>
            <w:tcBorders>
              <w:top w:val="single" w:sz="4" w:space="0" w:color="000000"/>
            </w:tcBorders>
            <w:vAlign w:val="center"/>
          </w:tcPr>
          <w:p w14:paraId="508D56B7" w14:textId="1C61B5E0" w:rsidR="006A572B" w:rsidRPr="00F515AE" w:rsidRDefault="006A572B" w:rsidP="000B7E5E">
            <w:pPr>
              <w:spacing w:before="60" w:after="60"/>
              <w:jc w:val="center"/>
            </w:pPr>
            <w:r w:rsidRPr="00B13F30">
              <w:t>12,200</w:t>
            </w:r>
          </w:p>
        </w:tc>
      </w:tr>
      <w:tr w:rsidR="006A572B" w:rsidRPr="00923150" w14:paraId="7923674B" w14:textId="77777777" w:rsidTr="006A572B">
        <w:trPr>
          <w:trHeight w:val="456"/>
        </w:trPr>
        <w:tc>
          <w:tcPr>
            <w:tcW w:w="1276" w:type="dxa"/>
            <w:tcBorders>
              <w:top w:val="single" w:sz="4" w:space="0" w:color="000000"/>
            </w:tcBorders>
            <w:vAlign w:val="center"/>
          </w:tcPr>
          <w:p w14:paraId="24B2FD87" w14:textId="73B2890E" w:rsidR="006A572B" w:rsidRPr="00481C6A" w:rsidRDefault="006A572B" w:rsidP="000B7E5E">
            <w:pPr>
              <w:spacing w:before="60" w:after="60"/>
              <w:jc w:val="left"/>
            </w:pPr>
            <w:r w:rsidRPr="0046640E">
              <w:lastRenderedPageBreak/>
              <w:t>RCFC1-7</w:t>
            </w:r>
          </w:p>
        </w:tc>
        <w:tc>
          <w:tcPr>
            <w:tcW w:w="2410" w:type="dxa"/>
            <w:tcBorders>
              <w:top w:val="single" w:sz="4" w:space="0" w:color="000000"/>
            </w:tcBorders>
            <w:vAlign w:val="center"/>
          </w:tcPr>
          <w:p w14:paraId="01B4DA25" w14:textId="7B82488F" w:rsidR="006A572B" w:rsidRPr="007A225B" w:rsidRDefault="006A572B" w:rsidP="000B7E5E">
            <w:pPr>
              <w:spacing w:before="60" w:after="60"/>
              <w:jc w:val="left"/>
            </w:pPr>
            <w:r w:rsidRPr="006B66F0">
              <w:t>Unitary equipment</w:t>
            </w:r>
          </w:p>
        </w:tc>
        <w:tc>
          <w:tcPr>
            <w:tcW w:w="3969" w:type="dxa"/>
            <w:tcBorders>
              <w:top w:val="single" w:sz="4" w:space="0" w:color="000000"/>
            </w:tcBorders>
            <w:vAlign w:val="center"/>
          </w:tcPr>
          <w:p w14:paraId="12217677" w14:textId="6B5BB54A" w:rsidR="006A572B" w:rsidRPr="00D22FDF" w:rsidRDefault="006A572B" w:rsidP="000B7E5E">
            <w:pPr>
              <w:spacing w:before="60" w:after="60"/>
              <w:jc w:val="left"/>
            </w:pPr>
            <w:r w:rsidRPr="00C14F9F">
              <w:t>Beverage cooling (post mix)</w:t>
            </w:r>
          </w:p>
        </w:tc>
        <w:tc>
          <w:tcPr>
            <w:tcW w:w="1984" w:type="dxa"/>
            <w:tcBorders>
              <w:top w:val="single" w:sz="4" w:space="0" w:color="000000"/>
            </w:tcBorders>
            <w:vAlign w:val="center"/>
          </w:tcPr>
          <w:p w14:paraId="28CA6F7A" w14:textId="4FAB9686" w:rsidR="006A572B" w:rsidRPr="00F515AE" w:rsidRDefault="006A572B" w:rsidP="000B7E5E">
            <w:pPr>
              <w:spacing w:before="60" w:after="60"/>
              <w:jc w:val="center"/>
            </w:pPr>
            <w:r w:rsidRPr="00B13F30">
              <w:t>37,000</w:t>
            </w:r>
          </w:p>
        </w:tc>
      </w:tr>
      <w:tr w:rsidR="006A572B" w:rsidRPr="00923150" w14:paraId="612BD35E" w14:textId="77777777" w:rsidTr="006A572B">
        <w:trPr>
          <w:trHeight w:val="456"/>
        </w:trPr>
        <w:tc>
          <w:tcPr>
            <w:tcW w:w="1276" w:type="dxa"/>
            <w:tcBorders>
              <w:top w:val="single" w:sz="4" w:space="0" w:color="000000"/>
            </w:tcBorders>
            <w:vAlign w:val="center"/>
          </w:tcPr>
          <w:p w14:paraId="328084EB" w14:textId="2340D406" w:rsidR="006A572B" w:rsidRPr="00481C6A" w:rsidRDefault="006A572B" w:rsidP="000B7E5E">
            <w:pPr>
              <w:spacing w:before="60" w:after="60"/>
              <w:jc w:val="left"/>
            </w:pPr>
            <w:r w:rsidRPr="0046640E">
              <w:t>RCFC1-8</w:t>
            </w:r>
          </w:p>
        </w:tc>
        <w:tc>
          <w:tcPr>
            <w:tcW w:w="2410" w:type="dxa"/>
            <w:tcBorders>
              <w:top w:val="single" w:sz="4" w:space="0" w:color="000000"/>
            </w:tcBorders>
            <w:vAlign w:val="center"/>
          </w:tcPr>
          <w:p w14:paraId="0777F2A2" w14:textId="5026A01E" w:rsidR="006A572B" w:rsidRPr="007A225B" w:rsidRDefault="006A572B" w:rsidP="000B7E5E">
            <w:pPr>
              <w:spacing w:before="60" w:after="60"/>
              <w:jc w:val="left"/>
            </w:pPr>
            <w:r w:rsidRPr="006B66F0">
              <w:t>Unitary equipment</w:t>
            </w:r>
          </w:p>
        </w:tc>
        <w:tc>
          <w:tcPr>
            <w:tcW w:w="3969" w:type="dxa"/>
            <w:tcBorders>
              <w:top w:val="single" w:sz="4" w:space="0" w:color="000000"/>
            </w:tcBorders>
            <w:vAlign w:val="center"/>
          </w:tcPr>
          <w:p w14:paraId="1FA3DA5D" w14:textId="3846CB9C" w:rsidR="006A572B" w:rsidRPr="00D22FDF" w:rsidRDefault="006A572B" w:rsidP="000B7E5E">
            <w:pPr>
              <w:spacing w:before="60" w:after="60"/>
              <w:jc w:val="left"/>
            </w:pPr>
            <w:r w:rsidRPr="00C14F9F">
              <w:t>Beverage cooling (beer)</w:t>
            </w:r>
          </w:p>
        </w:tc>
        <w:tc>
          <w:tcPr>
            <w:tcW w:w="1984" w:type="dxa"/>
            <w:tcBorders>
              <w:top w:val="single" w:sz="4" w:space="0" w:color="000000"/>
            </w:tcBorders>
            <w:vAlign w:val="center"/>
          </w:tcPr>
          <w:p w14:paraId="6BFCED63" w14:textId="7EED7B78" w:rsidR="006A572B" w:rsidRPr="00F515AE" w:rsidRDefault="006A572B" w:rsidP="000B7E5E">
            <w:pPr>
              <w:spacing w:before="60" w:after="60"/>
              <w:jc w:val="center"/>
            </w:pPr>
            <w:r w:rsidRPr="00B13F30">
              <w:t>12,200</w:t>
            </w:r>
          </w:p>
        </w:tc>
      </w:tr>
      <w:tr w:rsidR="006A572B" w:rsidRPr="00923150" w14:paraId="71D1F4B8" w14:textId="77777777" w:rsidTr="006A572B">
        <w:trPr>
          <w:trHeight w:val="456"/>
        </w:trPr>
        <w:tc>
          <w:tcPr>
            <w:tcW w:w="1276" w:type="dxa"/>
            <w:tcBorders>
              <w:top w:val="single" w:sz="4" w:space="0" w:color="000000"/>
            </w:tcBorders>
            <w:vAlign w:val="center"/>
          </w:tcPr>
          <w:p w14:paraId="29D6490E" w14:textId="0912C06D" w:rsidR="006A572B" w:rsidRPr="00481C6A" w:rsidRDefault="006A572B" w:rsidP="000B7E5E">
            <w:pPr>
              <w:spacing w:before="60" w:after="60"/>
              <w:jc w:val="left"/>
            </w:pPr>
            <w:r w:rsidRPr="0046640E">
              <w:t>RCFC1-9</w:t>
            </w:r>
          </w:p>
        </w:tc>
        <w:tc>
          <w:tcPr>
            <w:tcW w:w="2410" w:type="dxa"/>
            <w:tcBorders>
              <w:top w:val="single" w:sz="4" w:space="0" w:color="000000"/>
            </w:tcBorders>
            <w:vAlign w:val="center"/>
          </w:tcPr>
          <w:p w14:paraId="1CBD6F9C" w14:textId="74D976A3" w:rsidR="006A572B" w:rsidRPr="007A225B" w:rsidRDefault="006A572B" w:rsidP="000B7E5E">
            <w:pPr>
              <w:spacing w:before="60" w:after="60"/>
              <w:jc w:val="left"/>
            </w:pPr>
            <w:r w:rsidRPr="006B66F0">
              <w:t>Unitary equipment</w:t>
            </w:r>
          </w:p>
        </w:tc>
        <w:tc>
          <w:tcPr>
            <w:tcW w:w="3969" w:type="dxa"/>
            <w:tcBorders>
              <w:top w:val="single" w:sz="4" w:space="0" w:color="000000"/>
            </w:tcBorders>
            <w:vAlign w:val="center"/>
          </w:tcPr>
          <w:p w14:paraId="2A6F7F20" w14:textId="0EFDFB50" w:rsidR="006A572B" w:rsidRPr="00D22FDF" w:rsidRDefault="006A572B" w:rsidP="000B7E5E">
            <w:pPr>
              <w:spacing w:before="60" w:after="60"/>
              <w:jc w:val="left"/>
            </w:pPr>
            <w:r w:rsidRPr="00C14F9F">
              <w:t>Water dispensers (incl. bottle)</w:t>
            </w:r>
          </w:p>
        </w:tc>
        <w:tc>
          <w:tcPr>
            <w:tcW w:w="1984" w:type="dxa"/>
            <w:tcBorders>
              <w:top w:val="single" w:sz="4" w:space="0" w:color="000000"/>
            </w:tcBorders>
            <w:vAlign w:val="center"/>
          </w:tcPr>
          <w:p w14:paraId="126CC518" w14:textId="4D698315" w:rsidR="006A572B" w:rsidRPr="00F515AE" w:rsidRDefault="006A572B" w:rsidP="000B7E5E">
            <w:pPr>
              <w:spacing w:before="60" w:after="60"/>
              <w:jc w:val="center"/>
            </w:pPr>
            <w:r w:rsidRPr="00B13F30">
              <w:t>235,000</w:t>
            </w:r>
          </w:p>
        </w:tc>
      </w:tr>
      <w:tr w:rsidR="006A572B" w:rsidRPr="00923150" w14:paraId="16B69950" w14:textId="77777777" w:rsidTr="006A572B">
        <w:trPr>
          <w:trHeight w:val="456"/>
        </w:trPr>
        <w:tc>
          <w:tcPr>
            <w:tcW w:w="1276" w:type="dxa"/>
            <w:tcBorders>
              <w:top w:val="single" w:sz="4" w:space="0" w:color="000000"/>
            </w:tcBorders>
            <w:vAlign w:val="center"/>
          </w:tcPr>
          <w:p w14:paraId="118B400E" w14:textId="2F6CCBB2" w:rsidR="006A572B" w:rsidRPr="00481C6A" w:rsidRDefault="006A572B" w:rsidP="000B7E5E">
            <w:pPr>
              <w:spacing w:before="60" w:after="60"/>
              <w:jc w:val="left"/>
            </w:pPr>
            <w:r w:rsidRPr="0046640E">
              <w:t>RCFC1-10</w:t>
            </w:r>
          </w:p>
        </w:tc>
        <w:tc>
          <w:tcPr>
            <w:tcW w:w="2410" w:type="dxa"/>
            <w:tcBorders>
              <w:top w:val="single" w:sz="4" w:space="0" w:color="000000"/>
            </w:tcBorders>
            <w:vAlign w:val="center"/>
          </w:tcPr>
          <w:p w14:paraId="262517F4" w14:textId="55A93FF4" w:rsidR="006A572B" w:rsidRPr="007A225B" w:rsidRDefault="006A572B" w:rsidP="000B7E5E">
            <w:pPr>
              <w:spacing w:before="60" w:after="60"/>
              <w:jc w:val="left"/>
            </w:pPr>
            <w:r w:rsidRPr="006B66F0">
              <w:t>Unitary equipment</w:t>
            </w:r>
          </w:p>
        </w:tc>
        <w:tc>
          <w:tcPr>
            <w:tcW w:w="3969" w:type="dxa"/>
            <w:tcBorders>
              <w:top w:val="single" w:sz="4" w:space="0" w:color="000000"/>
            </w:tcBorders>
            <w:vAlign w:val="center"/>
          </w:tcPr>
          <w:p w14:paraId="7814AE53" w14:textId="409EE528" w:rsidR="006A572B" w:rsidRPr="00D22FDF" w:rsidRDefault="006A572B" w:rsidP="000B7E5E">
            <w:pPr>
              <w:spacing w:before="60" w:after="60"/>
              <w:jc w:val="left"/>
            </w:pPr>
            <w:r w:rsidRPr="00C14F9F">
              <w:t>Packaged liquid chillers</w:t>
            </w:r>
          </w:p>
        </w:tc>
        <w:tc>
          <w:tcPr>
            <w:tcW w:w="1984" w:type="dxa"/>
            <w:tcBorders>
              <w:top w:val="single" w:sz="4" w:space="0" w:color="000000"/>
            </w:tcBorders>
            <w:vAlign w:val="center"/>
          </w:tcPr>
          <w:p w14:paraId="4C709951" w14:textId="3CEC6D85" w:rsidR="006A572B" w:rsidRPr="00F515AE" w:rsidRDefault="006A572B" w:rsidP="000B7E5E">
            <w:pPr>
              <w:spacing w:before="60" w:after="60"/>
              <w:jc w:val="center"/>
            </w:pPr>
            <w:r w:rsidRPr="00B13F30">
              <w:t>10,000</w:t>
            </w:r>
          </w:p>
        </w:tc>
      </w:tr>
      <w:tr w:rsidR="006A572B" w:rsidRPr="00923150" w14:paraId="756DD1E6" w14:textId="77777777" w:rsidTr="006A572B">
        <w:trPr>
          <w:trHeight w:val="456"/>
        </w:trPr>
        <w:tc>
          <w:tcPr>
            <w:tcW w:w="1276" w:type="dxa"/>
            <w:tcBorders>
              <w:top w:val="single" w:sz="4" w:space="0" w:color="000000"/>
            </w:tcBorders>
            <w:vAlign w:val="center"/>
          </w:tcPr>
          <w:p w14:paraId="2482F24F" w14:textId="7BCF4B0B" w:rsidR="006A572B" w:rsidRPr="00481C6A" w:rsidRDefault="006A572B" w:rsidP="000B7E5E">
            <w:pPr>
              <w:spacing w:before="60" w:after="60"/>
              <w:jc w:val="left"/>
            </w:pPr>
            <w:r w:rsidRPr="0046640E">
              <w:t>RCFC1-11</w:t>
            </w:r>
          </w:p>
        </w:tc>
        <w:tc>
          <w:tcPr>
            <w:tcW w:w="2410" w:type="dxa"/>
            <w:tcBorders>
              <w:top w:val="single" w:sz="4" w:space="0" w:color="000000"/>
            </w:tcBorders>
            <w:vAlign w:val="center"/>
          </w:tcPr>
          <w:p w14:paraId="4E969538" w14:textId="59074D7A" w:rsidR="006A572B" w:rsidRPr="007A225B" w:rsidRDefault="006A572B" w:rsidP="000B7E5E">
            <w:pPr>
              <w:spacing w:before="60" w:after="60"/>
              <w:jc w:val="left"/>
            </w:pPr>
            <w:r w:rsidRPr="006B66F0">
              <w:t>Unitary equipment</w:t>
            </w:r>
          </w:p>
        </w:tc>
        <w:tc>
          <w:tcPr>
            <w:tcW w:w="3969" w:type="dxa"/>
            <w:tcBorders>
              <w:top w:val="single" w:sz="4" w:space="0" w:color="000000"/>
            </w:tcBorders>
            <w:vAlign w:val="center"/>
          </w:tcPr>
          <w:p w14:paraId="01E75AFE" w14:textId="2ACA191B" w:rsidR="006A572B" w:rsidRPr="00D22FDF" w:rsidRDefault="006A572B" w:rsidP="000B7E5E">
            <w:pPr>
              <w:spacing w:before="60" w:after="60"/>
              <w:jc w:val="left"/>
            </w:pPr>
            <w:r w:rsidRPr="00C14F9F">
              <w:t>Milk vat refrigeration</w:t>
            </w:r>
          </w:p>
        </w:tc>
        <w:tc>
          <w:tcPr>
            <w:tcW w:w="1984" w:type="dxa"/>
            <w:tcBorders>
              <w:top w:val="single" w:sz="4" w:space="0" w:color="000000"/>
            </w:tcBorders>
            <w:vAlign w:val="center"/>
          </w:tcPr>
          <w:p w14:paraId="239A66FE" w14:textId="0A63FA95" w:rsidR="006A572B" w:rsidRPr="00F515AE" w:rsidRDefault="006A572B" w:rsidP="000B7E5E">
            <w:pPr>
              <w:spacing w:before="60" w:after="60"/>
              <w:jc w:val="center"/>
            </w:pPr>
            <w:r w:rsidRPr="00B13F30">
              <w:t>6,800</w:t>
            </w:r>
          </w:p>
        </w:tc>
      </w:tr>
      <w:tr w:rsidR="006A572B" w:rsidRPr="00923150" w14:paraId="07B931FD" w14:textId="77777777" w:rsidTr="006A572B">
        <w:trPr>
          <w:trHeight w:val="456"/>
        </w:trPr>
        <w:tc>
          <w:tcPr>
            <w:tcW w:w="1276" w:type="dxa"/>
            <w:tcBorders>
              <w:top w:val="single" w:sz="4" w:space="0" w:color="000000"/>
            </w:tcBorders>
            <w:vAlign w:val="center"/>
          </w:tcPr>
          <w:p w14:paraId="06EF42DC" w14:textId="5A7EEDF7" w:rsidR="006A572B" w:rsidRPr="00481C6A" w:rsidRDefault="006A572B" w:rsidP="000B7E5E">
            <w:pPr>
              <w:spacing w:before="60" w:after="60"/>
              <w:jc w:val="left"/>
            </w:pPr>
            <w:r w:rsidRPr="0046640E">
              <w:t>RCFC1-12</w:t>
            </w:r>
          </w:p>
        </w:tc>
        <w:tc>
          <w:tcPr>
            <w:tcW w:w="2410" w:type="dxa"/>
            <w:tcBorders>
              <w:top w:val="single" w:sz="4" w:space="0" w:color="000000"/>
            </w:tcBorders>
            <w:vAlign w:val="center"/>
          </w:tcPr>
          <w:p w14:paraId="23E4B56F" w14:textId="0834395C" w:rsidR="006A572B" w:rsidRPr="007A225B" w:rsidRDefault="006A572B" w:rsidP="000B7E5E">
            <w:pPr>
              <w:spacing w:before="60" w:after="60"/>
              <w:jc w:val="left"/>
            </w:pPr>
            <w:r w:rsidRPr="006B66F0">
              <w:t>Unitary equipment</w:t>
            </w:r>
          </w:p>
        </w:tc>
        <w:tc>
          <w:tcPr>
            <w:tcW w:w="3969" w:type="dxa"/>
            <w:tcBorders>
              <w:top w:val="single" w:sz="4" w:space="0" w:color="000000"/>
            </w:tcBorders>
            <w:vAlign w:val="center"/>
          </w:tcPr>
          <w:p w14:paraId="1811300E" w14:textId="2631F807" w:rsidR="006A572B" w:rsidRPr="00D22FDF" w:rsidRDefault="006A572B" w:rsidP="000B7E5E">
            <w:pPr>
              <w:spacing w:before="60" w:after="60"/>
              <w:jc w:val="left"/>
            </w:pPr>
            <w:r w:rsidRPr="00C14F9F">
              <w:t>Portable refrigerators (commercial)</w:t>
            </w:r>
          </w:p>
        </w:tc>
        <w:tc>
          <w:tcPr>
            <w:tcW w:w="1984" w:type="dxa"/>
            <w:tcBorders>
              <w:top w:val="single" w:sz="4" w:space="0" w:color="000000"/>
            </w:tcBorders>
            <w:vAlign w:val="center"/>
          </w:tcPr>
          <w:p w14:paraId="666D3C8F" w14:textId="2AF57E95" w:rsidR="006A572B" w:rsidRPr="00F515AE" w:rsidRDefault="006A572B" w:rsidP="000B7E5E">
            <w:pPr>
              <w:spacing w:before="60" w:after="60"/>
              <w:jc w:val="center"/>
            </w:pPr>
            <w:r w:rsidRPr="00B13F30">
              <w:t>5,000</w:t>
            </w:r>
          </w:p>
        </w:tc>
      </w:tr>
      <w:tr w:rsidR="000B7E5E" w:rsidRPr="00923150" w14:paraId="6FC09F48" w14:textId="77777777" w:rsidTr="006A572B">
        <w:trPr>
          <w:trHeight w:val="456"/>
        </w:trPr>
        <w:tc>
          <w:tcPr>
            <w:tcW w:w="1276" w:type="dxa"/>
            <w:tcBorders>
              <w:top w:val="single" w:sz="4" w:space="0" w:color="000000"/>
            </w:tcBorders>
            <w:vAlign w:val="center"/>
          </w:tcPr>
          <w:p w14:paraId="2C53DC5E" w14:textId="527BF811" w:rsidR="000B7E5E" w:rsidRPr="00481C6A" w:rsidRDefault="000B7E5E" w:rsidP="000B7E5E">
            <w:pPr>
              <w:spacing w:before="60" w:after="60"/>
              <w:jc w:val="left"/>
            </w:pPr>
            <w:r w:rsidRPr="0046640E">
              <w:t>RCFC2-1</w:t>
            </w:r>
          </w:p>
        </w:tc>
        <w:tc>
          <w:tcPr>
            <w:tcW w:w="2410" w:type="dxa"/>
            <w:tcBorders>
              <w:top w:val="single" w:sz="4" w:space="0" w:color="000000"/>
            </w:tcBorders>
            <w:vAlign w:val="center"/>
          </w:tcPr>
          <w:p w14:paraId="2839CA28" w14:textId="56893172" w:rsidR="000B7E5E" w:rsidRPr="007A225B" w:rsidRDefault="000B7E5E" w:rsidP="000B7E5E">
            <w:pPr>
              <w:spacing w:before="60" w:after="60"/>
              <w:jc w:val="left"/>
            </w:pPr>
            <w:r w:rsidRPr="006B66F0">
              <w:t>Transport refrigeration</w:t>
            </w:r>
          </w:p>
        </w:tc>
        <w:tc>
          <w:tcPr>
            <w:tcW w:w="3969" w:type="dxa"/>
            <w:tcBorders>
              <w:top w:val="single" w:sz="4" w:space="0" w:color="000000"/>
            </w:tcBorders>
            <w:vAlign w:val="center"/>
          </w:tcPr>
          <w:p w14:paraId="4C0D295C" w14:textId="6604E880" w:rsidR="000B7E5E" w:rsidRPr="00D22FDF" w:rsidRDefault="000B7E5E" w:rsidP="000B7E5E">
            <w:pPr>
              <w:spacing w:before="60" w:after="60"/>
              <w:jc w:val="left"/>
            </w:pPr>
            <w:r w:rsidRPr="00C14F9F">
              <w:t>Mobile refrigeration: road: trailer - inter-modal</w:t>
            </w:r>
          </w:p>
        </w:tc>
        <w:tc>
          <w:tcPr>
            <w:tcW w:w="1984" w:type="dxa"/>
            <w:tcBorders>
              <w:top w:val="single" w:sz="4" w:space="0" w:color="000000"/>
            </w:tcBorders>
            <w:vAlign w:val="center"/>
          </w:tcPr>
          <w:p w14:paraId="2FF89D8B" w14:textId="6DCC387B" w:rsidR="000B7E5E" w:rsidRPr="00F515AE" w:rsidRDefault="000B7E5E" w:rsidP="006A572B">
            <w:pPr>
              <w:spacing w:before="60" w:after="60"/>
              <w:jc w:val="center"/>
            </w:pPr>
            <w:r w:rsidRPr="004A68EE">
              <w:t>6,3</w:t>
            </w:r>
            <w:r w:rsidR="006A572B">
              <w:t>00</w:t>
            </w:r>
          </w:p>
        </w:tc>
      </w:tr>
      <w:tr w:rsidR="002938D6" w:rsidRPr="00923150" w14:paraId="4DE9AD1C" w14:textId="77777777" w:rsidTr="002938D6">
        <w:trPr>
          <w:trHeight w:val="456"/>
        </w:trPr>
        <w:tc>
          <w:tcPr>
            <w:tcW w:w="1276" w:type="dxa"/>
            <w:tcBorders>
              <w:top w:val="single" w:sz="4" w:space="0" w:color="000000"/>
            </w:tcBorders>
            <w:vAlign w:val="center"/>
          </w:tcPr>
          <w:p w14:paraId="6DE6FAE7" w14:textId="78E88E1F" w:rsidR="002938D6" w:rsidRPr="00481C6A" w:rsidRDefault="002938D6" w:rsidP="000B7E5E">
            <w:pPr>
              <w:spacing w:before="60" w:after="60"/>
              <w:jc w:val="left"/>
            </w:pPr>
            <w:r w:rsidRPr="0046640E">
              <w:t>RCFC2-2</w:t>
            </w:r>
          </w:p>
        </w:tc>
        <w:tc>
          <w:tcPr>
            <w:tcW w:w="2410" w:type="dxa"/>
            <w:tcBorders>
              <w:top w:val="single" w:sz="4" w:space="0" w:color="000000"/>
            </w:tcBorders>
            <w:vAlign w:val="center"/>
          </w:tcPr>
          <w:p w14:paraId="51346D7F" w14:textId="683AD700" w:rsidR="002938D6" w:rsidRPr="007A225B" w:rsidRDefault="002938D6" w:rsidP="000B7E5E">
            <w:pPr>
              <w:spacing w:before="60" w:after="60"/>
              <w:jc w:val="left"/>
            </w:pPr>
            <w:r w:rsidRPr="006B66F0">
              <w:t>Transport refrigeration</w:t>
            </w:r>
          </w:p>
        </w:tc>
        <w:tc>
          <w:tcPr>
            <w:tcW w:w="3969" w:type="dxa"/>
            <w:tcBorders>
              <w:top w:val="single" w:sz="4" w:space="0" w:color="000000"/>
            </w:tcBorders>
            <w:vAlign w:val="center"/>
          </w:tcPr>
          <w:p w14:paraId="63598B75" w14:textId="65586D09" w:rsidR="002938D6" w:rsidRPr="00D22FDF" w:rsidRDefault="002938D6" w:rsidP="000B7E5E">
            <w:pPr>
              <w:spacing w:before="60" w:after="60"/>
              <w:jc w:val="left"/>
            </w:pPr>
            <w:r w:rsidRPr="00C14F9F">
              <w:t>Mobile refrigeration: road: diesel drive</w:t>
            </w:r>
          </w:p>
        </w:tc>
        <w:tc>
          <w:tcPr>
            <w:tcW w:w="1984" w:type="dxa"/>
            <w:tcBorders>
              <w:top w:val="single" w:sz="4" w:space="0" w:color="000000"/>
            </w:tcBorders>
            <w:vAlign w:val="center"/>
          </w:tcPr>
          <w:p w14:paraId="7D47FE09" w14:textId="17BE6AFA" w:rsidR="002938D6" w:rsidRPr="00F515AE" w:rsidRDefault="002938D6" w:rsidP="000B7E5E">
            <w:pPr>
              <w:spacing w:before="60" w:after="60"/>
              <w:jc w:val="center"/>
            </w:pPr>
            <w:r w:rsidRPr="003921AB">
              <w:t>5,000</w:t>
            </w:r>
          </w:p>
        </w:tc>
      </w:tr>
      <w:tr w:rsidR="002938D6" w:rsidRPr="00923150" w14:paraId="580C4F73" w14:textId="77777777" w:rsidTr="002938D6">
        <w:trPr>
          <w:trHeight w:val="456"/>
        </w:trPr>
        <w:tc>
          <w:tcPr>
            <w:tcW w:w="1276" w:type="dxa"/>
            <w:tcBorders>
              <w:top w:val="single" w:sz="4" w:space="0" w:color="000000"/>
            </w:tcBorders>
            <w:vAlign w:val="center"/>
          </w:tcPr>
          <w:p w14:paraId="7D98B952" w14:textId="0CA13553" w:rsidR="002938D6" w:rsidRPr="00481C6A" w:rsidRDefault="002938D6" w:rsidP="000B7E5E">
            <w:pPr>
              <w:spacing w:before="60" w:after="60"/>
              <w:jc w:val="left"/>
            </w:pPr>
            <w:r w:rsidRPr="0046640E">
              <w:t>RCFC2-3</w:t>
            </w:r>
          </w:p>
        </w:tc>
        <w:tc>
          <w:tcPr>
            <w:tcW w:w="2410" w:type="dxa"/>
            <w:tcBorders>
              <w:top w:val="single" w:sz="4" w:space="0" w:color="000000"/>
            </w:tcBorders>
            <w:vAlign w:val="center"/>
          </w:tcPr>
          <w:p w14:paraId="670A8CB4" w14:textId="34570D1E" w:rsidR="002938D6" w:rsidRPr="007A225B" w:rsidRDefault="002938D6" w:rsidP="000B7E5E">
            <w:pPr>
              <w:spacing w:before="60" w:after="60"/>
              <w:jc w:val="left"/>
            </w:pPr>
            <w:r w:rsidRPr="006B66F0">
              <w:t>Transport refrigeration</w:t>
            </w:r>
          </w:p>
        </w:tc>
        <w:tc>
          <w:tcPr>
            <w:tcW w:w="3969" w:type="dxa"/>
            <w:tcBorders>
              <w:top w:val="single" w:sz="4" w:space="0" w:color="000000"/>
            </w:tcBorders>
            <w:vAlign w:val="center"/>
          </w:tcPr>
          <w:p w14:paraId="1AC4B06E" w14:textId="0C5BD9C0" w:rsidR="002938D6" w:rsidRPr="00D22FDF" w:rsidRDefault="002938D6" w:rsidP="000B7E5E">
            <w:pPr>
              <w:spacing w:before="60" w:after="60"/>
              <w:jc w:val="left"/>
            </w:pPr>
            <w:r w:rsidRPr="00C14F9F">
              <w:t>Mobile refrigeration: road: off engine</w:t>
            </w:r>
          </w:p>
        </w:tc>
        <w:tc>
          <w:tcPr>
            <w:tcW w:w="1984" w:type="dxa"/>
            <w:tcBorders>
              <w:top w:val="single" w:sz="4" w:space="0" w:color="000000"/>
            </w:tcBorders>
            <w:vAlign w:val="center"/>
          </w:tcPr>
          <w:p w14:paraId="06B13A0A" w14:textId="3F9B16E6" w:rsidR="002938D6" w:rsidRPr="00F515AE" w:rsidRDefault="002938D6" w:rsidP="000B7E5E">
            <w:pPr>
              <w:spacing w:before="60" w:after="60"/>
              <w:jc w:val="center"/>
            </w:pPr>
            <w:r w:rsidRPr="003921AB">
              <w:t>17,600</w:t>
            </w:r>
          </w:p>
        </w:tc>
      </w:tr>
      <w:tr w:rsidR="002938D6" w:rsidRPr="00923150" w14:paraId="1C9D60B1" w14:textId="77777777" w:rsidTr="002938D6">
        <w:trPr>
          <w:trHeight w:val="456"/>
        </w:trPr>
        <w:tc>
          <w:tcPr>
            <w:tcW w:w="1276" w:type="dxa"/>
            <w:tcBorders>
              <w:top w:val="single" w:sz="4" w:space="0" w:color="000000"/>
            </w:tcBorders>
            <w:vAlign w:val="center"/>
          </w:tcPr>
          <w:p w14:paraId="53EA86ED" w14:textId="1F876096" w:rsidR="002938D6" w:rsidRPr="00481C6A" w:rsidRDefault="002938D6" w:rsidP="000B7E5E">
            <w:pPr>
              <w:spacing w:before="60" w:after="60"/>
              <w:jc w:val="left"/>
            </w:pPr>
            <w:r w:rsidRPr="0046640E">
              <w:t>RCFC2-4</w:t>
            </w:r>
          </w:p>
        </w:tc>
        <w:tc>
          <w:tcPr>
            <w:tcW w:w="2410" w:type="dxa"/>
            <w:tcBorders>
              <w:top w:val="single" w:sz="4" w:space="0" w:color="000000"/>
            </w:tcBorders>
            <w:vAlign w:val="center"/>
          </w:tcPr>
          <w:p w14:paraId="6747270F" w14:textId="0A9F03E1" w:rsidR="002938D6" w:rsidRPr="007A225B" w:rsidRDefault="002938D6" w:rsidP="000B7E5E">
            <w:pPr>
              <w:spacing w:before="60" w:after="60"/>
              <w:jc w:val="left"/>
            </w:pPr>
            <w:r w:rsidRPr="006B66F0">
              <w:t>Transport refrigeration</w:t>
            </w:r>
          </w:p>
        </w:tc>
        <w:tc>
          <w:tcPr>
            <w:tcW w:w="3969" w:type="dxa"/>
            <w:tcBorders>
              <w:top w:val="single" w:sz="4" w:space="0" w:color="000000"/>
            </w:tcBorders>
            <w:vAlign w:val="center"/>
          </w:tcPr>
          <w:p w14:paraId="2FB2590B" w14:textId="3ABD484F" w:rsidR="002938D6" w:rsidRPr="00D22FDF" w:rsidRDefault="002938D6" w:rsidP="000B7E5E">
            <w:pPr>
              <w:spacing w:before="60" w:after="60"/>
              <w:jc w:val="left"/>
            </w:pPr>
            <w:r w:rsidRPr="00C14F9F">
              <w:t>Mobile refrigeration: marine</w:t>
            </w:r>
          </w:p>
        </w:tc>
        <w:tc>
          <w:tcPr>
            <w:tcW w:w="1984" w:type="dxa"/>
            <w:tcBorders>
              <w:top w:val="single" w:sz="4" w:space="0" w:color="000000"/>
            </w:tcBorders>
            <w:vAlign w:val="center"/>
          </w:tcPr>
          <w:p w14:paraId="680ED8BB" w14:textId="5BC7A230" w:rsidR="002938D6" w:rsidRPr="00F515AE" w:rsidRDefault="002938D6" w:rsidP="000B7E5E">
            <w:pPr>
              <w:spacing w:before="60" w:after="60"/>
              <w:jc w:val="center"/>
            </w:pPr>
            <w:r w:rsidRPr="003921AB">
              <w:t>420</w:t>
            </w:r>
          </w:p>
        </w:tc>
      </w:tr>
      <w:tr w:rsidR="002938D6" w:rsidRPr="00923150" w14:paraId="1267AB0D" w14:textId="77777777" w:rsidTr="002938D6">
        <w:trPr>
          <w:trHeight w:val="456"/>
        </w:trPr>
        <w:tc>
          <w:tcPr>
            <w:tcW w:w="1276" w:type="dxa"/>
            <w:tcBorders>
              <w:top w:val="single" w:sz="4" w:space="0" w:color="000000"/>
            </w:tcBorders>
            <w:vAlign w:val="center"/>
          </w:tcPr>
          <w:p w14:paraId="044C917A" w14:textId="02B21631" w:rsidR="002938D6" w:rsidRDefault="002938D6" w:rsidP="000B7E5E">
            <w:pPr>
              <w:spacing w:before="60" w:after="60"/>
              <w:jc w:val="left"/>
              <w:rPr>
                <w:sz w:val="20"/>
              </w:rPr>
            </w:pPr>
            <w:r w:rsidRPr="0046640E">
              <w:t>RCFC3-1</w:t>
            </w:r>
          </w:p>
        </w:tc>
        <w:tc>
          <w:tcPr>
            <w:tcW w:w="2410" w:type="dxa"/>
            <w:tcBorders>
              <w:top w:val="single" w:sz="4" w:space="0" w:color="000000"/>
            </w:tcBorders>
            <w:vAlign w:val="center"/>
          </w:tcPr>
          <w:p w14:paraId="0875AA60" w14:textId="58F27D7F" w:rsidR="002938D6" w:rsidRDefault="002938D6" w:rsidP="000B7E5E">
            <w:pPr>
              <w:spacing w:before="60" w:after="60"/>
              <w:jc w:val="left"/>
              <w:rPr>
                <w:sz w:val="20"/>
              </w:rPr>
            </w:pPr>
            <w:r w:rsidRPr="006B66F0">
              <w:t>Supermarkets</w:t>
            </w:r>
          </w:p>
        </w:tc>
        <w:tc>
          <w:tcPr>
            <w:tcW w:w="3969" w:type="dxa"/>
            <w:tcBorders>
              <w:top w:val="single" w:sz="4" w:space="0" w:color="000000"/>
            </w:tcBorders>
            <w:vAlign w:val="center"/>
          </w:tcPr>
          <w:p w14:paraId="2515E010" w14:textId="2EC31D0D" w:rsidR="002938D6" w:rsidRPr="008343EF" w:rsidRDefault="002938D6" w:rsidP="000B7E5E">
            <w:pPr>
              <w:spacing w:before="60" w:after="60"/>
              <w:jc w:val="left"/>
              <w:rPr>
                <w:sz w:val="20"/>
              </w:rPr>
            </w:pPr>
            <w:r w:rsidRPr="00C14F9F">
              <w:t>Supermarket refrigeration: small</w:t>
            </w:r>
          </w:p>
        </w:tc>
        <w:tc>
          <w:tcPr>
            <w:tcW w:w="1984" w:type="dxa"/>
            <w:tcBorders>
              <w:top w:val="single" w:sz="4" w:space="0" w:color="000000"/>
            </w:tcBorders>
            <w:vAlign w:val="center"/>
          </w:tcPr>
          <w:p w14:paraId="53417D10" w14:textId="3F5338AF" w:rsidR="002938D6" w:rsidRPr="00923150" w:rsidRDefault="002938D6" w:rsidP="000B7E5E">
            <w:pPr>
              <w:spacing w:before="60" w:after="60"/>
              <w:jc w:val="center"/>
              <w:rPr>
                <w:sz w:val="20"/>
              </w:rPr>
            </w:pPr>
            <w:r w:rsidRPr="003921AB">
              <w:t>2,048</w:t>
            </w:r>
          </w:p>
        </w:tc>
      </w:tr>
      <w:tr w:rsidR="002938D6" w:rsidRPr="00923150" w14:paraId="1C7818B2" w14:textId="77777777" w:rsidTr="002938D6">
        <w:trPr>
          <w:trHeight w:val="456"/>
        </w:trPr>
        <w:tc>
          <w:tcPr>
            <w:tcW w:w="1276" w:type="dxa"/>
            <w:tcBorders>
              <w:top w:val="single" w:sz="4" w:space="0" w:color="000000"/>
            </w:tcBorders>
            <w:vAlign w:val="center"/>
          </w:tcPr>
          <w:p w14:paraId="2E19DC34" w14:textId="6E0CCF37" w:rsidR="002938D6" w:rsidRDefault="002938D6" w:rsidP="000B7E5E">
            <w:pPr>
              <w:spacing w:before="60" w:after="60"/>
              <w:jc w:val="left"/>
              <w:rPr>
                <w:sz w:val="20"/>
              </w:rPr>
            </w:pPr>
            <w:r w:rsidRPr="0046640E">
              <w:t>RCFC3-2</w:t>
            </w:r>
          </w:p>
        </w:tc>
        <w:tc>
          <w:tcPr>
            <w:tcW w:w="2410" w:type="dxa"/>
            <w:tcBorders>
              <w:top w:val="single" w:sz="4" w:space="0" w:color="000000"/>
            </w:tcBorders>
            <w:vAlign w:val="center"/>
          </w:tcPr>
          <w:p w14:paraId="31217F7F" w14:textId="503931BC" w:rsidR="002938D6" w:rsidRDefault="002938D6" w:rsidP="000B7E5E">
            <w:pPr>
              <w:spacing w:before="60" w:after="60"/>
              <w:jc w:val="left"/>
              <w:rPr>
                <w:sz w:val="20"/>
              </w:rPr>
            </w:pPr>
            <w:r w:rsidRPr="006B66F0">
              <w:t>Supermarkets</w:t>
            </w:r>
          </w:p>
        </w:tc>
        <w:tc>
          <w:tcPr>
            <w:tcW w:w="3969" w:type="dxa"/>
            <w:tcBorders>
              <w:top w:val="single" w:sz="4" w:space="0" w:color="000000"/>
            </w:tcBorders>
            <w:vAlign w:val="center"/>
          </w:tcPr>
          <w:p w14:paraId="6D250559" w14:textId="07F80BE7" w:rsidR="002938D6" w:rsidRPr="008343EF" w:rsidRDefault="002938D6" w:rsidP="000B7E5E">
            <w:pPr>
              <w:spacing w:before="60" w:after="60"/>
              <w:jc w:val="left"/>
              <w:rPr>
                <w:sz w:val="20"/>
              </w:rPr>
            </w:pPr>
            <w:r w:rsidRPr="00C14F9F">
              <w:t>Supermarket refrigeration: medium</w:t>
            </w:r>
          </w:p>
        </w:tc>
        <w:tc>
          <w:tcPr>
            <w:tcW w:w="1984" w:type="dxa"/>
            <w:tcBorders>
              <w:top w:val="single" w:sz="4" w:space="0" w:color="000000"/>
            </w:tcBorders>
            <w:vAlign w:val="center"/>
          </w:tcPr>
          <w:p w14:paraId="404B1BD9" w14:textId="359615C4" w:rsidR="002938D6" w:rsidRPr="00923150" w:rsidRDefault="002938D6" w:rsidP="000B7E5E">
            <w:pPr>
              <w:spacing w:before="60" w:after="60"/>
              <w:jc w:val="center"/>
              <w:rPr>
                <w:sz w:val="20"/>
              </w:rPr>
            </w:pPr>
            <w:r w:rsidRPr="003921AB">
              <w:t>985</w:t>
            </w:r>
          </w:p>
        </w:tc>
      </w:tr>
      <w:tr w:rsidR="002938D6" w:rsidRPr="00923150" w14:paraId="01375F71" w14:textId="77777777" w:rsidTr="002938D6">
        <w:trPr>
          <w:trHeight w:val="456"/>
        </w:trPr>
        <w:tc>
          <w:tcPr>
            <w:tcW w:w="1276" w:type="dxa"/>
            <w:tcBorders>
              <w:top w:val="single" w:sz="4" w:space="0" w:color="000000"/>
            </w:tcBorders>
            <w:vAlign w:val="center"/>
          </w:tcPr>
          <w:p w14:paraId="4658155E" w14:textId="62853FFC" w:rsidR="002938D6" w:rsidRDefault="002938D6" w:rsidP="000B7E5E">
            <w:pPr>
              <w:spacing w:before="60" w:after="60"/>
              <w:jc w:val="left"/>
              <w:rPr>
                <w:sz w:val="20"/>
              </w:rPr>
            </w:pPr>
            <w:r w:rsidRPr="0046640E">
              <w:t>RCFC3-3</w:t>
            </w:r>
          </w:p>
        </w:tc>
        <w:tc>
          <w:tcPr>
            <w:tcW w:w="2410" w:type="dxa"/>
            <w:tcBorders>
              <w:top w:val="single" w:sz="4" w:space="0" w:color="000000"/>
            </w:tcBorders>
            <w:vAlign w:val="center"/>
          </w:tcPr>
          <w:p w14:paraId="3C389389" w14:textId="54F77721" w:rsidR="002938D6" w:rsidRDefault="002938D6" w:rsidP="000B7E5E">
            <w:pPr>
              <w:spacing w:before="60" w:after="60"/>
              <w:jc w:val="left"/>
              <w:rPr>
                <w:sz w:val="20"/>
              </w:rPr>
            </w:pPr>
            <w:r w:rsidRPr="006B66F0">
              <w:t>Supermarkets</w:t>
            </w:r>
          </w:p>
        </w:tc>
        <w:tc>
          <w:tcPr>
            <w:tcW w:w="3969" w:type="dxa"/>
            <w:tcBorders>
              <w:top w:val="single" w:sz="4" w:space="0" w:color="000000"/>
            </w:tcBorders>
            <w:vAlign w:val="center"/>
          </w:tcPr>
          <w:p w14:paraId="6180C72F" w14:textId="18997FB6" w:rsidR="002938D6" w:rsidRPr="008343EF" w:rsidRDefault="002938D6" w:rsidP="000B7E5E">
            <w:pPr>
              <w:spacing w:before="60" w:after="60"/>
              <w:jc w:val="left"/>
              <w:rPr>
                <w:sz w:val="20"/>
              </w:rPr>
            </w:pPr>
            <w:r w:rsidRPr="00C14F9F">
              <w:t>Supermarket refrigeration: large</w:t>
            </w:r>
          </w:p>
        </w:tc>
        <w:tc>
          <w:tcPr>
            <w:tcW w:w="1984" w:type="dxa"/>
            <w:tcBorders>
              <w:top w:val="single" w:sz="4" w:space="0" w:color="000000"/>
            </w:tcBorders>
            <w:vAlign w:val="center"/>
          </w:tcPr>
          <w:p w14:paraId="24663CCE" w14:textId="4A01A05B" w:rsidR="002938D6" w:rsidRPr="00923150" w:rsidRDefault="002938D6" w:rsidP="000B7E5E">
            <w:pPr>
              <w:spacing w:before="60" w:after="60"/>
              <w:jc w:val="center"/>
              <w:rPr>
                <w:sz w:val="20"/>
              </w:rPr>
            </w:pPr>
            <w:r w:rsidRPr="003921AB">
              <w:t>333</w:t>
            </w:r>
          </w:p>
        </w:tc>
      </w:tr>
      <w:tr w:rsidR="002938D6" w:rsidRPr="00923150" w14:paraId="375439F0" w14:textId="77777777" w:rsidTr="002938D6">
        <w:trPr>
          <w:trHeight w:val="456"/>
        </w:trPr>
        <w:tc>
          <w:tcPr>
            <w:tcW w:w="1276" w:type="dxa"/>
            <w:tcBorders>
              <w:top w:val="single" w:sz="4" w:space="0" w:color="000000"/>
            </w:tcBorders>
            <w:vAlign w:val="center"/>
          </w:tcPr>
          <w:p w14:paraId="445512CB" w14:textId="3F82F2DF" w:rsidR="002938D6" w:rsidRDefault="002938D6" w:rsidP="000B7E5E">
            <w:pPr>
              <w:spacing w:before="60" w:after="60"/>
              <w:jc w:val="left"/>
              <w:rPr>
                <w:sz w:val="20"/>
              </w:rPr>
            </w:pPr>
            <w:r w:rsidRPr="0046640E">
              <w:t>RCFC4</w:t>
            </w:r>
          </w:p>
        </w:tc>
        <w:tc>
          <w:tcPr>
            <w:tcW w:w="2410" w:type="dxa"/>
            <w:tcBorders>
              <w:top w:val="single" w:sz="4" w:space="0" w:color="000000"/>
            </w:tcBorders>
            <w:vAlign w:val="center"/>
          </w:tcPr>
          <w:p w14:paraId="0EBEDE0D" w14:textId="459F53B0" w:rsidR="002938D6" w:rsidRDefault="002938D6" w:rsidP="000B7E5E">
            <w:pPr>
              <w:spacing w:before="60" w:after="60"/>
              <w:jc w:val="left"/>
              <w:rPr>
                <w:sz w:val="20"/>
              </w:rPr>
            </w:pPr>
            <w:r w:rsidRPr="006B66F0">
              <w:t>Hospital refrigeration</w:t>
            </w:r>
          </w:p>
        </w:tc>
        <w:tc>
          <w:tcPr>
            <w:tcW w:w="3969" w:type="dxa"/>
            <w:tcBorders>
              <w:top w:val="single" w:sz="4" w:space="0" w:color="000000"/>
            </w:tcBorders>
            <w:vAlign w:val="center"/>
          </w:tcPr>
          <w:p w14:paraId="4B5951AB" w14:textId="4C98FCDF" w:rsidR="002938D6" w:rsidRPr="008343EF" w:rsidRDefault="002938D6" w:rsidP="000B7E5E">
            <w:pPr>
              <w:spacing w:before="60" w:after="60"/>
              <w:jc w:val="left"/>
              <w:rPr>
                <w:sz w:val="20"/>
              </w:rPr>
            </w:pPr>
            <w:r w:rsidRPr="00C14F9F">
              <w:t>Process and large kitchens</w:t>
            </w:r>
          </w:p>
        </w:tc>
        <w:tc>
          <w:tcPr>
            <w:tcW w:w="1984" w:type="dxa"/>
            <w:tcBorders>
              <w:top w:val="single" w:sz="4" w:space="0" w:color="000000"/>
            </w:tcBorders>
            <w:vAlign w:val="center"/>
          </w:tcPr>
          <w:p w14:paraId="3C9EE8C2" w14:textId="1212A46B" w:rsidR="002938D6" w:rsidRPr="00923150" w:rsidRDefault="002938D6" w:rsidP="000B7E5E">
            <w:pPr>
              <w:spacing w:before="60" w:after="60"/>
              <w:jc w:val="center"/>
              <w:rPr>
                <w:sz w:val="20"/>
              </w:rPr>
            </w:pPr>
            <w:r w:rsidRPr="003921AB">
              <w:t>120</w:t>
            </w:r>
          </w:p>
        </w:tc>
      </w:tr>
      <w:tr w:rsidR="000B7E5E" w:rsidRPr="00923150" w14:paraId="42BF79FA" w14:textId="77777777" w:rsidTr="004F4D00">
        <w:trPr>
          <w:trHeight w:val="456"/>
        </w:trPr>
        <w:tc>
          <w:tcPr>
            <w:tcW w:w="1276" w:type="dxa"/>
            <w:tcBorders>
              <w:top w:val="single" w:sz="4" w:space="0" w:color="000000"/>
            </w:tcBorders>
            <w:vAlign w:val="center"/>
          </w:tcPr>
          <w:p w14:paraId="353F6F66" w14:textId="7279E842" w:rsidR="000B7E5E" w:rsidRDefault="000B7E5E" w:rsidP="000B7E5E">
            <w:pPr>
              <w:spacing w:before="60" w:after="60"/>
              <w:jc w:val="left"/>
              <w:rPr>
                <w:sz w:val="20"/>
              </w:rPr>
            </w:pPr>
            <w:r w:rsidRPr="0046640E">
              <w:t>RCFC5-1</w:t>
            </w:r>
          </w:p>
        </w:tc>
        <w:tc>
          <w:tcPr>
            <w:tcW w:w="2410" w:type="dxa"/>
            <w:tcBorders>
              <w:top w:val="single" w:sz="4" w:space="0" w:color="000000"/>
            </w:tcBorders>
            <w:vAlign w:val="center"/>
          </w:tcPr>
          <w:p w14:paraId="5DA17345" w14:textId="04D4A639" w:rsidR="000B7E5E" w:rsidRDefault="000B7E5E" w:rsidP="000B7E5E">
            <w:pPr>
              <w:spacing w:before="60" w:after="60"/>
              <w:jc w:val="left"/>
              <w:rPr>
                <w:sz w:val="20"/>
              </w:rPr>
            </w:pPr>
            <w:r w:rsidRPr="006B66F0">
              <w:t>Industrial refrigeration</w:t>
            </w:r>
          </w:p>
        </w:tc>
        <w:tc>
          <w:tcPr>
            <w:tcW w:w="3969" w:type="dxa"/>
            <w:tcBorders>
              <w:top w:val="single" w:sz="4" w:space="0" w:color="000000"/>
            </w:tcBorders>
            <w:vAlign w:val="center"/>
          </w:tcPr>
          <w:p w14:paraId="15D00864" w14:textId="7520F723" w:rsidR="000B7E5E" w:rsidRPr="008343EF" w:rsidRDefault="000B7E5E" w:rsidP="000B7E5E">
            <w:pPr>
              <w:spacing w:before="60" w:after="60"/>
              <w:jc w:val="left"/>
              <w:rPr>
                <w:sz w:val="20"/>
              </w:rPr>
            </w:pPr>
            <w:r w:rsidRPr="00C14F9F">
              <w:t>Cold storage and distribution</w:t>
            </w:r>
          </w:p>
        </w:tc>
        <w:tc>
          <w:tcPr>
            <w:tcW w:w="1984" w:type="dxa"/>
            <w:tcBorders>
              <w:top w:val="single" w:sz="4" w:space="0" w:color="000000"/>
            </w:tcBorders>
            <w:vAlign w:val="center"/>
          </w:tcPr>
          <w:p w14:paraId="68DEB480" w14:textId="17E30055" w:rsidR="000B7E5E" w:rsidRPr="00923150" w:rsidRDefault="008C62A4" w:rsidP="008C62A4">
            <w:pPr>
              <w:spacing w:before="60" w:after="60"/>
              <w:jc w:val="center"/>
              <w:rPr>
                <w:sz w:val="20"/>
              </w:rPr>
            </w:pPr>
            <w:r w:rsidRPr="008C62A4">
              <w:t>13.05</w:t>
            </w:r>
            <w:r w:rsidR="000B7E5E" w:rsidRPr="008C62A4">
              <w:t xml:space="preserve"> Million m</w:t>
            </w:r>
            <w:r w:rsidR="000B7E5E" w:rsidRPr="008C62A4">
              <w:rPr>
                <w:vertAlign w:val="superscript"/>
              </w:rPr>
              <w:t>3</w:t>
            </w:r>
          </w:p>
        </w:tc>
      </w:tr>
      <w:tr w:rsidR="000B7E5E" w:rsidRPr="00923150" w14:paraId="6EFE7642" w14:textId="77777777" w:rsidTr="004F4D00">
        <w:trPr>
          <w:trHeight w:val="456"/>
        </w:trPr>
        <w:tc>
          <w:tcPr>
            <w:tcW w:w="1276" w:type="dxa"/>
            <w:tcBorders>
              <w:top w:val="single" w:sz="4" w:space="0" w:color="000000"/>
            </w:tcBorders>
            <w:vAlign w:val="center"/>
          </w:tcPr>
          <w:p w14:paraId="46B73FBD" w14:textId="5344268F" w:rsidR="000B7E5E" w:rsidRDefault="000B7E5E" w:rsidP="000B7E5E">
            <w:pPr>
              <w:spacing w:before="60" w:after="60"/>
              <w:jc w:val="left"/>
              <w:rPr>
                <w:sz w:val="20"/>
              </w:rPr>
            </w:pPr>
            <w:r w:rsidRPr="0046640E">
              <w:t>RCFC5-2</w:t>
            </w:r>
          </w:p>
        </w:tc>
        <w:tc>
          <w:tcPr>
            <w:tcW w:w="2410" w:type="dxa"/>
            <w:tcBorders>
              <w:top w:val="single" w:sz="4" w:space="0" w:color="000000"/>
            </w:tcBorders>
            <w:vAlign w:val="center"/>
          </w:tcPr>
          <w:p w14:paraId="7F152048" w14:textId="3E21A620" w:rsidR="000B7E5E" w:rsidRDefault="000B7E5E" w:rsidP="000B7E5E">
            <w:pPr>
              <w:spacing w:before="60" w:after="60"/>
              <w:jc w:val="left"/>
              <w:rPr>
                <w:sz w:val="20"/>
              </w:rPr>
            </w:pPr>
            <w:r w:rsidRPr="006B66F0">
              <w:t>Industrial refrigeration</w:t>
            </w:r>
          </w:p>
        </w:tc>
        <w:tc>
          <w:tcPr>
            <w:tcW w:w="3969" w:type="dxa"/>
            <w:tcBorders>
              <w:top w:val="single" w:sz="4" w:space="0" w:color="000000"/>
            </w:tcBorders>
            <w:vAlign w:val="center"/>
          </w:tcPr>
          <w:p w14:paraId="68845633" w14:textId="3BEB4200" w:rsidR="000B7E5E" w:rsidRPr="008343EF" w:rsidRDefault="000B7E5E" w:rsidP="000B7E5E">
            <w:pPr>
              <w:spacing w:before="60" w:after="60"/>
              <w:jc w:val="left"/>
              <w:rPr>
                <w:sz w:val="20"/>
              </w:rPr>
            </w:pPr>
            <w:r w:rsidRPr="00C14F9F">
              <w:t>Process chilling</w:t>
            </w:r>
          </w:p>
        </w:tc>
        <w:tc>
          <w:tcPr>
            <w:tcW w:w="1984" w:type="dxa"/>
            <w:tcBorders>
              <w:top w:val="single" w:sz="4" w:space="0" w:color="000000"/>
            </w:tcBorders>
            <w:vAlign w:val="center"/>
          </w:tcPr>
          <w:p w14:paraId="37EBE008" w14:textId="026B877A" w:rsidR="000B7E5E" w:rsidRPr="00923150" w:rsidRDefault="000B7E5E" w:rsidP="000B7E5E">
            <w:pPr>
              <w:spacing w:before="60" w:after="60"/>
              <w:jc w:val="center"/>
              <w:rPr>
                <w:sz w:val="20"/>
              </w:rPr>
            </w:pPr>
            <w:r w:rsidRPr="004A68EE">
              <w:t>-</w:t>
            </w:r>
          </w:p>
        </w:tc>
      </w:tr>
      <w:tr w:rsidR="000B7E5E" w:rsidRPr="003E19E1" w14:paraId="51DB82BC" w14:textId="77777777" w:rsidTr="004F4D00">
        <w:trPr>
          <w:trHeight w:val="456"/>
        </w:trPr>
        <w:tc>
          <w:tcPr>
            <w:tcW w:w="1276" w:type="dxa"/>
            <w:tcBorders>
              <w:top w:val="double" w:sz="4" w:space="0" w:color="auto"/>
            </w:tcBorders>
            <w:vAlign w:val="center"/>
          </w:tcPr>
          <w:p w14:paraId="0430E1C2" w14:textId="131473BF" w:rsidR="000B7E5E" w:rsidRPr="003E19E1" w:rsidRDefault="000B7E5E" w:rsidP="000B7E5E">
            <w:pPr>
              <w:spacing w:before="60" w:after="60"/>
              <w:jc w:val="left"/>
              <w:rPr>
                <w:szCs w:val="22"/>
              </w:rPr>
            </w:pPr>
            <w:r>
              <w:rPr>
                <w:szCs w:val="22"/>
              </w:rPr>
              <w:t>RCFC</w:t>
            </w:r>
          </w:p>
        </w:tc>
        <w:tc>
          <w:tcPr>
            <w:tcW w:w="2410" w:type="dxa"/>
            <w:tcBorders>
              <w:top w:val="double" w:sz="4" w:space="0" w:color="auto"/>
            </w:tcBorders>
            <w:vAlign w:val="center"/>
          </w:tcPr>
          <w:p w14:paraId="6251801A" w14:textId="69D8D126" w:rsidR="000B7E5E" w:rsidRPr="003E19E1" w:rsidRDefault="000B7E5E" w:rsidP="000B7E5E">
            <w:pPr>
              <w:spacing w:before="60" w:after="60"/>
              <w:jc w:val="left"/>
              <w:rPr>
                <w:szCs w:val="22"/>
              </w:rPr>
            </w:pPr>
            <w:r w:rsidRPr="003E19E1">
              <w:rPr>
                <w:szCs w:val="22"/>
              </w:rPr>
              <w:t xml:space="preserve">Total </w:t>
            </w:r>
            <w:r>
              <w:rPr>
                <w:szCs w:val="22"/>
              </w:rPr>
              <w:t>RCFC</w:t>
            </w:r>
          </w:p>
        </w:tc>
        <w:tc>
          <w:tcPr>
            <w:tcW w:w="3969" w:type="dxa"/>
            <w:tcBorders>
              <w:top w:val="double" w:sz="4" w:space="0" w:color="auto"/>
            </w:tcBorders>
            <w:vAlign w:val="center"/>
          </w:tcPr>
          <w:p w14:paraId="6BAC6139" w14:textId="77777777" w:rsidR="000B7E5E" w:rsidRPr="003E19E1" w:rsidRDefault="000B7E5E" w:rsidP="000B7E5E">
            <w:pPr>
              <w:spacing w:before="60" w:after="60"/>
              <w:jc w:val="left"/>
              <w:rPr>
                <w:szCs w:val="22"/>
              </w:rPr>
            </w:pPr>
          </w:p>
        </w:tc>
        <w:tc>
          <w:tcPr>
            <w:tcW w:w="1984" w:type="dxa"/>
            <w:tcBorders>
              <w:top w:val="double" w:sz="4" w:space="0" w:color="auto"/>
            </w:tcBorders>
            <w:vAlign w:val="center"/>
          </w:tcPr>
          <w:p w14:paraId="4F1ACA9B" w14:textId="5D109D0C" w:rsidR="000B7E5E" w:rsidRPr="003E19E1" w:rsidRDefault="000B7E5E" w:rsidP="006A572B">
            <w:pPr>
              <w:spacing w:before="60" w:after="60"/>
              <w:jc w:val="center"/>
              <w:rPr>
                <w:szCs w:val="22"/>
              </w:rPr>
            </w:pPr>
            <w:r w:rsidRPr="004A68EE">
              <w:t>1,083,</w:t>
            </w:r>
            <w:r w:rsidR="006A572B">
              <w:t>900</w:t>
            </w:r>
          </w:p>
        </w:tc>
      </w:tr>
    </w:tbl>
    <w:p w14:paraId="16F518A8" w14:textId="6CEA1A65" w:rsidR="00C019D6" w:rsidRPr="00116557" w:rsidRDefault="00C019D6" w:rsidP="00C019D6">
      <w:pPr>
        <w:spacing w:before="0"/>
        <w:rPr>
          <w:sz w:val="20"/>
          <w:szCs w:val="20"/>
        </w:rPr>
      </w:pPr>
      <w:r w:rsidRPr="00116557">
        <w:rPr>
          <w:sz w:val="20"/>
          <w:szCs w:val="20"/>
        </w:rPr>
        <w:t>(Sources: DSEWPaC 2013a, DSEWPaC 2013</w:t>
      </w:r>
      <w:r>
        <w:rPr>
          <w:sz w:val="20"/>
          <w:szCs w:val="20"/>
        </w:rPr>
        <w:t>b</w:t>
      </w:r>
      <w:r w:rsidRPr="00116557">
        <w:rPr>
          <w:sz w:val="20"/>
          <w:szCs w:val="20"/>
        </w:rPr>
        <w:t xml:space="preserve">, </w:t>
      </w:r>
      <w:r w:rsidR="00B13905">
        <w:rPr>
          <w:sz w:val="20"/>
          <w:szCs w:val="20"/>
        </w:rPr>
        <w:t xml:space="preserve">AMSA 2013, ABARES 2012, </w:t>
      </w:r>
      <w:r w:rsidRPr="00F70B91">
        <w:rPr>
          <w:sz w:val="20"/>
          <w:szCs w:val="20"/>
        </w:rPr>
        <w:t xml:space="preserve">DSEWPaC 2011, </w:t>
      </w:r>
      <w:r>
        <w:rPr>
          <w:sz w:val="20"/>
          <w:szCs w:val="20"/>
        </w:rPr>
        <w:t xml:space="preserve">EG 2011, </w:t>
      </w:r>
      <w:r w:rsidRPr="00C019D6">
        <w:rPr>
          <w:sz w:val="20"/>
          <w:szCs w:val="20"/>
        </w:rPr>
        <w:t>E3 2009a</w:t>
      </w:r>
      <w:r w:rsidR="00B13905">
        <w:rPr>
          <w:sz w:val="20"/>
          <w:szCs w:val="20"/>
        </w:rPr>
        <w:t xml:space="preserve">, </w:t>
      </w:r>
      <w:r w:rsidR="00B13905" w:rsidRPr="00F87E45">
        <w:rPr>
          <w:sz w:val="20"/>
          <w:szCs w:val="20"/>
        </w:rPr>
        <w:t>MC 2012, WF 2013, WOW 2013, Convenience World</w:t>
      </w:r>
      <w:r w:rsidR="00B13905">
        <w:rPr>
          <w:sz w:val="20"/>
          <w:szCs w:val="20"/>
        </w:rPr>
        <w:t xml:space="preserve"> and industry informants)</w:t>
      </w:r>
    </w:p>
    <w:p w14:paraId="43A4BFFF" w14:textId="2D28A5E5" w:rsidR="008875A1" w:rsidRPr="008E5EFC" w:rsidRDefault="008875A1" w:rsidP="00454431">
      <w:pPr>
        <w:spacing w:before="240"/>
        <w:rPr>
          <w:szCs w:val="22"/>
        </w:rPr>
      </w:pPr>
      <w:r>
        <w:rPr>
          <w:szCs w:val="22"/>
        </w:rPr>
        <w:t>Overall confidence in the data relating to this class of equipment has improved for a number of reasons.</w:t>
      </w:r>
    </w:p>
    <w:p w14:paraId="6F4AAC85" w14:textId="77777777" w:rsidR="00195217" w:rsidRPr="00FE2681" w:rsidRDefault="00195217" w:rsidP="00195217">
      <w:pPr>
        <w:rPr>
          <w:szCs w:val="22"/>
        </w:rPr>
      </w:pPr>
      <w:r w:rsidRPr="00FE2681">
        <w:rPr>
          <w:szCs w:val="22"/>
        </w:rPr>
        <w:t xml:space="preserve">A </w:t>
      </w:r>
      <w:r>
        <w:rPr>
          <w:szCs w:val="22"/>
        </w:rPr>
        <w:t>c</w:t>
      </w:r>
      <w:r w:rsidRPr="00FE2681">
        <w:rPr>
          <w:szCs w:val="22"/>
        </w:rPr>
        <w:t>onfiden</w:t>
      </w:r>
      <w:r>
        <w:rPr>
          <w:szCs w:val="22"/>
        </w:rPr>
        <w:t>tial</w:t>
      </w:r>
      <w:r w:rsidRPr="00FE2681">
        <w:rPr>
          <w:szCs w:val="22"/>
        </w:rPr>
        <w:t xml:space="preserve"> survey that covered more than 95% of the commercial refrigeration market</w:t>
      </w:r>
      <w:r w:rsidRPr="001039E2" w:rsidDel="001039E2">
        <w:rPr>
          <w:szCs w:val="22"/>
        </w:rPr>
        <w:t xml:space="preserve"> </w:t>
      </w:r>
      <w:r w:rsidRPr="00FE2681">
        <w:rPr>
          <w:szCs w:val="22"/>
        </w:rPr>
        <w:t>was undertaken as part of this study. Participants supplied 2010, 2011 and 2012 annual sales data for refrigeration compressors and condensing units in up to 8 capacity categories, and provided a dissection of refrigerant type for each capacity bin where practical. This data was provided exclusively to market participants in aggregate to assist them with improved market intelligence on the market size and make up, and therefore is not published in this report. The data from the survey provided the authors with invaluable information to improve the quality of the stock model and verify prediction of proportions of refrigerant species sold and installed.</w:t>
      </w:r>
    </w:p>
    <w:p w14:paraId="1EC95F5B" w14:textId="77777777" w:rsidR="00195217" w:rsidRPr="00FE2681" w:rsidRDefault="00195217" w:rsidP="00195217">
      <w:pPr>
        <w:rPr>
          <w:szCs w:val="22"/>
        </w:rPr>
      </w:pPr>
      <w:r w:rsidRPr="00FE2681">
        <w:rPr>
          <w:szCs w:val="22"/>
        </w:rPr>
        <w:t>Stock of food retail outlets was updated from previous studies using the latest public data published by major supermarket chains, and information from other targeted sources such as Convenience World for statistics on convenience stores by brand and ABS data on business types.</w:t>
      </w:r>
    </w:p>
    <w:p w14:paraId="3F9DAE67" w14:textId="6CAF192A" w:rsidR="00195217" w:rsidRPr="00FE2681" w:rsidRDefault="00195217" w:rsidP="00195217">
      <w:pPr>
        <w:rPr>
          <w:szCs w:val="22"/>
        </w:rPr>
      </w:pPr>
      <w:r w:rsidRPr="00FE2681">
        <w:rPr>
          <w:szCs w:val="22"/>
        </w:rPr>
        <w:t>The dairy industry</w:t>
      </w:r>
      <w:r>
        <w:rPr>
          <w:szCs w:val="22"/>
        </w:rPr>
        <w:t>, which is a big user of refrigeration services across nearly all of its product lines,</w:t>
      </w:r>
      <w:r w:rsidRPr="00FE2681">
        <w:rPr>
          <w:szCs w:val="22"/>
        </w:rPr>
        <w:t xml:space="preserve"> has seen a lot of farm consolidation over the last two decades with farm numbers declining from 21,994 in 1980 to 6,770 in 2012.</w:t>
      </w:r>
      <w:r w:rsidRPr="00FE2681">
        <w:rPr>
          <w:rStyle w:val="FootnoteReference"/>
          <w:szCs w:val="22"/>
        </w:rPr>
        <w:footnoteReference w:id="11"/>
      </w:r>
      <w:r w:rsidRPr="00FE2681">
        <w:rPr>
          <w:szCs w:val="22"/>
        </w:rPr>
        <w:t xml:space="preserve"> The number of </w:t>
      </w:r>
      <w:r w:rsidR="008875A1">
        <w:rPr>
          <w:szCs w:val="22"/>
        </w:rPr>
        <w:t xml:space="preserve">operating </w:t>
      </w:r>
      <w:r w:rsidRPr="00FE2681">
        <w:rPr>
          <w:szCs w:val="22"/>
        </w:rPr>
        <w:t xml:space="preserve">dairy farms </w:t>
      </w:r>
      <w:r w:rsidR="008875A1">
        <w:rPr>
          <w:szCs w:val="22"/>
        </w:rPr>
        <w:t xml:space="preserve">is well known, and this product category </w:t>
      </w:r>
      <w:r w:rsidRPr="00FE2681">
        <w:rPr>
          <w:szCs w:val="22"/>
        </w:rPr>
        <w:t>was dissected into proportions of the two main equipmen</w:t>
      </w:r>
      <w:r>
        <w:rPr>
          <w:szCs w:val="22"/>
        </w:rPr>
        <w:t>t types (i.e. Direct expansion, or ‘DX’</w:t>
      </w:r>
      <w:r w:rsidRPr="00FE2681">
        <w:rPr>
          <w:szCs w:val="22"/>
        </w:rPr>
        <w:t xml:space="preserve"> cooling; and </w:t>
      </w:r>
      <w:r w:rsidRPr="00FE2681">
        <w:rPr>
          <w:szCs w:val="22"/>
        </w:rPr>
        <w:lastRenderedPageBreak/>
        <w:t>indirect cooling syst</w:t>
      </w:r>
      <w:r>
        <w:rPr>
          <w:szCs w:val="22"/>
        </w:rPr>
        <w:t>ems). E</w:t>
      </w:r>
      <w:r w:rsidRPr="00FE2681">
        <w:rPr>
          <w:szCs w:val="22"/>
        </w:rPr>
        <w:t xml:space="preserve">lectricity consumption and refrigerant models were </w:t>
      </w:r>
      <w:r>
        <w:rPr>
          <w:szCs w:val="22"/>
        </w:rPr>
        <w:t xml:space="preserve">then </w:t>
      </w:r>
      <w:r w:rsidRPr="00FE2681">
        <w:rPr>
          <w:szCs w:val="22"/>
        </w:rPr>
        <w:t xml:space="preserve">developed for both of these equipment types based on their specific technical characteristics. </w:t>
      </w:r>
    </w:p>
    <w:p w14:paraId="1F388361" w14:textId="3344C706" w:rsidR="00195217" w:rsidRPr="00FE2681" w:rsidRDefault="00195217" w:rsidP="00195217">
      <w:pPr>
        <w:rPr>
          <w:szCs w:val="22"/>
        </w:rPr>
      </w:pPr>
      <w:r w:rsidRPr="00FE2681">
        <w:rPr>
          <w:szCs w:val="22"/>
        </w:rPr>
        <w:t xml:space="preserve">The number of fishing vessels with commercial scale refrigeration systems is estimated to be around 400 to 450 vessels which was significantly scaled down from previous studies including CHF1, and </w:t>
      </w:r>
      <w:r>
        <w:rPr>
          <w:szCs w:val="22"/>
        </w:rPr>
        <w:t>‘</w:t>
      </w:r>
      <w:r w:rsidRPr="008C62A4">
        <w:rPr>
          <w:i/>
          <w:szCs w:val="22"/>
        </w:rPr>
        <w:t>In from the Cold</w:t>
      </w:r>
      <w:r>
        <w:rPr>
          <w:szCs w:val="22"/>
        </w:rPr>
        <w:t>’. The revision downwards is</w:t>
      </w:r>
      <w:r w:rsidRPr="00FE2681">
        <w:rPr>
          <w:szCs w:val="22"/>
        </w:rPr>
        <w:t xml:space="preserve"> based on an improved understanding of the proportion of the registered fishing fleet that is active</w:t>
      </w:r>
      <w:r>
        <w:rPr>
          <w:szCs w:val="22"/>
        </w:rPr>
        <w:t xml:space="preserve">. Interviews with industry stakeholders indicate that only about </w:t>
      </w:r>
      <w:r w:rsidRPr="00FE2681">
        <w:rPr>
          <w:szCs w:val="22"/>
        </w:rPr>
        <w:t xml:space="preserve">40% of </w:t>
      </w:r>
      <w:r>
        <w:rPr>
          <w:szCs w:val="22"/>
        </w:rPr>
        <w:t xml:space="preserve">the </w:t>
      </w:r>
      <w:r w:rsidRPr="00FE2681">
        <w:rPr>
          <w:szCs w:val="22"/>
        </w:rPr>
        <w:t>2,109 fishing vessels registered</w:t>
      </w:r>
      <w:r>
        <w:rPr>
          <w:szCs w:val="22"/>
        </w:rPr>
        <w:t xml:space="preserve"> with</w:t>
      </w:r>
      <w:r w:rsidRPr="00FE2681">
        <w:rPr>
          <w:szCs w:val="22"/>
        </w:rPr>
        <w:t xml:space="preserve"> the Australian Maritime Safety Authority</w:t>
      </w:r>
      <w:r>
        <w:rPr>
          <w:szCs w:val="22"/>
        </w:rPr>
        <w:t xml:space="preserve"> are active. Research for this study has also improved our understanding of the </w:t>
      </w:r>
      <w:r w:rsidRPr="00FE2681">
        <w:rPr>
          <w:szCs w:val="22"/>
        </w:rPr>
        <w:t xml:space="preserve">size </w:t>
      </w:r>
      <w:r>
        <w:rPr>
          <w:szCs w:val="22"/>
        </w:rPr>
        <w:t xml:space="preserve">of </w:t>
      </w:r>
      <w:r w:rsidRPr="00FE2681">
        <w:rPr>
          <w:szCs w:val="22"/>
        </w:rPr>
        <w:t xml:space="preserve">vessel </w:t>
      </w:r>
      <w:r>
        <w:rPr>
          <w:szCs w:val="22"/>
        </w:rPr>
        <w:t xml:space="preserve">on which </w:t>
      </w:r>
      <w:r w:rsidRPr="00FE2681">
        <w:rPr>
          <w:szCs w:val="22"/>
        </w:rPr>
        <w:t>commercial refrigeration s</w:t>
      </w:r>
      <w:r>
        <w:rPr>
          <w:szCs w:val="22"/>
        </w:rPr>
        <w:t>ystems are typically found. Essentially only registered fishing vessels of</w:t>
      </w:r>
      <w:r w:rsidRPr="00FE2681">
        <w:rPr>
          <w:szCs w:val="22"/>
        </w:rPr>
        <w:t xml:space="preserve"> g</w:t>
      </w:r>
      <w:r>
        <w:rPr>
          <w:szCs w:val="22"/>
        </w:rPr>
        <w:t xml:space="preserve">reater than 15 meters in length are likely to have </w:t>
      </w:r>
      <w:r w:rsidR="008875A1">
        <w:rPr>
          <w:szCs w:val="22"/>
        </w:rPr>
        <w:t>a substantial refrigeration system</w:t>
      </w:r>
      <w:r w:rsidRPr="00FE2681">
        <w:rPr>
          <w:szCs w:val="22"/>
        </w:rPr>
        <w:t xml:space="preserve">. Smaller vessels were assumed </w:t>
      </w:r>
      <w:r w:rsidR="008875A1">
        <w:rPr>
          <w:szCs w:val="22"/>
        </w:rPr>
        <w:t xml:space="preserve">to </w:t>
      </w:r>
      <w:r w:rsidRPr="00FE2681">
        <w:rPr>
          <w:szCs w:val="22"/>
        </w:rPr>
        <w:t>either collect ice at the wharf, and/or have portable refrigeration systems.</w:t>
      </w:r>
    </w:p>
    <w:p w14:paraId="7C226E4C" w14:textId="1F8A2226" w:rsidR="00195217" w:rsidRPr="00FB14D3" w:rsidRDefault="00195217" w:rsidP="00195217">
      <w:pPr>
        <w:rPr>
          <w:szCs w:val="22"/>
        </w:rPr>
      </w:pPr>
      <w:r w:rsidRPr="00FE2681">
        <w:rPr>
          <w:szCs w:val="22"/>
        </w:rPr>
        <w:t>The electricity consumption of cold storage facilities was calculated by multiplying the total storage capacity of 13.05</w:t>
      </w:r>
      <w:r w:rsidR="00C03D98">
        <w:rPr>
          <w:szCs w:val="22"/>
        </w:rPr>
        <w:t xml:space="preserve"> million</w:t>
      </w:r>
      <w:r w:rsidRPr="00FE2681">
        <w:rPr>
          <w:szCs w:val="22"/>
        </w:rPr>
        <w:t xml:space="preserve"> m</w:t>
      </w:r>
      <w:r w:rsidRPr="00FE2681">
        <w:rPr>
          <w:szCs w:val="22"/>
          <w:vertAlign w:val="superscript"/>
        </w:rPr>
        <w:t>3</w:t>
      </w:r>
      <w:r w:rsidRPr="00FE2681">
        <w:rPr>
          <w:szCs w:val="22"/>
        </w:rPr>
        <w:t xml:space="preserve"> (95% ammonia and 5% HFC/HCFC) by the specific energy consumption (SEC</w:t>
      </w:r>
      <w:r w:rsidR="00C03D98">
        <w:rPr>
          <w:szCs w:val="22"/>
        </w:rPr>
        <w:t>)</w:t>
      </w:r>
      <w:r w:rsidRPr="00FE2681">
        <w:rPr>
          <w:szCs w:val="22"/>
        </w:rPr>
        <w:t xml:space="preserve"> in kWh per m</w:t>
      </w:r>
      <w:r w:rsidRPr="00FE2681">
        <w:rPr>
          <w:szCs w:val="22"/>
          <w:vertAlign w:val="superscript"/>
        </w:rPr>
        <w:t>3</w:t>
      </w:r>
      <w:r w:rsidR="00C03D98">
        <w:rPr>
          <w:szCs w:val="22"/>
        </w:rPr>
        <w:t xml:space="preserve"> per year</w:t>
      </w:r>
      <w:r w:rsidRPr="00FE2681">
        <w:rPr>
          <w:szCs w:val="22"/>
        </w:rPr>
        <w:t>. The SEC of individual cold storage facilities can vary significantly ranging from around 30 kWh/m</w:t>
      </w:r>
      <w:r w:rsidRPr="00FE2681">
        <w:rPr>
          <w:szCs w:val="22"/>
          <w:vertAlign w:val="superscript"/>
        </w:rPr>
        <w:t>3</w:t>
      </w:r>
      <w:r w:rsidRPr="00FE2681">
        <w:rPr>
          <w:szCs w:val="22"/>
        </w:rPr>
        <w:t>/year to greater than 200 kWh/m</w:t>
      </w:r>
      <w:r w:rsidRPr="00FE2681">
        <w:rPr>
          <w:szCs w:val="22"/>
          <w:vertAlign w:val="superscript"/>
        </w:rPr>
        <w:t>3</w:t>
      </w:r>
      <w:r w:rsidRPr="00FE2681">
        <w:rPr>
          <w:szCs w:val="22"/>
        </w:rPr>
        <w:t xml:space="preserve">/year, depending on the type of facility (i.e. </w:t>
      </w:r>
      <w:r w:rsidR="008C62A4">
        <w:rPr>
          <w:szCs w:val="22"/>
        </w:rPr>
        <w:t xml:space="preserve">cold store or </w:t>
      </w:r>
      <w:r w:rsidRPr="00FE2681">
        <w:rPr>
          <w:szCs w:val="22"/>
        </w:rPr>
        <w:t>blast freeze, storage temperatures, and combination of these types), the overall efficiency of the refrigeration system and efficiencies of individual components, lighting technologies, geographical climate, thermal insulation and sealing (i.e. automatic doors) of structure, maintenance, and many other factors. The industry average was estimated to be 51 kWh/m</w:t>
      </w:r>
      <w:r w:rsidRPr="00FE2681">
        <w:rPr>
          <w:szCs w:val="22"/>
          <w:vertAlign w:val="superscript"/>
        </w:rPr>
        <w:t>3</w:t>
      </w:r>
      <w:r w:rsidRPr="00FE2681">
        <w:rPr>
          <w:szCs w:val="22"/>
        </w:rPr>
        <w:t>/year for ammonia systems and 15% higher for synthetic refrigerant systems, however an industry specific source suggested the average SEC could b</w:t>
      </w:r>
      <w:r w:rsidR="00D003B7">
        <w:rPr>
          <w:szCs w:val="22"/>
        </w:rPr>
        <w:t>e</w:t>
      </w:r>
      <w:r w:rsidRPr="00FE2681">
        <w:rPr>
          <w:szCs w:val="22"/>
        </w:rPr>
        <w:t xml:space="preserve"> 10% to 15% higher with typical ammonia systems consuming around 60 kWh/m</w:t>
      </w:r>
      <w:r w:rsidRPr="00FE2681">
        <w:rPr>
          <w:szCs w:val="22"/>
          <w:vertAlign w:val="superscript"/>
        </w:rPr>
        <w:t>3</w:t>
      </w:r>
      <w:r w:rsidRPr="00FE2681">
        <w:rPr>
          <w:szCs w:val="22"/>
        </w:rPr>
        <w:t>/year.</w:t>
      </w:r>
      <w:r w:rsidR="002B297A">
        <w:rPr>
          <w:rStyle w:val="FootnoteReference"/>
          <w:szCs w:val="22"/>
        </w:rPr>
        <w:footnoteReference w:id="12"/>
      </w:r>
      <w:r w:rsidRPr="00FB14D3">
        <w:rPr>
          <w:szCs w:val="22"/>
        </w:rPr>
        <w:t xml:space="preserve">  </w:t>
      </w:r>
    </w:p>
    <w:p w14:paraId="4FEE4D13" w14:textId="77777777" w:rsidR="00195217" w:rsidRDefault="00195217" w:rsidP="00195217">
      <w:pPr>
        <w:rPr>
          <w:szCs w:val="22"/>
        </w:rPr>
      </w:pPr>
      <w:r w:rsidRPr="00FE2681">
        <w:rPr>
          <w:szCs w:val="22"/>
        </w:rPr>
        <w:t>The estimate of total cold storage capacity in Australia was based on the latest Refrigerated Warehouse Transport Association member data for independent third party logistics and retail facilities plus an allowance of 33% for non RWTA members.</w:t>
      </w:r>
      <w:r>
        <w:rPr>
          <w:szCs w:val="22"/>
        </w:rPr>
        <w:t xml:space="preserve"> </w:t>
      </w:r>
    </w:p>
    <w:p w14:paraId="48455275" w14:textId="77777777" w:rsidR="00090EC6" w:rsidRDefault="00090EC6" w:rsidP="00090EC6">
      <w:pPr>
        <w:rPr>
          <w:szCs w:val="22"/>
        </w:rPr>
      </w:pPr>
      <w:r>
        <w:rPr>
          <w:szCs w:val="22"/>
        </w:rPr>
        <w:t>When it was published in 20</w:t>
      </w:r>
      <w:r w:rsidRPr="00FE2681">
        <w:rPr>
          <w:szCs w:val="22"/>
        </w:rPr>
        <w:t>09,</w:t>
      </w:r>
      <w:r>
        <w:rPr>
          <w:i/>
          <w:szCs w:val="22"/>
        </w:rPr>
        <w:t xml:space="preserve"> ‘</w:t>
      </w:r>
      <w:r w:rsidRPr="00FE2681">
        <w:rPr>
          <w:i/>
          <w:szCs w:val="22"/>
        </w:rPr>
        <w:t>In from the Cold: Strategies to increase energy efficiency of non-domestic refrigerati</w:t>
      </w:r>
      <w:r>
        <w:rPr>
          <w:i/>
          <w:szCs w:val="22"/>
        </w:rPr>
        <w:t xml:space="preserve">on in Australia and New Zealand’ </w:t>
      </w:r>
      <w:r w:rsidRPr="00FE2681">
        <w:rPr>
          <w:szCs w:val="22"/>
        </w:rPr>
        <w:t>(E3 2009a)</w:t>
      </w:r>
      <w:r>
        <w:rPr>
          <w:szCs w:val="22"/>
        </w:rPr>
        <w:t>,</w:t>
      </w:r>
      <w:r w:rsidRPr="00FE2681">
        <w:rPr>
          <w:szCs w:val="22"/>
        </w:rPr>
        <w:t xml:space="preserve"> predicted energy consumption of 15</w:t>
      </w:r>
      <w:r>
        <w:rPr>
          <w:szCs w:val="22"/>
        </w:rPr>
        <w:t>,300</w:t>
      </w:r>
      <w:r w:rsidRPr="00FE2681">
        <w:rPr>
          <w:szCs w:val="22"/>
        </w:rPr>
        <w:t xml:space="preserve"> GWh per annum in 2012</w:t>
      </w:r>
      <w:r>
        <w:rPr>
          <w:szCs w:val="22"/>
        </w:rPr>
        <w:t xml:space="preserve">. </w:t>
      </w:r>
      <w:r w:rsidRPr="00FE2681">
        <w:rPr>
          <w:szCs w:val="22"/>
        </w:rPr>
        <w:t>CHF2 has revised</w:t>
      </w:r>
      <w:r>
        <w:rPr>
          <w:szCs w:val="22"/>
        </w:rPr>
        <w:t xml:space="preserve"> this value down slightly to 14,</w:t>
      </w:r>
      <w:r w:rsidRPr="00FE2681">
        <w:rPr>
          <w:szCs w:val="22"/>
        </w:rPr>
        <w:t>7</w:t>
      </w:r>
      <w:r>
        <w:rPr>
          <w:szCs w:val="22"/>
        </w:rPr>
        <w:t>00</w:t>
      </w:r>
      <w:r w:rsidRPr="00FE2681">
        <w:rPr>
          <w:szCs w:val="22"/>
        </w:rPr>
        <w:t xml:space="preserve"> GWh per annum</w:t>
      </w:r>
      <w:r>
        <w:rPr>
          <w:szCs w:val="22"/>
        </w:rPr>
        <w:t xml:space="preserve"> of electricity consumption by this class of equipment in 2012.  This</w:t>
      </w:r>
      <w:r w:rsidRPr="00FE2681">
        <w:rPr>
          <w:szCs w:val="22"/>
        </w:rPr>
        <w:t xml:space="preserve"> is consistent with</w:t>
      </w:r>
      <w:r>
        <w:rPr>
          <w:szCs w:val="22"/>
        </w:rPr>
        <w:t xml:space="preserve"> more</w:t>
      </w:r>
      <w:r w:rsidRPr="00FE2681">
        <w:rPr>
          <w:szCs w:val="22"/>
        </w:rPr>
        <w:t xml:space="preserve"> </w:t>
      </w:r>
      <w:r>
        <w:rPr>
          <w:szCs w:val="22"/>
        </w:rPr>
        <w:t xml:space="preserve">recent </w:t>
      </w:r>
      <w:r w:rsidRPr="00FE2681">
        <w:rPr>
          <w:szCs w:val="22"/>
        </w:rPr>
        <w:t>findings as</w:t>
      </w:r>
      <w:r>
        <w:rPr>
          <w:szCs w:val="22"/>
        </w:rPr>
        <w:t>,</w:t>
      </w:r>
      <w:r w:rsidRPr="00FE2681">
        <w:rPr>
          <w:szCs w:val="22"/>
        </w:rPr>
        <w:t xml:space="preserve"> since </w:t>
      </w:r>
      <w:r>
        <w:rPr>
          <w:szCs w:val="22"/>
        </w:rPr>
        <w:t>‘</w:t>
      </w:r>
      <w:r w:rsidRPr="00FE2681">
        <w:rPr>
          <w:i/>
          <w:szCs w:val="22"/>
        </w:rPr>
        <w:t xml:space="preserve">In from the </w:t>
      </w:r>
      <w:r>
        <w:rPr>
          <w:i/>
          <w:szCs w:val="22"/>
        </w:rPr>
        <w:t>C</w:t>
      </w:r>
      <w:r w:rsidRPr="00FE2681">
        <w:rPr>
          <w:i/>
          <w:szCs w:val="22"/>
        </w:rPr>
        <w:t>old</w:t>
      </w:r>
      <w:r>
        <w:rPr>
          <w:szCs w:val="22"/>
        </w:rPr>
        <w:t xml:space="preserve">’ </w:t>
      </w:r>
      <w:r w:rsidRPr="00FE2681">
        <w:rPr>
          <w:szCs w:val="22"/>
        </w:rPr>
        <w:t>was published there have been significant signs of improved energy efficiency in this industry sector.</w:t>
      </w:r>
    </w:p>
    <w:p w14:paraId="26793855" w14:textId="77777777" w:rsidR="00090EC6" w:rsidRPr="00FB14D3" w:rsidRDefault="00090EC6" w:rsidP="00090EC6">
      <w:pPr>
        <w:rPr>
          <w:szCs w:val="22"/>
        </w:rPr>
      </w:pPr>
    </w:p>
    <w:p w14:paraId="19C193EC" w14:textId="1C1384B3" w:rsidR="00042727" w:rsidRDefault="004728E2" w:rsidP="00BE3B27">
      <w:pPr>
        <w:pStyle w:val="Heading3"/>
      </w:pPr>
      <w:bookmarkStart w:id="26" w:name="_Toc233084142"/>
      <w:r w:rsidRPr="004728E2">
        <w:t>Self-contained commercial refrigeration</w:t>
      </w:r>
      <w:bookmarkEnd w:id="26"/>
    </w:p>
    <w:p w14:paraId="3EF4EF1F" w14:textId="1A7B3F9E" w:rsidR="008E5EFC" w:rsidRPr="008E5EFC" w:rsidRDefault="008E5EFC" w:rsidP="008E5EFC">
      <w:pPr>
        <w:rPr>
          <w:szCs w:val="22"/>
        </w:rPr>
      </w:pPr>
      <w:r w:rsidRPr="008E5EFC">
        <w:rPr>
          <w:szCs w:val="22"/>
        </w:rPr>
        <w:t xml:space="preserve">Several of the equipment categories in the unitary equipment segment are referred to in the trade as </w:t>
      </w:r>
      <w:r w:rsidR="00A2416C">
        <w:rPr>
          <w:szCs w:val="22"/>
        </w:rPr>
        <w:t>’</w:t>
      </w:r>
      <w:r w:rsidRPr="008E5EFC">
        <w:rPr>
          <w:szCs w:val="22"/>
        </w:rPr>
        <w:t>self-contained refrigeration</w:t>
      </w:r>
      <w:r w:rsidR="00A2416C">
        <w:rPr>
          <w:szCs w:val="22"/>
        </w:rPr>
        <w:t>’</w:t>
      </w:r>
      <w:r w:rsidRPr="008E5EFC">
        <w:rPr>
          <w:szCs w:val="22"/>
        </w:rPr>
        <w:t>. Self-contained commercial refrigeration equipment typically contains a factory-assembled, hermetically sealed, vapour-compression refrigeration system</w:t>
      </w:r>
      <w:r w:rsidR="00DB0993">
        <w:rPr>
          <w:szCs w:val="22"/>
        </w:rPr>
        <w:t xml:space="preserve"> employing</w:t>
      </w:r>
      <w:r w:rsidRPr="008E5EFC">
        <w:rPr>
          <w:szCs w:val="22"/>
        </w:rPr>
        <w:t xml:space="preserve"> relatively small refrigerant charges</w:t>
      </w:r>
      <w:r w:rsidR="00DB0993">
        <w:rPr>
          <w:szCs w:val="22"/>
        </w:rPr>
        <w:t>,</w:t>
      </w:r>
      <w:r w:rsidRPr="008E5EFC">
        <w:rPr>
          <w:szCs w:val="22"/>
        </w:rPr>
        <w:t xml:space="preserve"> ranging from </w:t>
      </w:r>
      <w:r w:rsidR="00DB0993">
        <w:rPr>
          <w:szCs w:val="22"/>
        </w:rPr>
        <w:t xml:space="preserve">just </w:t>
      </w:r>
      <w:r w:rsidRPr="008E5EFC">
        <w:rPr>
          <w:szCs w:val="22"/>
        </w:rPr>
        <w:t>40 grams in a bottle water cooler</w:t>
      </w:r>
      <w:r w:rsidR="00DB0993">
        <w:rPr>
          <w:szCs w:val="22"/>
        </w:rPr>
        <w:t>,</w:t>
      </w:r>
      <w:r w:rsidRPr="008E5EFC">
        <w:rPr>
          <w:szCs w:val="22"/>
        </w:rPr>
        <w:t xml:space="preserve"> to up to three kilograms in a refrigerated display case.</w:t>
      </w:r>
    </w:p>
    <w:p w14:paraId="0C46B60D" w14:textId="70A7704C" w:rsidR="00F240A9" w:rsidRDefault="008E5EFC" w:rsidP="00F240A9">
      <w:pPr>
        <w:rPr>
          <w:szCs w:val="22"/>
        </w:rPr>
      </w:pPr>
      <w:r w:rsidRPr="008E5EFC">
        <w:rPr>
          <w:szCs w:val="22"/>
        </w:rPr>
        <w:t>Many of these equipment categories are very familiar to the average citizen</w:t>
      </w:r>
      <w:r w:rsidR="00DB0993">
        <w:rPr>
          <w:szCs w:val="22"/>
        </w:rPr>
        <w:t>,</w:t>
      </w:r>
      <w:r w:rsidRPr="008E5EFC">
        <w:rPr>
          <w:szCs w:val="22"/>
        </w:rPr>
        <w:t xml:space="preserve"> being common in supermarkets, grocery and butcher stores, cafes and other food retail outlets, restaurants, takeaways, </w:t>
      </w:r>
      <w:r w:rsidR="0027679B">
        <w:rPr>
          <w:szCs w:val="22"/>
        </w:rPr>
        <w:t>hotels</w:t>
      </w:r>
      <w:r w:rsidRPr="008E5EFC">
        <w:rPr>
          <w:szCs w:val="22"/>
        </w:rPr>
        <w:t xml:space="preserve"> and clubs. </w:t>
      </w:r>
    </w:p>
    <w:p w14:paraId="21FF9D3D" w14:textId="0FC2C3E7" w:rsidR="00F240A9" w:rsidRDefault="00F240A9" w:rsidP="00F240A9">
      <w:r>
        <w:rPr>
          <w:szCs w:val="22"/>
        </w:rPr>
        <w:t>The main product categories include:</w:t>
      </w:r>
      <w:r w:rsidRPr="008E5EFC">
        <w:t xml:space="preserve"> </w:t>
      </w:r>
    </w:p>
    <w:p w14:paraId="41649717" w14:textId="54CA8E64" w:rsidR="008E5EFC" w:rsidRPr="008E5EFC" w:rsidRDefault="008E5EFC" w:rsidP="00D05A74">
      <w:pPr>
        <w:pStyle w:val="ListParagraph"/>
        <w:numPr>
          <w:ilvl w:val="0"/>
          <w:numId w:val="21"/>
        </w:numPr>
        <w:spacing w:before="120" w:after="0" w:line="240" w:lineRule="auto"/>
        <w:ind w:left="357" w:hanging="357"/>
        <w:contextualSpacing w:val="0"/>
        <w:jc w:val="both"/>
        <w:rPr>
          <w:rFonts w:ascii="Times New Roman" w:hAnsi="Times New Roman"/>
        </w:rPr>
      </w:pPr>
      <w:r w:rsidRPr="008E5EFC">
        <w:rPr>
          <w:rFonts w:ascii="Times New Roman" w:hAnsi="Times New Roman"/>
        </w:rPr>
        <w:t xml:space="preserve">RCFC1-1: Refrigerated </w:t>
      </w:r>
      <w:r w:rsidRPr="00A5223B">
        <w:rPr>
          <w:rFonts w:ascii="Times New Roman" w:hAnsi="Times New Roman"/>
        </w:rPr>
        <w:t>display cabinets</w:t>
      </w:r>
      <w:r w:rsidR="00A2416C" w:rsidRPr="00A5223B">
        <w:rPr>
          <w:rFonts w:ascii="Times New Roman" w:hAnsi="Times New Roman"/>
        </w:rPr>
        <w:t xml:space="preserve">, sometimes referred to as ‘self-contained merchandisers’ </w:t>
      </w:r>
      <w:r w:rsidRPr="00A5223B">
        <w:rPr>
          <w:rFonts w:ascii="Times New Roman" w:hAnsi="Times New Roman"/>
        </w:rPr>
        <w:t>covering plug-in-type food retail and supermarket cabinets, including; sandwich-pizza preparation and display counters; kitchen and service storage and preparation equipment; glass door merchandisers and upright cabinets; chest cabinets commonly used for ice cream</w:t>
      </w:r>
      <w:r w:rsidRPr="008E5EFC">
        <w:rPr>
          <w:rFonts w:ascii="Times New Roman" w:hAnsi="Times New Roman"/>
        </w:rPr>
        <w:t xml:space="preserve"> display; ice cream makers; blast chiller freezers; wine, drink and glass chilling cabinets for bars, restaurants and hotels. RCFC1-1 also picks up a small number of</w:t>
      </w:r>
      <w:r w:rsidR="00F240A9">
        <w:rPr>
          <w:rFonts w:ascii="Times New Roman" w:hAnsi="Times New Roman"/>
        </w:rPr>
        <w:t xml:space="preserve"> </w:t>
      </w:r>
      <w:r w:rsidRPr="008E5EFC">
        <w:rPr>
          <w:rFonts w:ascii="Times New Roman" w:hAnsi="Times New Roman"/>
        </w:rPr>
        <w:t>specialised cabinets for pharmaceutical applications;</w:t>
      </w:r>
    </w:p>
    <w:p w14:paraId="4B053641" w14:textId="22369C73" w:rsidR="008E5EFC" w:rsidRPr="008E5EFC" w:rsidRDefault="008E5EFC" w:rsidP="00D05A74">
      <w:pPr>
        <w:pStyle w:val="ListParagraph"/>
        <w:numPr>
          <w:ilvl w:val="0"/>
          <w:numId w:val="21"/>
        </w:numPr>
        <w:spacing w:before="120" w:after="0" w:line="240" w:lineRule="auto"/>
        <w:ind w:left="357" w:hanging="357"/>
        <w:contextualSpacing w:val="0"/>
        <w:jc w:val="both"/>
        <w:rPr>
          <w:rFonts w:ascii="Times New Roman" w:hAnsi="Times New Roman"/>
        </w:rPr>
      </w:pPr>
      <w:r w:rsidRPr="008E5EFC">
        <w:rPr>
          <w:rFonts w:ascii="Times New Roman" w:hAnsi="Times New Roman"/>
        </w:rPr>
        <w:lastRenderedPageBreak/>
        <w:t>RCFC1-2: Refrigerated beverage vending machines often purchased by major food manufacturers such as Coca-Cola, Pepsi and Schweppes, and also independent vending suppliers located at airports, railway stations, offices, factories, warehouses, universities and schools, etc.;</w:t>
      </w:r>
    </w:p>
    <w:p w14:paraId="21FF40D8" w14:textId="3FE3402E" w:rsidR="008E5EFC" w:rsidRPr="008E5EFC" w:rsidRDefault="008E5EFC" w:rsidP="00D05A74">
      <w:pPr>
        <w:pStyle w:val="ListParagraph"/>
        <w:numPr>
          <w:ilvl w:val="0"/>
          <w:numId w:val="21"/>
        </w:numPr>
        <w:spacing w:before="120" w:after="0" w:line="240" w:lineRule="auto"/>
        <w:ind w:left="357" w:hanging="357"/>
        <w:contextualSpacing w:val="0"/>
        <w:jc w:val="both"/>
        <w:rPr>
          <w:rFonts w:ascii="Times New Roman" w:hAnsi="Times New Roman"/>
        </w:rPr>
      </w:pPr>
      <w:r w:rsidRPr="008E5EFC">
        <w:rPr>
          <w:rFonts w:ascii="Times New Roman" w:hAnsi="Times New Roman"/>
        </w:rPr>
        <w:t>RCFC1-3: Ice makers commonly used in cafes, hotels/bars and food courts. These are generally packaged freestanding, bench-top or under-bench units, and may have a small storage basket or bin with access door, or dispense ice and beverages automatically;</w:t>
      </w:r>
    </w:p>
    <w:p w14:paraId="58676127" w14:textId="2EA47D19" w:rsidR="008E5EFC" w:rsidRPr="008E5EFC" w:rsidRDefault="008E5EFC" w:rsidP="00D05A74">
      <w:pPr>
        <w:pStyle w:val="ListParagraph"/>
        <w:numPr>
          <w:ilvl w:val="0"/>
          <w:numId w:val="21"/>
        </w:numPr>
        <w:spacing w:before="120" w:after="0" w:line="240" w:lineRule="auto"/>
        <w:ind w:left="357" w:hanging="357"/>
        <w:contextualSpacing w:val="0"/>
        <w:jc w:val="both"/>
        <w:rPr>
          <w:rFonts w:ascii="Times New Roman" w:hAnsi="Times New Roman"/>
        </w:rPr>
      </w:pPr>
      <w:r w:rsidRPr="008E5EFC">
        <w:rPr>
          <w:rFonts w:ascii="Times New Roman" w:hAnsi="Times New Roman"/>
        </w:rPr>
        <w:t>RCFC1-4, RCFC1-5: Drop-in and slide-in packaged refrigeration units used in walk-in coolrooms and extensively used throughout the food chain to refrigerate fresh, chilled and frozen produce;</w:t>
      </w:r>
    </w:p>
    <w:p w14:paraId="11070856" w14:textId="33A43FB1" w:rsidR="008E5EFC" w:rsidRPr="008E5EFC" w:rsidRDefault="008E5EFC" w:rsidP="00D05A74">
      <w:pPr>
        <w:pStyle w:val="ListParagraph"/>
        <w:numPr>
          <w:ilvl w:val="0"/>
          <w:numId w:val="21"/>
        </w:numPr>
        <w:spacing w:before="120" w:after="0" w:line="240" w:lineRule="auto"/>
        <w:ind w:left="357" w:hanging="357"/>
        <w:contextualSpacing w:val="0"/>
        <w:jc w:val="both"/>
        <w:rPr>
          <w:rFonts w:ascii="Times New Roman" w:hAnsi="Times New Roman"/>
        </w:rPr>
      </w:pPr>
      <w:r w:rsidRPr="008E5EFC">
        <w:rPr>
          <w:rFonts w:ascii="Times New Roman" w:hAnsi="Times New Roman"/>
        </w:rPr>
        <w:t>RCFC1-7: Post-mix beverage cooling and dispensing equipment that transforms concentrated syrup, typically supplied in ‘bag-in-box’ casks, mixed with water that is circulated through an ice bank cooler to serve carbonated drinks in all sorts of hospitality venues including clubs, hotels, large restaurants with bars and entertainment venues;</w:t>
      </w:r>
    </w:p>
    <w:p w14:paraId="55D785AF" w14:textId="443D26B1" w:rsidR="008E5EFC" w:rsidRPr="008E5EFC" w:rsidRDefault="008E5EFC" w:rsidP="00D05A74">
      <w:pPr>
        <w:pStyle w:val="ListParagraph"/>
        <w:numPr>
          <w:ilvl w:val="0"/>
          <w:numId w:val="21"/>
        </w:numPr>
        <w:spacing w:before="120" w:after="0" w:line="240" w:lineRule="auto"/>
        <w:ind w:left="357" w:hanging="357"/>
        <w:contextualSpacing w:val="0"/>
        <w:jc w:val="both"/>
        <w:rPr>
          <w:rFonts w:ascii="Times New Roman" w:hAnsi="Times New Roman"/>
        </w:rPr>
      </w:pPr>
      <w:r w:rsidRPr="008E5EFC">
        <w:rPr>
          <w:rFonts w:ascii="Times New Roman" w:hAnsi="Times New Roman"/>
        </w:rPr>
        <w:t>RCFC1-9: Bottle water coolers and water dispensers found in offices, factories, gymnasiums, etc.; and,</w:t>
      </w:r>
    </w:p>
    <w:p w14:paraId="48307E7D" w14:textId="75B4235C" w:rsidR="008E5EFC" w:rsidRPr="008E5EFC" w:rsidRDefault="008E5EFC" w:rsidP="00D05A74">
      <w:pPr>
        <w:pStyle w:val="ListParagraph"/>
        <w:numPr>
          <w:ilvl w:val="0"/>
          <w:numId w:val="21"/>
        </w:numPr>
        <w:spacing w:before="120" w:after="0" w:line="240" w:lineRule="auto"/>
        <w:ind w:left="357" w:hanging="357"/>
        <w:contextualSpacing w:val="0"/>
        <w:jc w:val="both"/>
        <w:rPr>
          <w:rFonts w:ascii="Times New Roman" w:hAnsi="Times New Roman"/>
        </w:rPr>
      </w:pPr>
      <w:r w:rsidRPr="008E5EFC">
        <w:rPr>
          <w:rFonts w:ascii="Times New Roman" w:hAnsi="Times New Roman"/>
        </w:rPr>
        <w:t xml:space="preserve">RFCF1-12: Portable </w:t>
      </w:r>
      <w:r w:rsidR="000A70C4" w:rsidRPr="008E5EFC">
        <w:rPr>
          <w:rFonts w:ascii="Times New Roman" w:hAnsi="Times New Roman"/>
        </w:rPr>
        <w:t>refrig</w:t>
      </w:r>
      <w:r w:rsidR="000A70C4">
        <w:rPr>
          <w:rFonts w:ascii="Times New Roman" w:hAnsi="Times New Roman"/>
        </w:rPr>
        <w:t>erators for commercial applications.</w:t>
      </w:r>
    </w:p>
    <w:p w14:paraId="07715B2E" w14:textId="09664274" w:rsidR="008E5EFC" w:rsidRPr="008E5EFC" w:rsidRDefault="008E5EFC" w:rsidP="008E5EFC">
      <w:pPr>
        <w:rPr>
          <w:szCs w:val="22"/>
        </w:rPr>
      </w:pPr>
      <w:r w:rsidRPr="008E5EFC">
        <w:rPr>
          <w:szCs w:val="22"/>
        </w:rPr>
        <w:t xml:space="preserve">Refrigerant </w:t>
      </w:r>
      <w:r w:rsidR="00DB0993">
        <w:rPr>
          <w:szCs w:val="22"/>
        </w:rPr>
        <w:t>employed in</w:t>
      </w:r>
      <w:r w:rsidRPr="008E5EFC">
        <w:rPr>
          <w:szCs w:val="22"/>
        </w:rPr>
        <w:t xml:space="preserve"> non-domestic refrigeration </w:t>
      </w:r>
      <w:r w:rsidR="00DB0993">
        <w:rPr>
          <w:szCs w:val="22"/>
        </w:rPr>
        <w:t>is</w:t>
      </w:r>
      <w:r w:rsidRPr="008E5EFC">
        <w:rPr>
          <w:szCs w:val="22"/>
        </w:rPr>
        <w:t xml:space="preserve"> often </w:t>
      </w:r>
      <w:r w:rsidR="00DB0993">
        <w:rPr>
          <w:szCs w:val="22"/>
        </w:rPr>
        <w:t>selected based on</w:t>
      </w:r>
      <w:r w:rsidRPr="008E5EFC">
        <w:rPr>
          <w:szCs w:val="22"/>
        </w:rPr>
        <w:t xml:space="preserve"> the two main temperature</w:t>
      </w:r>
      <w:r w:rsidR="00DB0993">
        <w:rPr>
          <w:szCs w:val="22"/>
        </w:rPr>
        <w:t xml:space="preserve"> ranges</w:t>
      </w:r>
      <w:r w:rsidRPr="008E5EFC">
        <w:rPr>
          <w:szCs w:val="22"/>
        </w:rPr>
        <w:t xml:space="preserve"> </w:t>
      </w:r>
      <w:r w:rsidR="00DB0993">
        <w:rPr>
          <w:szCs w:val="22"/>
        </w:rPr>
        <w:t xml:space="preserve">used </w:t>
      </w:r>
      <w:r w:rsidRPr="008E5EFC">
        <w:rPr>
          <w:szCs w:val="22"/>
        </w:rPr>
        <w:t xml:space="preserve">for the conservation </w:t>
      </w:r>
      <w:r w:rsidR="00DB0993">
        <w:rPr>
          <w:szCs w:val="22"/>
        </w:rPr>
        <w:t xml:space="preserve">or freezing </w:t>
      </w:r>
      <w:r w:rsidRPr="008E5EFC">
        <w:rPr>
          <w:szCs w:val="22"/>
        </w:rPr>
        <w:t>of fresh food and beverages</w:t>
      </w:r>
      <w:r w:rsidR="00DB0993">
        <w:rPr>
          <w:szCs w:val="22"/>
        </w:rPr>
        <w:t xml:space="preserve">. These are </w:t>
      </w:r>
      <w:r w:rsidRPr="008E5EFC">
        <w:rPr>
          <w:szCs w:val="22"/>
        </w:rPr>
        <w:t>referred to in</w:t>
      </w:r>
      <w:r w:rsidR="00DB0993">
        <w:rPr>
          <w:szCs w:val="22"/>
        </w:rPr>
        <w:t xml:space="preserve"> the</w:t>
      </w:r>
      <w:r w:rsidRPr="008E5EFC">
        <w:rPr>
          <w:szCs w:val="22"/>
        </w:rPr>
        <w:t xml:space="preserve"> industry as </w:t>
      </w:r>
      <w:r w:rsidR="00DB0993">
        <w:rPr>
          <w:szCs w:val="22"/>
        </w:rPr>
        <w:t>either</w:t>
      </w:r>
      <w:r w:rsidR="00875CAB">
        <w:rPr>
          <w:szCs w:val="22"/>
        </w:rPr>
        <w:t>;</w:t>
      </w:r>
      <w:r w:rsidR="00DB0993">
        <w:rPr>
          <w:szCs w:val="22"/>
        </w:rPr>
        <w:t xml:space="preserve"> </w:t>
      </w:r>
      <w:r w:rsidRPr="008E5EFC">
        <w:rPr>
          <w:szCs w:val="22"/>
        </w:rPr>
        <w:t xml:space="preserve">medium temperature </w:t>
      </w:r>
      <w:r w:rsidR="00DB0993">
        <w:rPr>
          <w:szCs w:val="22"/>
        </w:rPr>
        <w:t>(</w:t>
      </w:r>
      <w:r w:rsidRPr="008E5EFC">
        <w:rPr>
          <w:szCs w:val="22"/>
        </w:rPr>
        <w:t>where produce is refrigerated to temperatures above zero degrees Celsius),</w:t>
      </w:r>
      <w:r w:rsidR="00A5223B">
        <w:rPr>
          <w:szCs w:val="22"/>
        </w:rPr>
        <w:t xml:space="preserve"> </w:t>
      </w:r>
      <w:r w:rsidRPr="008E5EFC">
        <w:rPr>
          <w:szCs w:val="22"/>
        </w:rPr>
        <w:t xml:space="preserve">and low temperature, </w:t>
      </w:r>
      <w:r w:rsidR="00DB0993">
        <w:rPr>
          <w:szCs w:val="22"/>
        </w:rPr>
        <w:t>(where food is frozen</w:t>
      </w:r>
      <w:r w:rsidR="00A5223B">
        <w:rPr>
          <w:szCs w:val="22"/>
        </w:rPr>
        <w:t xml:space="preserve"> and </w:t>
      </w:r>
      <w:r w:rsidRPr="008E5EFC">
        <w:rPr>
          <w:szCs w:val="22"/>
        </w:rPr>
        <w:t>refrigerated to zero degrees and below).</w:t>
      </w:r>
    </w:p>
    <w:p w14:paraId="22C3980E" w14:textId="4EF85624" w:rsidR="008E5EFC" w:rsidRPr="008E5EFC" w:rsidRDefault="008E5EFC" w:rsidP="008E5EFC">
      <w:pPr>
        <w:rPr>
          <w:szCs w:val="22"/>
        </w:rPr>
      </w:pPr>
      <w:r w:rsidRPr="008E5EFC">
        <w:rPr>
          <w:szCs w:val="22"/>
        </w:rPr>
        <w:t xml:space="preserve">The majority of the existing stock of self-contained non-domestic refrigeration contains HFC-134a </w:t>
      </w:r>
      <w:r w:rsidR="00DB0993">
        <w:rPr>
          <w:szCs w:val="22"/>
        </w:rPr>
        <w:t xml:space="preserve">which is the refrigerant of choice for medium temperature applications. A smaller </w:t>
      </w:r>
      <w:r w:rsidRPr="008E5EFC">
        <w:rPr>
          <w:szCs w:val="22"/>
        </w:rPr>
        <w:t xml:space="preserve">portion </w:t>
      </w:r>
      <w:r w:rsidR="00DB0993">
        <w:rPr>
          <w:szCs w:val="22"/>
        </w:rPr>
        <w:t xml:space="preserve">of the stock of equipment </w:t>
      </w:r>
      <w:r w:rsidRPr="008E5EFC">
        <w:rPr>
          <w:szCs w:val="22"/>
        </w:rPr>
        <w:t>operat</w:t>
      </w:r>
      <w:r w:rsidR="00DB0993">
        <w:rPr>
          <w:szCs w:val="22"/>
        </w:rPr>
        <w:t>es</w:t>
      </w:r>
      <w:r w:rsidRPr="008E5EFC">
        <w:rPr>
          <w:szCs w:val="22"/>
        </w:rPr>
        <w:t xml:space="preserve"> on HFC-404A, mostly in low temperature applications or when greater refrigerating intensity is required. </w:t>
      </w:r>
    </w:p>
    <w:p w14:paraId="44AD083C" w14:textId="2C3ED896" w:rsidR="008E5EFC" w:rsidRPr="008E5EFC" w:rsidRDefault="008E5EFC" w:rsidP="008E5EFC">
      <w:pPr>
        <w:rPr>
          <w:szCs w:val="22"/>
        </w:rPr>
      </w:pPr>
      <w:r w:rsidRPr="008E5EFC">
        <w:rPr>
          <w:szCs w:val="22"/>
        </w:rPr>
        <w:t>The use of hydrocarbons (HC-600a and HC-290) and CO</w:t>
      </w:r>
      <w:r w:rsidRPr="00703419">
        <w:rPr>
          <w:szCs w:val="22"/>
          <w:vertAlign w:val="subscript"/>
        </w:rPr>
        <w:t>2</w:t>
      </w:r>
      <w:r w:rsidRPr="008E5EFC">
        <w:rPr>
          <w:szCs w:val="22"/>
        </w:rPr>
        <w:t xml:space="preserve"> refrigerants is emerging in new equipment in Australia, however the installed base is very small and estimated to be </w:t>
      </w:r>
      <w:r w:rsidR="00DB0993">
        <w:rPr>
          <w:szCs w:val="22"/>
        </w:rPr>
        <w:t xml:space="preserve">just </w:t>
      </w:r>
      <w:r w:rsidRPr="008E5EFC">
        <w:rPr>
          <w:szCs w:val="22"/>
        </w:rPr>
        <w:t>2 per cent</w:t>
      </w:r>
      <w:r w:rsidR="00DB0993">
        <w:rPr>
          <w:szCs w:val="22"/>
        </w:rPr>
        <w:t>,</w:t>
      </w:r>
      <w:r w:rsidRPr="008E5EFC">
        <w:rPr>
          <w:szCs w:val="22"/>
        </w:rPr>
        <w:t xml:space="preserve"> at </w:t>
      </w:r>
      <w:r w:rsidR="00DB0993">
        <w:rPr>
          <w:szCs w:val="22"/>
        </w:rPr>
        <w:t>be</w:t>
      </w:r>
      <w:r w:rsidRPr="008E5EFC">
        <w:rPr>
          <w:szCs w:val="22"/>
        </w:rPr>
        <w:t>st in some equipment classes and non-existent in others. Examples of equipment using hydrocarbon refrigerants include freezer cabinets commonly used in Aldi supermarkets, wine coolers and chest freezers.</w:t>
      </w:r>
    </w:p>
    <w:p w14:paraId="3D21B3A6" w14:textId="75C698B9" w:rsidR="008E5EFC" w:rsidRPr="008E5EFC" w:rsidRDefault="008E5EFC" w:rsidP="008E5EFC">
      <w:pPr>
        <w:rPr>
          <w:szCs w:val="22"/>
        </w:rPr>
      </w:pPr>
      <w:r w:rsidRPr="008E5EFC">
        <w:rPr>
          <w:szCs w:val="22"/>
        </w:rPr>
        <w:t>Consumption of bulk import</w:t>
      </w:r>
      <w:r w:rsidR="00272167">
        <w:rPr>
          <w:szCs w:val="22"/>
        </w:rPr>
        <w:t>ed</w:t>
      </w:r>
      <w:r w:rsidRPr="008E5EFC">
        <w:rPr>
          <w:szCs w:val="22"/>
        </w:rPr>
        <w:t xml:space="preserve"> synthetic refrigerant is declining in this segment, mostly </w:t>
      </w:r>
      <w:r w:rsidR="00272167">
        <w:rPr>
          <w:szCs w:val="22"/>
        </w:rPr>
        <w:t>due to the decline in domestic manufacturing and</w:t>
      </w:r>
      <w:r w:rsidRPr="008E5EFC">
        <w:rPr>
          <w:szCs w:val="22"/>
        </w:rPr>
        <w:t xml:space="preserve"> </w:t>
      </w:r>
      <w:r w:rsidR="00272167">
        <w:rPr>
          <w:szCs w:val="22"/>
        </w:rPr>
        <w:t xml:space="preserve">as </w:t>
      </w:r>
      <w:r w:rsidRPr="008E5EFC">
        <w:rPr>
          <w:szCs w:val="22"/>
        </w:rPr>
        <w:t>more and more equipment is imported as PCE</w:t>
      </w:r>
      <w:r w:rsidR="00272167">
        <w:rPr>
          <w:szCs w:val="22"/>
        </w:rPr>
        <w:t>.</w:t>
      </w:r>
      <w:r w:rsidRPr="008E5EFC">
        <w:rPr>
          <w:szCs w:val="22"/>
        </w:rPr>
        <w:t xml:space="preserve"> The main local manufacturers include Williams Refrigeration, Hoshizaki Lancer, IMI Cornellius, Zip Industries, Aquacooler, </w:t>
      </w:r>
      <w:r w:rsidR="00272167">
        <w:rPr>
          <w:szCs w:val="22"/>
        </w:rPr>
        <w:t xml:space="preserve">and </w:t>
      </w:r>
      <w:r w:rsidRPr="008E5EFC">
        <w:rPr>
          <w:szCs w:val="22"/>
        </w:rPr>
        <w:t xml:space="preserve">Stoddart Manufacturing. The closure of Orford Refrigeration’s commercial refrigeration manufacturing operations in Toowomba, Queensland and Frigrite Refrigeration in Victoria </w:t>
      </w:r>
      <w:r w:rsidR="00272167">
        <w:rPr>
          <w:szCs w:val="22"/>
        </w:rPr>
        <w:t>removed</w:t>
      </w:r>
      <w:r w:rsidRPr="008E5EFC">
        <w:rPr>
          <w:szCs w:val="22"/>
        </w:rPr>
        <w:t xml:space="preserve"> at least 15 tonnes of HFC-134a from bulk imports per annum</w:t>
      </w:r>
      <w:r w:rsidR="00272167">
        <w:rPr>
          <w:szCs w:val="22"/>
        </w:rPr>
        <w:t xml:space="preserve">, although </w:t>
      </w:r>
      <w:r w:rsidR="00BD426E">
        <w:rPr>
          <w:szCs w:val="22"/>
        </w:rPr>
        <w:t xml:space="preserve">the majority </w:t>
      </w:r>
      <w:r w:rsidR="00272167">
        <w:rPr>
          <w:szCs w:val="22"/>
        </w:rPr>
        <w:t>that was replaced by and equivalent increase</w:t>
      </w:r>
      <w:r w:rsidRPr="008E5EFC">
        <w:rPr>
          <w:szCs w:val="22"/>
        </w:rPr>
        <w:t xml:space="preserve"> </w:t>
      </w:r>
      <w:r w:rsidR="00272167">
        <w:rPr>
          <w:szCs w:val="22"/>
        </w:rPr>
        <w:t>in</w:t>
      </w:r>
      <w:r w:rsidRPr="008E5EFC">
        <w:rPr>
          <w:szCs w:val="22"/>
        </w:rPr>
        <w:t xml:space="preserve"> PCE imports.</w:t>
      </w:r>
    </w:p>
    <w:p w14:paraId="33D678B5" w14:textId="77777777" w:rsidR="004728E2" w:rsidRDefault="004728E2" w:rsidP="00BE3B27">
      <w:pPr>
        <w:rPr>
          <w:szCs w:val="22"/>
        </w:rPr>
      </w:pPr>
    </w:p>
    <w:p w14:paraId="6C6E1C67" w14:textId="6B143C54" w:rsidR="004728E2" w:rsidRDefault="004728E2" w:rsidP="004728E2">
      <w:pPr>
        <w:pStyle w:val="Heading3"/>
      </w:pPr>
      <w:bookmarkStart w:id="27" w:name="_Toc233084143"/>
      <w:r>
        <w:t>Commercial refrigeration (excluding s</w:t>
      </w:r>
      <w:r w:rsidRPr="004728E2">
        <w:t>elf-contained</w:t>
      </w:r>
      <w:r>
        <w:t>)</w:t>
      </w:r>
      <w:bookmarkEnd w:id="27"/>
    </w:p>
    <w:p w14:paraId="0807B7E7" w14:textId="2CCB5D1B" w:rsidR="00504BCC" w:rsidRPr="00504BCC" w:rsidRDefault="00504BCC" w:rsidP="00504BCC">
      <w:pPr>
        <w:rPr>
          <w:szCs w:val="22"/>
        </w:rPr>
      </w:pPr>
      <w:r w:rsidRPr="00504BCC">
        <w:rPr>
          <w:szCs w:val="22"/>
        </w:rPr>
        <w:t>Much of the rest of the refrigerated cold food chain is built on categories of equipment that are broadly referred to as ‘remote condensing units’, and ‘centralised refrigeration systems’ and include:</w:t>
      </w:r>
    </w:p>
    <w:p w14:paraId="2B26CB45" w14:textId="6A2BFC9D" w:rsidR="00504BCC" w:rsidRPr="00504BCC" w:rsidRDefault="00504BCC" w:rsidP="00D05A74">
      <w:pPr>
        <w:pStyle w:val="ListParagraph"/>
        <w:numPr>
          <w:ilvl w:val="0"/>
          <w:numId w:val="21"/>
        </w:numPr>
        <w:spacing w:before="120" w:after="0" w:line="240" w:lineRule="auto"/>
        <w:ind w:left="357" w:hanging="357"/>
        <w:contextualSpacing w:val="0"/>
        <w:jc w:val="both"/>
        <w:rPr>
          <w:rFonts w:ascii="Times New Roman" w:hAnsi="Times New Roman"/>
        </w:rPr>
      </w:pPr>
      <w:r w:rsidRPr="00504BCC">
        <w:rPr>
          <w:rFonts w:ascii="Times New Roman" w:hAnsi="Times New Roman"/>
        </w:rPr>
        <w:t>RCFC1-5, RCFC1-6</w:t>
      </w:r>
      <w:r w:rsidR="00703419">
        <w:rPr>
          <w:rFonts w:ascii="Times New Roman" w:hAnsi="Times New Roman"/>
        </w:rPr>
        <w:t xml:space="preserve">: </w:t>
      </w:r>
      <w:r w:rsidRPr="00504BCC">
        <w:rPr>
          <w:rFonts w:ascii="Times New Roman" w:hAnsi="Times New Roman"/>
        </w:rPr>
        <w:t>Medium and large walk-in-coolrooms;</w:t>
      </w:r>
    </w:p>
    <w:p w14:paraId="0A50F24F" w14:textId="6D1ADE29" w:rsidR="00504BCC" w:rsidRPr="00504BCC" w:rsidRDefault="00504BCC" w:rsidP="00D05A74">
      <w:pPr>
        <w:pStyle w:val="ListParagraph"/>
        <w:numPr>
          <w:ilvl w:val="0"/>
          <w:numId w:val="21"/>
        </w:numPr>
        <w:spacing w:before="120" w:after="0" w:line="240" w:lineRule="auto"/>
        <w:ind w:left="357" w:hanging="357"/>
        <w:contextualSpacing w:val="0"/>
        <w:jc w:val="both"/>
        <w:rPr>
          <w:rFonts w:ascii="Times New Roman" w:hAnsi="Times New Roman"/>
        </w:rPr>
      </w:pPr>
      <w:r w:rsidRPr="00504BCC">
        <w:rPr>
          <w:rFonts w:ascii="Times New Roman" w:hAnsi="Times New Roman"/>
        </w:rPr>
        <w:t>RCFC1-8</w:t>
      </w:r>
      <w:r w:rsidR="00703419">
        <w:rPr>
          <w:rFonts w:ascii="Times New Roman" w:hAnsi="Times New Roman"/>
        </w:rPr>
        <w:t xml:space="preserve">: </w:t>
      </w:r>
      <w:r w:rsidRPr="00504BCC">
        <w:rPr>
          <w:rFonts w:ascii="Times New Roman" w:hAnsi="Times New Roman"/>
        </w:rPr>
        <w:t xml:space="preserve">Beverage cooling systems for beer in which beer from kegs is circulated through an ice bank cooler to serve beer </w:t>
      </w:r>
      <w:r w:rsidR="00703419">
        <w:rPr>
          <w:rFonts w:ascii="Times New Roman" w:hAnsi="Times New Roman"/>
        </w:rPr>
        <w:t xml:space="preserve">from </w:t>
      </w:r>
      <w:r w:rsidRPr="00504BCC">
        <w:rPr>
          <w:rFonts w:ascii="Times New Roman" w:hAnsi="Times New Roman"/>
        </w:rPr>
        <w:t>taps in all sorts of hospitality venues including clubs, hotels, large restaurants with bars and entertainment venues;</w:t>
      </w:r>
    </w:p>
    <w:p w14:paraId="5E6C64D0" w14:textId="453A1A27" w:rsidR="00504BCC" w:rsidRPr="00504BCC" w:rsidRDefault="00504BCC" w:rsidP="00D05A74">
      <w:pPr>
        <w:pStyle w:val="ListParagraph"/>
        <w:numPr>
          <w:ilvl w:val="0"/>
          <w:numId w:val="21"/>
        </w:numPr>
        <w:spacing w:before="120" w:after="0" w:line="240" w:lineRule="auto"/>
        <w:ind w:left="357" w:hanging="357"/>
        <w:contextualSpacing w:val="0"/>
        <w:jc w:val="both"/>
        <w:rPr>
          <w:rFonts w:ascii="Times New Roman" w:hAnsi="Times New Roman"/>
        </w:rPr>
      </w:pPr>
      <w:r w:rsidRPr="00504BCC">
        <w:rPr>
          <w:rFonts w:ascii="Times New Roman" w:hAnsi="Times New Roman"/>
        </w:rPr>
        <w:t>RCFC1- 11</w:t>
      </w:r>
      <w:r w:rsidR="00463951">
        <w:rPr>
          <w:rFonts w:ascii="Times New Roman" w:hAnsi="Times New Roman"/>
        </w:rPr>
        <w:t xml:space="preserve">: </w:t>
      </w:r>
      <w:r w:rsidRPr="00504BCC">
        <w:rPr>
          <w:rFonts w:ascii="Times New Roman" w:hAnsi="Times New Roman"/>
        </w:rPr>
        <w:t>Milk vats used exclusively in the dairy industry for rapid chilling of fresh milk;</w:t>
      </w:r>
    </w:p>
    <w:p w14:paraId="7F646E87" w14:textId="73A0E32E" w:rsidR="00504BCC" w:rsidRPr="00504BCC" w:rsidRDefault="00504BCC" w:rsidP="00D05A74">
      <w:pPr>
        <w:pStyle w:val="ListParagraph"/>
        <w:numPr>
          <w:ilvl w:val="0"/>
          <w:numId w:val="21"/>
        </w:numPr>
        <w:spacing w:before="120" w:after="0" w:line="240" w:lineRule="auto"/>
        <w:ind w:left="357" w:hanging="357"/>
        <w:contextualSpacing w:val="0"/>
        <w:jc w:val="both"/>
        <w:rPr>
          <w:rFonts w:ascii="Times New Roman" w:hAnsi="Times New Roman"/>
        </w:rPr>
      </w:pPr>
      <w:r w:rsidRPr="00504BCC">
        <w:rPr>
          <w:rFonts w:ascii="Times New Roman" w:hAnsi="Times New Roman"/>
        </w:rPr>
        <w:t>RCFC3</w:t>
      </w:r>
      <w:r w:rsidR="00463951">
        <w:rPr>
          <w:rFonts w:ascii="Times New Roman" w:hAnsi="Times New Roman"/>
        </w:rPr>
        <w:t>: Supermarkets that typically have advanced centralised refrigeration systems for low, medium and high temperatures, plus individual condensing units as required</w:t>
      </w:r>
      <w:r w:rsidRPr="00504BCC">
        <w:rPr>
          <w:rFonts w:ascii="Times New Roman" w:hAnsi="Times New Roman"/>
        </w:rPr>
        <w:t>; and,</w:t>
      </w:r>
    </w:p>
    <w:p w14:paraId="4AF1319F" w14:textId="3ADD3CE7" w:rsidR="00504BCC" w:rsidRPr="00504BCC" w:rsidRDefault="00463951" w:rsidP="00D05A74">
      <w:pPr>
        <w:pStyle w:val="ListParagraph"/>
        <w:numPr>
          <w:ilvl w:val="0"/>
          <w:numId w:val="21"/>
        </w:numPr>
        <w:spacing w:before="120" w:after="0" w:line="240" w:lineRule="auto"/>
        <w:ind w:left="357" w:hanging="357"/>
        <w:contextualSpacing w:val="0"/>
        <w:jc w:val="both"/>
        <w:rPr>
          <w:rFonts w:ascii="Times New Roman" w:hAnsi="Times New Roman"/>
        </w:rPr>
      </w:pPr>
      <w:r>
        <w:rPr>
          <w:rFonts w:ascii="Times New Roman" w:hAnsi="Times New Roman"/>
        </w:rPr>
        <w:t>RCFC 4: Hospitals that have large kitchens typically comprising multiple individual condensing units.</w:t>
      </w:r>
    </w:p>
    <w:p w14:paraId="22096EEA" w14:textId="041ACF95" w:rsidR="00504BCC" w:rsidRPr="00504BCC" w:rsidRDefault="00504BCC" w:rsidP="00504BCC">
      <w:pPr>
        <w:rPr>
          <w:szCs w:val="22"/>
        </w:rPr>
      </w:pPr>
      <w:r w:rsidRPr="00504BCC">
        <w:rPr>
          <w:szCs w:val="22"/>
        </w:rPr>
        <w:lastRenderedPageBreak/>
        <w:t>These categories of commercial refrigeration equipment cover a wide range of medium to large refrigeration capacity (&gt;1 kWr)</w:t>
      </w:r>
      <w:r w:rsidR="00404BD9">
        <w:rPr>
          <w:szCs w:val="22"/>
        </w:rPr>
        <w:t>,</w:t>
      </w:r>
      <w:r w:rsidRPr="00504BCC">
        <w:rPr>
          <w:szCs w:val="22"/>
        </w:rPr>
        <w:t xml:space="preserve"> and include remote condensing units; centralised refrigeration systems commonly used in supermarkets; packaged liquid chillers; process refrigeration applications in industry and centralised systems for large cold storage facilities. Each of these important commercial applications is discussed in more detail in the sub-sections that follow.</w:t>
      </w:r>
    </w:p>
    <w:p w14:paraId="2B1473C9" w14:textId="77777777" w:rsidR="00504BCC" w:rsidRPr="004728E2" w:rsidRDefault="00504BCC" w:rsidP="00463951">
      <w:pPr>
        <w:spacing w:before="240"/>
        <w:rPr>
          <w:rFonts w:asciiTheme="majorHAnsi" w:hAnsiTheme="majorHAnsi"/>
          <w:b/>
          <w:sz w:val="24"/>
        </w:rPr>
      </w:pPr>
      <w:r w:rsidRPr="004728E2">
        <w:rPr>
          <w:rFonts w:asciiTheme="majorHAnsi" w:hAnsiTheme="majorHAnsi"/>
          <w:b/>
          <w:sz w:val="24"/>
        </w:rPr>
        <w:t>Remote condensing units</w:t>
      </w:r>
    </w:p>
    <w:p w14:paraId="56C6FAD8" w14:textId="049FE06A" w:rsidR="00504BCC" w:rsidRPr="00504BCC" w:rsidRDefault="00504BCC" w:rsidP="00504BCC">
      <w:pPr>
        <w:rPr>
          <w:szCs w:val="22"/>
        </w:rPr>
      </w:pPr>
      <w:r w:rsidRPr="00504BCC">
        <w:rPr>
          <w:szCs w:val="22"/>
        </w:rPr>
        <w:t xml:space="preserve">Remote condensing units typically range from 1 kWr to 20 kWr in refrigerating capacity, </w:t>
      </w:r>
      <w:r w:rsidR="001402F6">
        <w:rPr>
          <w:szCs w:val="22"/>
        </w:rPr>
        <w:t xml:space="preserve">and </w:t>
      </w:r>
      <w:r w:rsidRPr="00504BCC">
        <w:rPr>
          <w:szCs w:val="22"/>
        </w:rPr>
        <w:t>are composed of either one or two compressors, one condenser, and one receiver</w:t>
      </w:r>
      <w:r w:rsidR="00D62725">
        <w:rPr>
          <w:szCs w:val="22"/>
        </w:rPr>
        <w:t>. These components</w:t>
      </w:r>
      <w:r w:rsidRPr="00504BCC">
        <w:rPr>
          <w:szCs w:val="22"/>
        </w:rPr>
        <w:t xml:space="preserve"> are assembled into a ‘condensing unit’, which is typically located outdoors</w:t>
      </w:r>
      <w:r w:rsidR="00404BD9">
        <w:rPr>
          <w:szCs w:val="22"/>
        </w:rPr>
        <w:t>,</w:t>
      </w:r>
      <w:r w:rsidRPr="00504BCC">
        <w:rPr>
          <w:szCs w:val="22"/>
        </w:rPr>
        <w:t xml:space="preserve"> or ‘remote’ from the trading floor or refrigerated space.</w:t>
      </w:r>
    </w:p>
    <w:p w14:paraId="2A9210FA" w14:textId="38181532" w:rsidR="00504BCC" w:rsidRPr="00504BCC" w:rsidRDefault="00504BCC" w:rsidP="00504BCC">
      <w:pPr>
        <w:rPr>
          <w:szCs w:val="22"/>
        </w:rPr>
      </w:pPr>
      <w:r w:rsidRPr="00504BCC">
        <w:rPr>
          <w:szCs w:val="22"/>
        </w:rPr>
        <w:t xml:space="preserve">Refrigeration systems with remote condensing units are used in a variety of applications including on large refrigerated display cabinets such as the rear loading wine and beer </w:t>
      </w:r>
      <w:r w:rsidR="009C6760">
        <w:rPr>
          <w:szCs w:val="22"/>
        </w:rPr>
        <w:t>refrigerators</w:t>
      </w:r>
      <w:r w:rsidRPr="00504BCC">
        <w:rPr>
          <w:szCs w:val="22"/>
        </w:rPr>
        <w:t xml:space="preserve">, walk-in cool rooms, beverage cooling (e.g. beer and soft drinks), milk vat refrigeration on dairy farms and chilling and freezing applications in industry. </w:t>
      </w:r>
    </w:p>
    <w:p w14:paraId="40A21EDD" w14:textId="702F61CB" w:rsidR="00504BCC" w:rsidRPr="00504BCC" w:rsidRDefault="00504BCC" w:rsidP="00504BCC">
      <w:pPr>
        <w:rPr>
          <w:szCs w:val="22"/>
        </w:rPr>
      </w:pPr>
      <w:r w:rsidRPr="00504BCC">
        <w:rPr>
          <w:szCs w:val="22"/>
        </w:rPr>
        <w:t>The term walk-in coolroom is used to describe an enclosed storage space that is either refrigerated to temperatures above zero degrees Celsius (walk-in-cooler), or is refrigerated to zero degrees and below (walk-in freezer).  Some older walk-in-coolers use HCFC-22, however HFC-404A has been the refrigerant of choice for walk-in-coolers and freezers for over a decade. Smaller walk-in-coolers typically with self-contained systems are inclined to use HFC-134a. Walk-in coolrooms are estimated to account for around 330 tonnes of the refrigerant bank and consume approximately 110 to 120 tonnes of refrigerant per annum making them the stand out leakiest equipment category in the sector.</w:t>
      </w:r>
    </w:p>
    <w:p w14:paraId="2686C82C" w14:textId="004D5588" w:rsidR="00504BCC" w:rsidRPr="00504BCC" w:rsidRDefault="00504BCC" w:rsidP="00504BCC">
      <w:pPr>
        <w:rPr>
          <w:szCs w:val="22"/>
        </w:rPr>
      </w:pPr>
      <w:r w:rsidRPr="00504BCC">
        <w:rPr>
          <w:szCs w:val="22"/>
        </w:rPr>
        <w:t>Beverage cooling systems are a surprisingly large category employing approximately 470 tonnes of gas</w:t>
      </w:r>
      <w:r w:rsidR="001402F6">
        <w:rPr>
          <w:szCs w:val="22"/>
        </w:rPr>
        <w:t xml:space="preserve">, </w:t>
      </w:r>
      <w:r w:rsidRPr="00504BCC">
        <w:rPr>
          <w:szCs w:val="22"/>
        </w:rPr>
        <w:t>due to the large refrigerant charge required for beer chilling applications</w:t>
      </w:r>
      <w:r w:rsidR="001402F6">
        <w:rPr>
          <w:szCs w:val="22"/>
        </w:rPr>
        <w:t>. A</w:t>
      </w:r>
      <w:r w:rsidRPr="00504BCC">
        <w:rPr>
          <w:szCs w:val="22"/>
        </w:rPr>
        <w:t xml:space="preserve">n average </w:t>
      </w:r>
      <w:r w:rsidR="001402F6">
        <w:rPr>
          <w:szCs w:val="22"/>
        </w:rPr>
        <w:t>installation</w:t>
      </w:r>
      <w:r w:rsidRPr="00504BCC">
        <w:rPr>
          <w:szCs w:val="22"/>
        </w:rPr>
        <w:t xml:space="preserve"> can have 40 kilograms of refrigerant. Older systems use HCFC-22, however HFC-404A has been the refrigerant of choice for over a decade, with a small portion of systems operating on HFC-134a.</w:t>
      </w:r>
    </w:p>
    <w:p w14:paraId="1BBA0931" w14:textId="70EFF603" w:rsidR="00504BCC" w:rsidRPr="00504BCC" w:rsidRDefault="00504BCC" w:rsidP="00504BCC">
      <w:pPr>
        <w:rPr>
          <w:szCs w:val="22"/>
        </w:rPr>
      </w:pPr>
      <w:r w:rsidRPr="00504BCC">
        <w:rPr>
          <w:szCs w:val="22"/>
        </w:rPr>
        <w:t xml:space="preserve">Milk vat refrigeration units are used by dairy farmers to </w:t>
      </w:r>
      <w:r w:rsidR="001402F6">
        <w:rPr>
          <w:szCs w:val="22"/>
        </w:rPr>
        <w:t xml:space="preserve">rapidly </w:t>
      </w:r>
      <w:r w:rsidRPr="00504BCC">
        <w:rPr>
          <w:szCs w:val="22"/>
        </w:rPr>
        <w:t>chill fresh milk from 3</w:t>
      </w:r>
      <w:r w:rsidR="00B0541E">
        <w:rPr>
          <w:szCs w:val="22"/>
        </w:rPr>
        <w:t>4</w:t>
      </w:r>
      <w:r w:rsidRPr="00504BCC">
        <w:rPr>
          <w:szCs w:val="22"/>
        </w:rPr>
        <w:t>°C to 4°C prior to pick up by bulk tankers. There are two common milk cooling methods used on dairy farms, ‘direct expansion’ cooling and ‘indirect cooling’ systems</w:t>
      </w:r>
      <w:r w:rsidR="001402F6">
        <w:rPr>
          <w:szCs w:val="22"/>
        </w:rPr>
        <w:t>. Indirect cooling</w:t>
      </w:r>
      <w:r w:rsidRPr="00504BCC">
        <w:rPr>
          <w:szCs w:val="22"/>
        </w:rPr>
        <w:t xml:space="preserve"> uses a specialised </w:t>
      </w:r>
      <w:r w:rsidR="001402F6">
        <w:rPr>
          <w:szCs w:val="22"/>
        </w:rPr>
        <w:t xml:space="preserve">water </w:t>
      </w:r>
      <w:r w:rsidRPr="00504BCC">
        <w:rPr>
          <w:szCs w:val="22"/>
        </w:rPr>
        <w:t xml:space="preserve">chiller. </w:t>
      </w:r>
      <w:r w:rsidR="001402F6">
        <w:rPr>
          <w:szCs w:val="22"/>
        </w:rPr>
        <w:t>M</w:t>
      </w:r>
      <w:r w:rsidRPr="00504BCC">
        <w:rPr>
          <w:szCs w:val="22"/>
        </w:rPr>
        <w:t xml:space="preserve">ore than </w:t>
      </w:r>
      <w:r w:rsidR="001402F6">
        <w:rPr>
          <w:szCs w:val="22"/>
        </w:rPr>
        <w:t>half</w:t>
      </w:r>
      <w:r w:rsidRPr="00504BCC">
        <w:rPr>
          <w:szCs w:val="22"/>
        </w:rPr>
        <w:t xml:space="preserve"> of the existing fleet of direct expansion milk vat units use</w:t>
      </w:r>
      <w:r w:rsidR="00B0541E">
        <w:rPr>
          <w:szCs w:val="22"/>
        </w:rPr>
        <w:t xml:space="preserve"> </w:t>
      </w:r>
      <w:r w:rsidRPr="00504BCC">
        <w:rPr>
          <w:szCs w:val="22"/>
        </w:rPr>
        <w:t>very old belt drive technology charged with HCFC refrigerants. These systems employ drive shaft seals that high refrigerant leak rates of 25 per cent or more per annum. Milk vat refrigeration units are estimated to employ around 360 tonnes of refrigerant per annum and consume approximately 80 tonnes of gas every year to service that bank.</w:t>
      </w:r>
    </w:p>
    <w:p w14:paraId="79DFF1CD" w14:textId="77777777" w:rsidR="00504BCC" w:rsidRPr="004728E2" w:rsidRDefault="00504BCC" w:rsidP="00822BCE">
      <w:pPr>
        <w:spacing w:before="240"/>
        <w:rPr>
          <w:rFonts w:asciiTheme="majorHAnsi" w:hAnsiTheme="majorHAnsi"/>
          <w:b/>
          <w:sz w:val="24"/>
        </w:rPr>
      </w:pPr>
      <w:r w:rsidRPr="004728E2">
        <w:rPr>
          <w:rFonts w:asciiTheme="majorHAnsi" w:hAnsiTheme="majorHAnsi"/>
          <w:b/>
          <w:sz w:val="24"/>
        </w:rPr>
        <w:t>Supermarkets</w:t>
      </w:r>
    </w:p>
    <w:p w14:paraId="4260C6D1" w14:textId="2CE0298E" w:rsidR="00504BCC" w:rsidRPr="00504BCC" w:rsidRDefault="003B13FC" w:rsidP="00504BCC">
      <w:pPr>
        <w:rPr>
          <w:szCs w:val="22"/>
        </w:rPr>
      </w:pPr>
      <w:r>
        <w:rPr>
          <w:szCs w:val="22"/>
        </w:rPr>
        <w:t>Modern s</w:t>
      </w:r>
      <w:r w:rsidR="00504BCC" w:rsidRPr="00504BCC">
        <w:rPr>
          <w:szCs w:val="22"/>
        </w:rPr>
        <w:t xml:space="preserve">upermarkets </w:t>
      </w:r>
      <w:r>
        <w:rPr>
          <w:szCs w:val="22"/>
        </w:rPr>
        <w:t xml:space="preserve">are entirely reliant on the use of RAC systems with as much as 75% of all energy used in a supermarket likely to be consumed by either refrigeration or air conditioning services. Supermarkets also </w:t>
      </w:r>
      <w:r w:rsidR="00853467">
        <w:rPr>
          <w:szCs w:val="22"/>
        </w:rPr>
        <w:t>generally</w:t>
      </w:r>
      <w:r w:rsidR="00504BCC" w:rsidRPr="00504BCC">
        <w:rPr>
          <w:szCs w:val="22"/>
        </w:rPr>
        <w:t xml:space="preserve"> contain a </w:t>
      </w:r>
      <w:r>
        <w:rPr>
          <w:szCs w:val="22"/>
        </w:rPr>
        <w:t xml:space="preserve">wide </w:t>
      </w:r>
      <w:r w:rsidR="00504BCC" w:rsidRPr="00504BCC">
        <w:rPr>
          <w:szCs w:val="22"/>
        </w:rPr>
        <w:t xml:space="preserve">variety of refrigeration equipment including central plant </w:t>
      </w:r>
      <w:r w:rsidR="00A2416C">
        <w:rPr>
          <w:szCs w:val="22"/>
        </w:rPr>
        <w:t>‘</w:t>
      </w:r>
      <w:r w:rsidR="00504BCC" w:rsidRPr="00504BCC">
        <w:rPr>
          <w:szCs w:val="22"/>
        </w:rPr>
        <w:t>rack system</w:t>
      </w:r>
      <w:r w:rsidR="00A2416C">
        <w:rPr>
          <w:szCs w:val="22"/>
        </w:rPr>
        <w:t>s’</w:t>
      </w:r>
      <w:r w:rsidR="00504BCC" w:rsidRPr="00504BCC">
        <w:rPr>
          <w:szCs w:val="22"/>
        </w:rPr>
        <w:t xml:space="preserve">, remote condensing units servicing display cases and walk-in coolrooms, and self-contained merchandisers (discussed in the </w:t>
      </w:r>
      <w:r w:rsidR="009C6760">
        <w:rPr>
          <w:i/>
          <w:szCs w:val="22"/>
        </w:rPr>
        <w:t>Chapter</w:t>
      </w:r>
      <w:r w:rsidR="00504BCC" w:rsidRPr="00B0541E">
        <w:rPr>
          <w:i/>
          <w:szCs w:val="22"/>
        </w:rPr>
        <w:t xml:space="preserve"> </w:t>
      </w:r>
      <w:r w:rsidR="00A2416C" w:rsidRPr="00B0541E">
        <w:rPr>
          <w:i/>
          <w:szCs w:val="22"/>
        </w:rPr>
        <w:t>4.5.1</w:t>
      </w:r>
      <w:r w:rsidR="00504BCC" w:rsidRPr="00504BCC">
        <w:rPr>
          <w:szCs w:val="22"/>
        </w:rPr>
        <w:t xml:space="preserve">) located throughout the store. The refrigerant bank contained in supermarkets (excluding self-contained devices) is estimated to account for around </w:t>
      </w:r>
      <w:r w:rsidR="00A65F9F">
        <w:rPr>
          <w:szCs w:val="22"/>
        </w:rPr>
        <w:t>7</w:t>
      </w:r>
      <w:r w:rsidR="00504BCC" w:rsidRPr="00504BCC">
        <w:rPr>
          <w:szCs w:val="22"/>
        </w:rPr>
        <w:t xml:space="preserve"> per cent (~</w:t>
      </w:r>
      <w:r w:rsidR="00A65F9F">
        <w:rPr>
          <w:szCs w:val="22"/>
        </w:rPr>
        <w:t>3</w:t>
      </w:r>
      <w:r w:rsidR="00504BCC" w:rsidRPr="00504BCC">
        <w:rPr>
          <w:szCs w:val="22"/>
        </w:rPr>
        <w:t>,</w:t>
      </w:r>
      <w:r w:rsidR="00A65F9F">
        <w:rPr>
          <w:szCs w:val="22"/>
        </w:rPr>
        <w:t>200</w:t>
      </w:r>
      <w:r w:rsidR="00504BCC" w:rsidRPr="00504BCC">
        <w:rPr>
          <w:szCs w:val="22"/>
        </w:rPr>
        <w:t xml:space="preserve"> tonnes) of the total refrigerant bank and consume approximately 1</w:t>
      </w:r>
      <w:r w:rsidR="00A65F9F">
        <w:rPr>
          <w:szCs w:val="22"/>
        </w:rPr>
        <w:t>4</w:t>
      </w:r>
      <w:r w:rsidR="00504BCC" w:rsidRPr="00504BCC">
        <w:rPr>
          <w:szCs w:val="22"/>
        </w:rPr>
        <w:t xml:space="preserve">0 </w:t>
      </w:r>
      <w:r w:rsidR="00A65F9F">
        <w:rPr>
          <w:szCs w:val="22"/>
        </w:rPr>
        <w:t xml:space="preserve">to 150 </w:t>
      </w:r>
      <w:r w:rsidR="00504BCC" w:rsidRPr="00504BCC">
        <w:rPr>
          <w:szCs w:val="22"/>
        </w:rPr>
        <w:t xml:space="preserve">tonnes of annual refrigerant imports. </w:t>
      </w:r>
    </w:p>
    <w:p w14:paraId="15B807B6" w14:textId="642D7136" w:rsidR="00504BCC" w:rsidRPr="00504BCC" w:rsidRDefault="00504BCC" w:rsidP="00504BCC">
      <w:pPr>
        <w:rPr>
          <w:szCs w:val="22"/>
        </w:rPr>
      </w:pPr>
      <w:r w:rsidRPr="00504BCC">
        <w:rPr>
          <w:szCs w:val="22"/>
        </w:rPr>
        <w:t>A centralised supermarket refrigeration system will typically include 8 to 12 compressors ranging in capacity from 7.5 to 22.5 kWr serving both low and medium temperatures, built onto a rack system located in a separate plant room. Large supermarkets employ centralised equipment requiring refrigerant charges greater than 900 kilograms, with medium and small supermarkets generally requiring 600 kilograms and 160 kilograms of gas on average respectively. The large majority (85 per cent to 90 per cent) of refrigerant in supermarkets is HFC-404A</w:t>
      </w:r>
      <w:r w:rsidR="00A2416C">
        <w:rPr>
          <w:szCs w:val="22"/>
        </w:rPr>
        <w:t>. W</w:t>
      </w:r>
      <w:r w:rsidRPr="00504BCC">
        <w:rPr>
          <w:szCs w:val="22"/>
        </w:rPr>
        <w:t xml:space="preserve">here practical, the supermarket industry and many other medium temperature refrigeration applications are switching from HFC-404A to HFC-134a, partly because of the lower GWP of the HFC-134a refrigerant. Other recent </w:t>
      </w:r>
      <w:r w:rsidR="00A2416C">
        <w:rPr>
          <w:szCs w:val="22"/>
        </w:rPr>
        <w:t>trend</w:t>
      </w:r>
      <w:r w:rsidRPr="00504BCC">
        <w:rPr>
          <w:szCs w:val="22"/>
        </w:rPr>
        <w:t xml:space="preserve">s in this </w:t>
      </w:r>
      <w:r w:rsidR="00A2416C">
        <w:rPr>
          <w:szCs w:val="22"/>
        </w:rPr>
        <w:t>category</w:t>
      </w:r>
      <w:r w:rsidRPr="00504BCC">
        <w:rPr>
          <w:szCs w:val="22"/>
        </w:rPr>
        <w:t xml:space="preserve"> include </w:t>
      </w:r>
      <w:r w:rsidR="00A2416C">
        <w:rPr>
          <w:szCs w:val="22"/>
        </w:rPr>
        <w:t xml:space="preserve">the </w:t>
      </w:r>
      <w:r w:rsidRPr="00504BCC">
        <w:rPr>
          <w:szCs w:val="22"/>
        </w:rPr>
        <w:t xml:space="preserve">retrofitting of </w:t>
      </w:r>
      <w:r w:rsidRPr="00504BCC">
        <w:rPr>
          <w:szCs w:val="22"/>
        </w:rPr>
        <w:lastRenderedPageBreak/>
        <w:t xml:space="preserve">HFC-404A systems with </w:t>
      </w:r>
      <w:r w:rsidR="009773A9" w:rsidRPr="009773A9">
        <w:rPr>
          <w:szCs w:val="22"/>
        </w:rPr>
        <w:t>HFC-407F (GWP of 1,824)</w:t>
      </w:r>
      <w:r w:rsidR="00A2416C">
        <w:rPr>
          <w:szCs w:val="22"/>
        </w:rPr>
        <w:t xml:space="preserve"> </w:t>
      </w:r>
      <w:r w:rsidR="009773A9">
        <w:rPr>
          <w:szCs w:val="22"/>
        </w:rPr>
        <w:t>because of its lower GWP</w:t>
      </w:r>
      <w:r w:rsidRPr="00504BCC">
        <w:rPr>
          <w:szCs w:val="22"/>
        </w:rPr>
        <w:t xml:space="preserve">. With </w:t>
      </w:r>
      <w:r w:rsidR="00A2416C">
        <w:rPr>
          <w:szCs w:val="22"/>
        </w:rPr>
        <w:t>more than a</w:t>
      </w:r>
      <w:r w:rsidRPr="00504BCC">
        <w:rPr>
          <w:szCs w:val="22"/>
        </w:rPr>
        <w:t xml:space="preserve"> 100 tonnes of HFC-407</w:t>
      </w:r>
      <w:r w:rsidR="009773A9">
        <w:rPr>
          <w:szCs w:val="22"/>
        </w:rPr>
        <w:t>F</w:t>
      </w:r>
      <w:r w:rsidRPr="00504BCC">
        <w:rPr>
          <w:szCs w:val="22"/>
        </w:rPr>
        <w:t xml:space="preserve"> imported in 2012 the authors estimate that around 40 tonnes of HFC-404A has been </w:t>
      </w:r>
      <w:r w:rsidR="00A2416C">
        <w:rPr>
          <w:szCs w:val="22"/>
        </w:rPr>
        <w:t>replaced</w:t>
      </w:r>
      <w:r w:rsidRPr="00504BCC">
        <w:rPr>
          <w:szCs w:val="22"/>
        </w:rPr>
        <w:t xml:space="preserve">.  </w:t>
      </w:r>
    </w:p>
    <w:p w14:paraId="500C850B" w14:textId="77777777" w:rsidR="00504BCC" w:rsidRPr="00504BCC" w:rsidRDefault="00504BCC" w:rsidP="00504BCC">
      <w:pPr>
        <w:rPr>
          <w:szCs w:val="22"/>
        </w:rPr>
      </w:pPr>
      <w:r w:rsidRPr="00504BCC">
        <w:rPr>
          <w:szCs w:val="22"/>
        </w:rPr>
        <w:t>The main local manufacturers of refrigeration rack systems include Bitzer and supermarket contractors including McAlpine Hussmann (a subsidiary of Ingersoll Rand), Austral Refrigeration (a former division of the defunct Hastie Group) and regional players such as John A Gordon, Contract Refrigeration, A.J. Baker and Alkar. Other notable changes in the industry include the closure of a major supermarket contractor Frigrite Refrigeration and the relocation of Heatcraft condensing unit manufacturing operations to China.</w:t>
      </w:r>
    </w:p>
    <w:p w14:paraId="33DFAAB0" w14:textId="1F4C4F91" w:rsidR="004728E2" w:rsidRDefault="004728E2" w:rsidP="004728E2">
      <w:pPr>
        <w:rPr>
          <w:szCs w:val="22"/>
        </w:rPr>
      </w:pPr>
    </w:p>
    <w:p w14:paraId="025B5D8D" w14:textId="05B847FC" w:rsidR="004728E2" w:rsidRPr="004728E2" w:rsidRDefault="004728E2" w:rsidP="004728E2">
      <w:pPr>
        <w:pStyle w:val="Heading3"/>
      </w:pPr>
      <w:bookmarkStart w:id="28" w:name="_Toc233084144"/>
      <w:r w:rsidRPr="004728E2">
        <w:t>Industrial refrigeration</w:t>
      </w:r>
      <w:r w:rsidR="00822BCE">
        <w:t>, process chilling</w:t>
      </w:r>
      <w:r w:rsidRPr="004728E2">
        <w:t xml:space="preserve"> and cold storage</w:t>
      </w:r>
      <w:bookmarkEnd w:id="28"/>
    </w:p>
    <w:p w14:paraId="63DFB1C9" w14:textId="0DF6BAEE" w:rsidR="00504BCC" w:rsidRPr="00504BCC" w:rsidRDefault="00504BCC" w:rsidP="00504BCC">
      <w:pPr>
        <w:rPr>
          <w:szCs w:val="22"/>
        </w:rPr>
      </w:pPr>
      <w:r w:rsidRPr="00504BCC">
        <w:rPr>
          <w:szCs w:val="22"/>
        </w:rPr>
        <w:t>Industrial refrigeration (RCFC5), or process refrigeration, are terms commonly used to describe refrigeration applications in manufacturing processes</w:t>
      </w:r>
      <w:r w:rsidR="00D073AD">
        <w:rPr>
          <w:szCs w:val="22"/>
        </w:rPr>
        <w:t>,</w:t>
      </w:r>
      <w:r w:rsidRPr="00504BCC">
        <w:rPr>
          <w:szCs w:val="22"/>
        </w:rPr>
        <w:t xml:space="preserve"> and those using a heat exchanger and secondary refrigerant such as water, brine or glycol20 to create the refrigerating effect.</w:t>
      </w:r>
    </w:p>
    <w:p w14:paraId="17B45F90" w14:textId="4D2B6459" w:rsidR="00504BCC" w:rsidRPr="00504BCC" w:rsidRDefault="00504BCC" w:rsidP="00504BCC">
      <w:pPr>
        <w:rPr>
          <w:szCs w:val="22"/>
        </w:rPr>
      </w:pPr>
      <w:r w:rsidRPr="00504BCC">
        <w:rPr>
          <w:szCs w:val="22"/>
        </w:rPr>
        <w:t xml:space="preserve">Cold storage facilities and food manufacturers with in-house engineering expertise generally use industrial refrigeration systems with screw compressors </w:t>
      </w:r>
      <w:r w:rsidR="00D073AD">
        <w:rPr>
          <w:szCs w:val="22"/>
        </w:rPr>
        <w:t>or</w:t>
      </w:r>
      <w:r w:rsidRPr="00504BCC">
        <w:rPr>
          <w:szCs w:val="22"/>
        </w:rPr>
        <w:t xml:space="preserve"> large reciprocating compressors operating on </w:t>
      </w:r>
      <w:r w:rsidR="00360F46">
        <w:rPr>
          <w:szCs w:val="22"/>
        </w:rPr>
        <w:t xml:space="preserve">anhydrous </w:t>
      </w:r>
      <w:r w:rsidRPr="00504BCC">
        <w:rPr>
          <w:szCs w:val="22"/>
        </w:rPr>
        <w:t xml:space="preserve">ammonia (R717). There are a few </w:t>
      </w:r>
      <w:r w:rsidR="00D073AD">
        <w:rPr>
          <w:szCs w:val="22"/>
        </w:rPr>
        <w:t xml:space="preserve">industrial systems </w:t>
      </w:r>
      <w:r w:rsidRPr="00504BCC">
        <w:rPr>
          <w:szCs w:val="22"/>
        </w:rPr>
        <w:t>charged with HFC-404A</w:t>
      </w:r>
      <w:r w:rsidR="00D073AD">
        <w:rPr>
          <w:szCs w:val="22"/>
        </w:rPr>
        <w:t>,</w:t>
      </w:r>
      <w:r w:rsidRPr="00504BCC">
        <w:rPr>
          <w:szCs w:val="22"/>
        </w:rPr>
        <w:t xml:space="preserve"> and some older HCFC-22 charged systems in operation, however the</w:t>
      </w:r>
      <w:r w:rsidR="00D073AD">
        <w:rPr>
          <w:szCs w:val="22"/>
        </w:rPr>
        <w:t>se</w:t>
      </w:r>
      <w:r w:rsidRPr="00504BCC">
        <w:rPr>
          <w:szCs w:val="22"/>
        </w:rPr>
        <w:t xml:space="preserve"> are rare</w:t>
      </w:r>
      <w:r w:rsidR="00D262CF">
        <w:rPr>
          <w:szCs w:val="22"/>
        </w:rPr>
        <w:t>. A</w:t>
      </w:r>
      <w:r w:rsidRPr="00504BCC">
        <w:rPr>
          <w:szCs w:val="22"/>
        </w:rPr>
        <w:t xml:space="preserve">mmonia </w:t>
      </w:r>
      <w:r w:rsidR="00D073AD">
        <w:rPr>
          <w:szCs w:val="22"/>
        </w:rPr>
        <w:t xml:space="preserve">charged </w:t>
      </w:r>
      <w:r w:rsidRPr="00504BCC">
        <w:rPr>
          <w:szCs w:val="22"/>
        </w:rPr>
        <w:t>systems dominate this equipment category with 90 per cent to 95 per cent of applications based on refrigerant volume using ammonia.</w:t>
      </w:r>
    </w:p>
    <w:p w14:paraId="0D1BDC10" w14:textId="5483D7C7" w:rsidR="004728E2" w:rsidRDefault="00504BCC" w:rsidP="004728E2">
      <w:pPr>
        <w:rPr>
          <w:szCs w:val="22"/>
        </w:rPr>
      </w:pPr>
      <w:r w:rsidRPr="00504BCC">
        <w:rPr>
          <w:szCs w:val="22"/>
        </w:rPr>
        <w:t xml:space="preserve">Small packaged liquid chillers (RCFC1-10) are used in process applications in laboratories, </w:t>
      </w:r>
      <w:r w:rsidR="00D262CF">
        <w:rPr>
          <w:szCs w:val="22"/>
        </w:rPr>
        <w:t xml:space="preserve">some </w:t>
      </w:r>
      <w:r w:rsidRPr="00504BCC">
        <w:rPr>
          <w:szCs w:val="22"/>
        </w:rPr>
        <w:t>food and drinks processing</w:t>
      </w:r>
      <w:r w:rsidR="00D262CF">
        <w:rPr>
          <w:szCs w:val="22"/>
        </w:rPr>
        <w:t>,</w:t>
      </w:r>
      <w:r w:rsidRPr="00504BCC">
        <w:rPr>
          <w:szCs w:val="22"/>
        </w:rPr>
        <w:t xml:space="preserve"> and in other </w:t>
      </w:r>
      <w:r w:rsidR="00360F46">
        <w:rPr>
          <w:szCs w:val="22"/>
        </w:rPr>
        <w:t xml:space="preserve">applications in </w:t>
      </w:r>
      <w:r w:rsidRPr="00504BCC">
        <w:rPr>
          <w:szCs w:val="22"/>
        </w:rPr>
        <w:t xml:space="preserve">manufacturing and research </w:t>
      </w:r>
      <w:r w:rsidR="00360F46">
        <w:rPr>
          <w:szCs w:val="22"/>
        </w:rPr>
        <w:t xml:space="preserve">laboratories </w:t>
      </w:r>
      <w:r w:rsidRPr="00504BCC">
        <w:rPr>
          <w:szCs w:val="22"/>
        </w:rPr>
        <w:t xml:space="preserve">in a variety of industry sectors. They </w:t>
      </w:r>
      <w:r w:rsidR="00D262CF">
        <w:rPr>
          <w:szCs w:val="22"/>
        </w:rPr>
        <w:t>can</w:t>
      </w:r>
      <w:r w:rsidRPr="00504BCC">
        <w:rPr>
          <w:szCs w:val="22"/>
        </w:rPr>
        <w:t xml:space="preserve"> have refrigerating capacities ranging from 10 kWr to more than 1,000 kWr. Refrigerant types used in </w:t>
      </w:r>
      <w:r w:rsidR="00D262CF">
        <w:rPr>
          <w:szCs w:val="22"/>
        </w:rPr>
        <w:t xml:space="preserve">these rare and specialised </w:t>
      </w:r>
      <w:r w:rsidRPr="00504BCC">
        <w:rPr>
          <w:szCs w:val="22"/>
        </w:rPr>
        <w:t xml:space="preserve">packaged liquid chillers vary significantly depending on the temperature range, size, application and design. Refrigerants used include HFC-134a, HFC-404A, </w:t>
      </w:r>
      <w:r>
        <w:rPr>
          <w:szCs w:val="22"/>
        </w:rPr>
        <w:t>HFC-407C, HFC-410A and HCFC-22.</w:t>
      </w:r>
    </w:p>
    <w:p w14:paraId="0B19D6BD" w14:textId="77777777" w:rsidR="00504BCC" w:rsidRDefault="00504BCC" w:rsidP="004728E2">
      <w:pPr>
        <w:rPr>
          <w:szCs w:val="22"/>
        </w:rPr>
      </w:pPr>
    </w:p>
    <w:p w14:paraId="395B0BB0" w14:textId="1E90BE0B" w:rsidR="004728E2" w:rsidRPr="004728E2" w:rsidRDefault="004728E2" w:rsidP="004728E2">
      <w:pPr>
        <w:pStyle w:val="Heading3"/>
      </w:pPr>
      <w:bookmarkStart w:id="29" w:name="_Toc233084145"/>
      <w:r>
        <w:t>R</w:t>
      </w:r>
      <w:r w:rsidRPr="004728E2">
        <w:t>efrigerat</w:t>
      </w:r>
      <w:r>
        <w:t>ed transport</w:t>
      </w:r>
      <w:bookmarkEnd w:id="29"/>
    </w:p>
    <w:p w14:paraId="34725561" w14:textId="76C6DB1E" w:rsidR="00504BCC" w:rsidRPr="00504BCC" w:rsidRDefault="001C0124" w:rsidP="00504BCC">
      <w:pPr>
        <w:rPr>
          <w:szCs w:val="22"/>
        </w:rPr>
      </w:pPr>
      <w:r>
        <w:rPr>
          <w:szCs w:val="22"/>
        </w:rPr>
        <w:t>Around 42</w:t>
      </w:r>
      <w:r w:rsidR="003D1E16">
        <w:rPr>
          <w:szCs w:val="22"/>
        </w:rPr>
        <w:t xml:space="preserve"> per cent </w:t>
      </w:r>
      <w:r>
        <w:rPr>
          <w:szCs w:val="22"/>
        </w:rPr>
        <w:t>of all of Australia’s ‘non-bulk’ road transport is for moving food and groceries</w:t>
      </w:r>
      <w:r w:rsidR="003D1E16">
        <w:rPr>
          <w:szCs w:val="22"/>
        </w:rPr>
        <w:t xml:space="preserve"> (DAFF 2012)</w:t>
      </w:r>
      <w:r>
        <w:rPr>
          <w:szCs w:val="22"/>
        </w:rPr>
        <w:t xml:space="preserve">. </w:t>
      </w:r>
      <w:r w:rsidR="00504BCC" w:rsidRPr="00504BCC">
        <w:rPr>
          <w:szCs w:val="22"/>
        </w:rPr>
        <w:t>The majority of refrigerated transport (RCFC2) includes road, rail and intermodal containers, commonly referred to as ‘transport refrigeration’</w:t>
      </w:r>
      <w:r w:rsidR="00D262CF">
        <w:rPr>
          <w:szCs w:val="22"/>
        </w:rPr>
        <w:t>.</w:t>
      </w:r>
      <w:r w:rsidR="00504BCC" w:rsidRPr="00504BCC">
        <w:rPr>
          <w:szCs w:val="22"/>
        </w:rPr>
        <w:t xml:space="preserve"> </w:t>
      </w:r>
      <w:r w:rsidR="009773A9">
        <w:rPr>
          <w:szCs w:val="22"/>
        </w:rPr>
        <w:t>Refrigeration systems on fishing vessels and coastal shipping are</w:t>
      </w:r>
      <w:r w:rsidR="00D262CF">
        <w:rPr>
          <w:szCs w:val="22"/>
        </w:rPr>
        <w:t xml:space="preserve"> simply called ‘marine’. The majority of marine systems are </w:t>
      </w:r>
      <w:r w:rsidR="00504BCC" w:rsidRPr="00504BCC">
        <w:rPr>
          <w:szCs w:val="22"/>
        </w:rPr>
        <w:t xml:space="preserve">on fishing vessels. </w:t>
      </w:r>
    </w:p>
    <w:p w14:paraId="07097BA1" w14:textId="70DCEBF5" w:rsidR="00504BCC" w:rsidRPr="00504BCC" w:rsidRDefault="00504BCC" w:rsidP="00504BCC">
      <w:pPr>
        <w:rPr>
          <w:szCs w:val="22"/>
        </w:rPr>
      </w:pPr>
      <w:r w:rsidRPr="00504BCC">
        <w:rPr>
          <w:szCs w:val="22"/>
        </w:rPr>
        <w:t xml:space="preserve">The transport refrigeration bank is estimated to comprise less than 0.4 per cent (~170 tonnes) of the refrigerant bank and consumes approximately 1 per cent (~50 tonnes) of annual synthetic refrigerant consumption, mostly in service and replenishment following system failures. </w:t>
      </w:r>
    </w:p>
    <w:p w14:paraId="11D88CB5" w14:textId="77777777" w:rsidR="00504BCC" w:rsidRPr="00504BCC" w:rsidRDefault="00504BCC" w:rsidP="00504BCC">
      <w:pPr>
        <w:rPr>
          <w:szCs w:val="22"/>
        </w:rPr>
      </w:pPr>
      <w:r w:rsidRPr="00504BCC">
        <w:rPr>
          <w:szCs w:val="22"/>
        </w:rPr>
        <w:t>Transport refrigeration technology is made up of:</w:t>
      </w:r>
    </w:p>
    <w:p w14:paraId="3B9ABE97" w14:textId="6E7CA9F1" w:rsidR="00504BCC" w:rsidRPr="00E47AD7" w:rsidRDefault="00504BCC" w:rsidP="00D05A74">
      <w:pPr>
        <w:pStyle w:val="ListParagraph"/>
        <w:numPr>
          <w:ilvl w:val="0"/>
          <w:numId w:val="21"/>
        </w:numPr>
        <w:spacing w:before="120" w:after="0" w:line="240" w:lineRule="auto"/>
        <w:ind w:left="357" w:hanging="357"/>
        <w:contextualSpacing w:val="0"/>
        <w:rPr>
          <w:rFonts w:ascii="Times New Roman" w:hAnsi="Times New Roman"/>
        </w:rPr>
      </w:pPr>
      <w:r w:rsidRPr="00E47AD7">
        <w:rPr>
          <w:rFonts w:ascii="Times New Roman" w:hAnsi="Times New Roman"/>
        </w:rPr>
        <w:t xml:space="preserve">The transport refrigeration units (TRUs) used on articulated trucks and trailers or intermodal (road or rail) containers described as the trailer/intermodal segment; </w:t>
      </w:r>
    </w:p>
    <w:p w14:paraId="3A8E8198" w14:textId="23574176" w:rsidR="00504BCC" w:rsidRPr="00E47AD7" w:rsidRDefault="00504BCC" w:rsidP="00D05A74">
      <w:pPr>
        <w:pStyle w:val="ListParagraph"/>
        <w:numPr>
          <w:ilvl w:val="0"/>
          <w:numId w:val="21"/>
        </w:numPr>
        <w:spacing w:before="120" w:after="0" w:line="240" w:lineRule="auto"/>
        <w:ind w:left="357" w:hanging="357"/>
        <w:contextualSpacing w:val="0"/>
        <w:rPr>
          <w:rFonts w:ascii="Times New Roman" w:hAnsi="Times New Roman"/>
        </w:rPr>
      </w:pPr>
      <w:r w:rsidRPr="00E47AD7">
        <w:rPr>
          <w:rFonts w:ascii="Times New Roman" w:hAnsi="Times New Roman"/>
        </w:rPr>
        <w:t>The diesel drive segment largely comprising rigid trucks with a gross vehicle mass of 3 to 8 tonnes; and,</w:t>
      </w:r>
    </w:p>
    <w:p w14:paraId="080E7CCA" w14:textId="2120454A" w:rsidR="00504BCC" w:rsidRPr="00E47AD7" w:rsidRDefault="00504BCC" w:rsidP="00D05A74">
      <w:pPr>
        <w:pStyle w:val="ListParagraph"/>
        <w:numPr>
          <w:ilvl w:val="0"/>
          <w:numId w:val="21"/>
        </w:numPr>
        <w:spacing w:before="120" w:after="0" w:line="240" w:lineRule="auto"/>
        <w:ind w:left="357" w:hanging="357"/>
        <w:contextualSpacing w:val="0"/>
        <w:rPr>
          <w:rFonts w:ascii="Times New Roman" w:hAnsi="Times New Roman"/>
        </w:rPr>
      </w:pPr>
      <w:r w:rsidRPr="00E47AD7">
        <w:rPr>
          <w:rFonts w:ascii="Times New Roman" w:hAnsi="Times New Roman"/>
        </w:rPr>
        <w:t xml:space="preserve">Off-engine vehicle powered refrigeration units used on small trucks and vans. </w:t>
      </w:r>
    </w:p>
    <w:p w14:paraId="2ED5F952" w14:textId="512BC1D5" w:rsidR="00504BCC" w:rsidRPr="00504BCC" w:rsidRDefault="00504BCC" w:rsidP="00504BCC">
      <w:pPr>
        <w:rPr>
          <w:szCs w:val="22"/>
        </w:rPr>
      </w:pPr>
      <w:r w:rsidRPr="00504BCC">
        <w:rPr>
          <w:szCs w:val="22"/>
        </w:rPr>
        <w:t xml:space="preserve">The large majority of equipment in service has shaft seals and vibra-sorber hoses (i.e. stainless steel braided flexible hoses). Over the equipment’s lifespan it is typical to see at least one compressor replacement, shaft seal failure and a vibra-sorber failure. The shaft seal and hose </w:t>
      </w:r>
      <w:r w:rsidR="006A3437">
        <w:rPr>
          <w:szCs w:val="22"/>
        </w:rPr>
        <w:t xml:space="preserve">failures </w:t>
      </w:r>
      <w:r w:rsidRPr="00504BCC">
        <w:rPr>
          <w:szCs w:val="22"/>
        </w:rPr>
        <w:t>would most likely result in the total loss of refrigerant charge. Compressor replacement would typically involve reclaim and reuse of the refrigerant.</w:t>
      </w:r>
    </w:p>
    <w:p w14:paraId="61CA9182" w14:textId="77777777" w:rsidR="00504BCC" w:rsidRPr="00504BCC" w:rsidRDefault="00504BCC" w:rsidP="00504BCC">
      <w:pPr>
        <w:rPr>
          <w:szCs w:val="22"/>
        </w:rPr>
      </w:pPr>
      <w:r w:rsidRPr="00504BCC">
        <w:rPr>
          <w:szCs w:val="22"/>
        </w:rPr>
        <w:lastRenderedPageBreak/>
        <w:t xml:space="preserve">The trailer/intermodal and diesel drive units are imported fully charged, tested and ready to be fitted. Off-engine units are imported with a nitrogen holding charge to keep the system pressurised and clean as they have to be ‘plumbed’ up with piping and a compressor by the installer. Refrigeration systems for trucks, trailers and intermodal refrigerated containers are predominantly charged with HFC-404A with a typical charge of between 6 and 10 kilograms. Some smaller systems can use HFC-134a with charges below 4 kilograms. </w:t>
      </w:r>
    </w:p>
    <w:p w14:paraId="333D1672" w14:textId="77777777" w:rsidR="00504BCC" w:rsidRPr="00504BCC" w:rsidRDefault="00504BCC" w:rsidP="00504BCC">
      <w:pPr>
        <w:rPr>
          <w:szCs w:val="22"/>
        </w:rPr>
      </w:pPr>
      <w:r w:rsidRPr="00504BCC">
        <w:rPr>
          <w:szCs w:val="22"/>
        </w:rPr>
        <w:t>The existing stock is prone to high leak rates estimated at around 20 per cent per annum, however much attention in recent designs has been focused on the elimination of as many joints as possible. As a result fully sealed systems without shaft seals or flexible hoses are now available.</w:t>
      </w:r>
    </w:p>
    <w:p w14:paraId="4992F4AC" w14:textId="5903A941" w:rsidR="00504BCC" w:rsidRPr="00504BCC" w:rsidRDefault="00504BCC" w:rsidP="00504BCC">
      <w:pPr>
        <w:rPr>
          <w:szCs w:val="22"/>
        </w:rPr>
      </w:pPr>
      <w:r w:rsidRPr="00504BCC">
        <w:rPr>
          <w:szCs w:val="22"/>
        </w:rPr>
        <w:t>Marine refrigeration is estimated to comprise around 0.1 per cent (~55 tonnes) of the refrigerant bank yet involving very high annual consumption of around 2 per cent of all bulk imports (~1</w:t>
      </w:r>
      <w:r w:rsidR="005F4E7E">
        <w:rPr>
          <w:szCs w:val="22"/>
        </w:rPr>
        <w:t>6</w:t>
      </w:r>
      <w:r w:rsidRPr="00504BCC">
        <w:rPr>
          <w:szCs w:val="22"/>
        </w:rPr>
        <w:t xml:space="preserve"> tonnes) as a result of the often extremely high leak rates that are observed in fishing vessels of between 25 per cent and 30 per cent per annum.</w:t>
      </w:r>
      <w:r w:rsidR="00625900">
        <w:rPr>
          <w:rStyle w:val="FootnoteReference"/>
          <w:szCs w:val="22"/>
        </w:rPr>
        <w:footnoteReference w:id="13"/>
      </w:r>
      <w:r w:rsidRPr="00504BCC">
        <w:rPr>
          <w:szCs w:val="22"/>
        </w:rPr>
        <w:t xml:space="preserve"> Fishing vessel systems are very hard working systems in very difficult environments with normal machine vibration exacerbated by the high vibration and sometimes relatively violent movement of the vessel, combined with high humidity plus the corrosive effects of salt.</w:t>
      </w:r>
    </w:p>
    <w:p w14:paraId="25C13B7C" w14:textId="77777777" w:rsidR="00504BCC" w:rsidRPr="00504BCC" w:rsidRDefault="00504BCC" w:rsidP="00504BCC">
      <w:pPr>
        <w:rPr>
          <w:szCs w:val="22"/>
        </w:rPr>
      </w:pPr>
      <w:r w:rsidRPr="00504BCC">
        <w:rPr>
          <w:szCs w:val="22"/>
        </w:rPr>
        <w:t>Marine refrigeration as defined in this report is for fishing vessels that contain specialised chilling and blast freezing equipment on vessels typically over 20 metres in length, however some refrigeration can be found on vessels of between 10 and 20 metres long.</w:t>
      </w:r>
    </w:p>
    <w:p w14:paraId="31D75CA0" w14:textId="5C85326C" w:rsidR="004728E2" w:rsidRDefault="00504BCC" w:rsidP="00E47AD7">
      <w:pPr>
        <w:rPr>
          <w:szCs w:val="22"/>
        </w:rPr>
      </w:pPr>
      <w:r w:rsidRPr="00504BCC">
        <w:rPr>
          <w:szCs w:val="22"/>
        </w:rPr>
        <w:t>An unknown number (certainly in the tens of thousands) of refrigerated shipping containers commonly known as “Reefers” enter and leave Australian ports every year, primarily carrying perishable foods. Most of the refrigerant consumption in manufacturing and service of Reefers occurs overseas.</w:t>
      </w:r>
    </w:p>
    <w:p w14:paraId="7CEC52D7" w14:textId="77777777" w:rsidR="00E47AD7" w:rsidRDefault="00E47AD7" w:rsidP="00E47AD7">
      <w:pPr>
        <w:rPr>
          <w:szCs w:val="22"/>
        </w:rPr>
      </w:pPr>
    </w:p>
    <w:p w14:paraId="46B9775A" w14:textId="77777777" w:rsidR="00C97391" w:rsidRDefault="00C97391">
      <w:pPr>
        <w:spacing w:before="0"/>
        <w:jc w:val="left"/>
        <w:rPr>
          <w:i/>
          <w:szCs w:val="22"/>
        </w:rPr>
      </w:pPr>
      <w:r>
        <w:rPr>
          <w:i/>
          <w:szCs w:val="22"/>
        </w:rPr>
        <w:br w:type="page"/>
      </w:r>
    </w:p>
    <w:p w14:paraId="45A05F8D" w14:textId="0DBDD5A3" w:rsidR="004728E2" w:rsidRPr="00D16B26" w:rsidRDefault="004728E2" w:rsidP="004728E2">
      <w:pPr>
        <w:rPr>
          <w:i/>
          <w:szCs w:val="22"/>
        </w:rPr>
      </w:pPr>
      <w:bookmarkStart w:id="30" w:name="_Toc233084057"/>
      <w:r w:rsidRPr="00D16B26">
        <w:rPr>
          <w:i/>
          <w:szCs w:val="22"/>
        </w:rPr>
        <w:lastRenderedPageBreak/>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13</w:t>
      </w:r>
      <w:r w:rsidRPr="00D16B26">
        <w:rPr>
          <w:i/>
          <w:szCs w:val="22"/>
        </w:rPr>
        <w:fldChar w:fldCharType="end"/>
      </w:r>
      <w:r w:rsidRPr="00D16B26">
        <w:rPr>
          <w:i/>
          <w:szCs w:val="22"/>
        </w:rPr>
        <w:t xml:space="preserve">: </w:t>
      </w:r>
      <w:r w:rsidR="00B948FC">
        <w:rPr>
          <w:i/>
          <w:szCs w:val="22"/>
        </w:rPr>
        <w:t>Refrigerated cold food chain</w:t>
      </w:r>
      <w:r>
        <w:rPr>
          <w:i/>
          <w:szCs w:val="22"/>
        </w:rPr>
        <w:t xml:space="preserve"> m</w:t>
      </w:r>
      <w:r w:rsidRPr="00866793">
        <w:rPr>
          <w:i/>
          <w:szCs w:val="22"/>
        </w:rPr>
        <w:t>ain metrics</w:t>
      </w:r>
      <w:bookmarkEnd w:id="30"/>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4536"/>
      </w:tblGrid>
      <w:tr w:rsidR="004728E2" w:rsidRPr="00866793" w14:paraId="754F2B1E" w14:textId="77777777" w:rsidTr="00AA2B87">
        <w:trPr>
          <w:trHeight w:val="456"/>
        </w:trPr>
        <w:tc>
          <w:tcPr>
            <w:tcW w:w="9639" w:type="dxa"/>
            <w:gridSpan w:val="2"/>
            <w:tcBorders>
              <w:top w:val="single" w:sz="4" w:space="0" w:color="000000"/>
            </w:tcBorders>
            <w:shd w:val="clear" w:color="auto" w:fill="000000"/>
            <w:vAlign w:val="center"/>
          </w:tcPr>
          <w:p w14:paraId="347E88B4" w14:textId="53674156" w:rsidR="004728E2" w:rsidRPr="00866793" w:rsidRDefault="00B948FC" w:rsidP="00AA2B87">
            <w:pPr>
              <w:spacing w:before="60" w:after="60"/>
              <w:jc w:val="left"/>
              <w:rPr>
                <w:szCs w:val="22"/>
              </w:rPr>
            </w:pPr>
            <w:r>
              <w:rPr>
                <w:szCs w:val="22"/>
              </w:rPr>
              <w:t>Refrigerated cold food chain</w:t>
            </w:r>
            <w:r w:rsidR="004728E2">
              <w:rPr>
                <w:szCs w:val="22"/>
              </w:rPr>
              <w:t xml:space="preserve"> s</w:t>
            </w:r>
            <w:r w:rsidR="004728E2" w:rsidRPr="00866793">
              <w:rPr>
                <w:szCs w:val="22"/>
              </w:rPr>
              <w:t>ummary all categories</w:t>
            </w:r>
          </w:p>
        </w:tc>
      </w:tr>
      <w:tr w:rsidR="004728E2" w:rsidRPr="00923150" w14:paraId="578C001A" w14:textId="77777777" w:rsidTr="00AA2B87">
        <w:trPr>
          <w:trHeight w:val="456"/>
        </w:trPr>
        <w:tc>
          <w:tcPr>
            <w:tcW w:w="5103" w:type="dxa"/>
            <w:tcBorders>
              <w:top w:val="single" w:sz="4" w:space="0" w:color="000000"/>
            </w:tcBorders>
            <w:vAlign w:val="center"/>
          </w:tcPr>
          <w:p w14:paraId="793613E8" w14:textId="03EEF325" w:rsidR="004728E2" w:rsidRPr="00866793" w:rsidRDefault="004728E2" w:rsidP="000E61CD">
            <w:pPr>
              <w:spacing w:before="60" w:after="60"/>
              <w:jc w:val="left"/>
              <w:rPr>
                <w:rFonts w:cs="Times New Roman"/>
                <w:szCs w:val="22"/>
              </w:rPr>
            </w:pPr>
            <w:r w:rsidRPr="00866793">
              <w:rPr>
                <w:rFonts w:cs="Times New Roman"/>
                <w:szCs w:val="22"/>
              </w:rPr>
              <w:t xml:space="preserve">Share of </w:t>
            </w:r>
            <w:r w:rsidR="000E61CD">
              <w:rPr>
                <w:rFonts w:cs="Times New Roman"/>
                <w:szCs w:val="22"/>
              </w:rPr>
              <w:t>refrigerant</w:t>
            </w:r>
            <w:r w:rsidRPr="00866793">
              <w:rPr>
                <w:rFonts w:cs="Times New Roman"/>
                <w:szCs w:val="22"/>
              </w:rPr>
              <w:t xml:space="preserve"> bank:</w:t>
            </w:r>
          </w:p>
        </w:tc>
        <w:tc>
          <w:tcPr>
            <w:tcW w:w="4536" w:type="dxa"/>
            <w:tcBorders>
              <w:top w:val="single" w:sz="4" w:space="0" w:color="000000"/>
            </w:tcBorders>
            <w:vAlign w:val="center"/>
          </w:tcPr>
          <w:p w14:paraId="2AA6AEC8" w14:textId="5EDB3AFC" w:rsidR="004728E2" w:rsidRPr="00866793" w:rsidRDefault="00AA2B87" w:rsidP="00AA2B87">
            <w:pPr>
              <w:spacing w:before="60" w:after="60"/>
              <w:jc w:val="left"/>
              <w:rPr>
                <w:rFonts w:cs="Times New Roman"/>
                <w:szCs w:val="22"/>
              </w:rPr>
            </w:pPr>
            <w:r>
              <w:t>11</w:t>
            </w:r>
            <w:r w:rsidR="004728E2" w:rsidRPr="00F75D99">
              <w:t>%</w:t>
            </w:r>
          </w:p>
        </w:tc>
      </w:tr>
      <w:tr w:rsidR="004728E2" w:rsidRPr="00923150" w14:paraId="75D6875E" w14:textId="77777777" w:rsidTr="00AA2B87">
        <w:trPr>
          <w:trHeight w:val="456"/>
        </w:trPr>
        <w:tc>
          <w:tcPr>
            <w:tcW w:w="5103" w:type="dxa"/>
            <w:tcBorders>
              <w:top w:val="single" w:sz="4" w:space="0" w:color="000000"/>
            </w:tcBorders>
            <w:vAlign w:val="center"/>
          </w:tcPr>
          <w:p w14:paraId="30ECD04B" w14:textId="1DD7FB2F" w:rsidR="004728E2" w:rsidRPr="00866793" w:rsidRDefault="004728E2" w:rsidP="000E61CD">
            <w:pPr>
              <w:spacing w:before="60" w:after="60"/>
              <w:jc w:val="left"/>
              <w:rPr>
                <w:rFonts w:cs="Times New Roman"/>
                <w:szCs w:val="22"/>
              </w:rPr>
            </w:pPr>
            <w:r w:rsidRPr="00866793">
              <w:rPr>
                <w:rFonts w:cs="Times New Roman"/>
                <w:szCs w:val="22"/>
              </w:rPr>
              <w:t xml:space="preserve">Size of </w:t>
            </w:r>
            <w:r w:rsidR="000E61CD">
              <w:rPr>
                <w:rFonts w:cs="Times New Roman"/>
                <w:szCs w:val="22"/>
              </w:rPr>
              <w:t>refrigerant</w:t>
            </w:r>
            <w:r w:rsidRPr="00866793">
              <w:rPr>
                <w:rFonts w:cs="Times New Roman"/>
                <w:szCs w:val="22"/>
              </w:rPr>
              <w:t xml:space="preserve"> bank:</w:t>
            </w:r>
          </w:p>
        </w:tc>
        <w:tc>
          <w:tcPr>
            <w:tcW w:w="4536" w:type="dxa"/>
            <w:tcBorders>
              <w:top w:val="single" w:sz="4" w:space="0" w:color="000000"/>
            </w:tcBorders>
            <w:vAlign w:val="center"/>
          </w:tcPr>
          <w:p w14:paraId="07FFA7D7" w14:textId="0DDC640B" w:rsidR="004728E2" w:rsidRPr="00866793" w:rsidRDefault="00AA2B87" w:rsidP="00AA2B87">
            <w:pPr>
              <w:spacing w:before="60" w:after="60"/>
              <w:jc w:val="left"/>
              <w:rPr>
                <w:rFonts w:cs="Times New Roman"/>
                <w:szCs w:val="22"/>
              </w:rPr>
            </w:pPr>
            <w:r>
              <w:t>5,000</w:t>
            </w:r>
            <w:r w:rsidR="004728E2" w:rsidRPr="00F75D99">
              <w:t xml:space="preserve"> tonnes</w:t>
            </w:r>
          </w:p>
        </w:tc>
      </w:tr>
      <w:tr w:rsidR="004728E2" w:rsidRPr="00923150" w14:paraId="4450DB38" w14:textId="77777777" w:rsidTr="00AA2B87">
        <w:trPr>
          <w:trHeight w:val="456"/>
        </w:trPr>
        <w:tc>
          <w:tcPr>
            <w:tcW w:w="5103" w:type="dxa"/>
            <w:tcBorders>
              <w:top w:val="single" w:sz="4" w:space="0" w:color="000000"/>
            </w:tcBorders>
            <w:vAlign w:val="center"/>
          </w:tcPr>
          <w:p w14:paraId="42141E0E" w14:textId="42B30DA8" w:rsidR="004728E2" w:rsidRPr="00866793" w:rsidRDefault="004728E2" w:rsidP="00AA2B87">
            <w:pPr>
              <w:spacing w:before="60" w:after="60"/>
              <w:jc w:val="left"/>
              <w:rPr>
                <w:rFonts w:cs="Times New Roman"/>
                <w:szCs w:val="22"/>
              </w:rPr>
            </w:pPr>
            <w:r w:rsidRPr="00866793">
              <w:rPr>
                <w:rFonts w:cs="Times New Roman"/>
                <w:szCs w:val="22"/>
              </w:rPr>
              <w:t>Annual consumption to replace leaks</w:t>
            </w:r>
            <w:r w:rsidR="00801EA4">
              <w:rPr>
                <w:rFonts w:cs="Times New Roman"/>
                <w:szCs w:val="22"/>
              </w:rPr>
              <w:t xml:space="preserve"> (excl. OEM and charging </w:t>
            </w:r>
            <w:r w:rsidR="00877C77">
              <w:rPr>
                <w:rFonts w:cs="Times New Roman"/>
                <w:szCs w:val="22"/>
              </w:rPr>
              <w:t>new equipment)</w:t>
            </w:r>
            <w:r w:rsidRPr="00866793">
              <w:rPr>
                <w:rFonts w:cs="Times New Roman"/>
                <w:szCs w:val="22"/>
              </w:rPr>
              <w:t>:</w:t>
            </w:r>
          </w:p>
        </w:tc>
        <w:tc>
          <w:tcPr>
            <w:tcW w:w="4536" w:type="dxa"/>
            <w:tcBorders>
              <w:top w:val="single" w:sz="4" w:space="0" w:color="000000"/>
            </w:tcBorders>
            <w:vAlign w:val="center"/>
          </w:tcPr>
          <w:p w14:paraId="18D1D123" w14:textId="7DAB95CA" w:rsidR="004728E2" w:rsidRPr="00866793" w:rsidRDefault="00877C77" w:rsidP="00877C77">
            <w:pPr>
              <w:spacing w:before="60" w:after="60"/>
              <w:jc w:val="left"/>
              <w:rPr>
                <w:rFonts w:cs="Times New Roman"/>
                <w:szCs w:val="22"/>
              </w:rPr>
            </w:pPr>
            <w:r>
              <w:t>614</w:t>
            </w:r>
            <w:r w:rsidR="004728E2" w:rsidRPr="00F75D99">
              <w:t xml:space="preserve"> tonnes per annum</w:t>
            </w:r>
          </w:p>
        </w:tc>
      </w:tr>
      <w:tr w:rsidR="004728E2" w:rsidRPr="00923150" w14:paraId="6CB644CF" w14:textId="77777777" w:rsidTr="00AA2B87">
        <w:trPr>
          <w:trHeight w:val="456"/>
        </w:trPr>
        <w:tc>
          <w:tcPr>
            <w:tcW w:w="5103" w:type="dxa"/>
            <w:tcBorders>
              <w:top w:val="single" w:sz="4" w:space="0" w:color="000000"/>
            </w:tcBorders>
            <w:vAlign w:val="center"/>
          </w:tcPr>
          <w:p w14:paraId="6CF6D353" w14:textId="77777777" w:rsidR="004728E2" w:rsidRPr="00866793" w:rsidRDefault="004728E2" w:rsidP="00AA2B87">
            <w:pPr>
              <w:spacing w:before="60" w:after="60"/>
              <w:jc w:val="left"/>
              <w:rPr>
                <w:rFonts w:cs="Times New Roman"/>
                <w:szCs w:val="22"/>
              </w:rPr>
            </w:pPr>
            <w:r w:rsidRPr="00866793">
              <w:rPr>
                <w:rFonts w:cs="Times New Roman"/>
                <w:szCs w:val="22"/>
              </w:rPr>
              <w:t>Share of total annual bulk imports to replace leaks:</w:t>
            </w:r>
          </w:p>
        </w:tc>
        <w:tc>
          <w:tcPr>
            <w:tcW w:w="4536" w:type="dxa"/>
            <w:tcBorders>
              <w:top w:val="single" w:sz="4" w:space="0" w:color="000000"/>
            </w:tcBorders>
            <w:vAlign w:val="center"/>
          </w:tcPr>
          <w:p w14:paraId="54160B24" w14:textId="72D2570E" w:rsidR="004728E2" w:rsidRPr="00866793" w:rsidRDefault="004728E2" w:rsidP="00877C77">
            <w:pPr>
              <w:spacing w:before="60" w:after="60"/>
              <w:jc w:val="left"/>
              <w:rPr>
                <w:rFonts w:cs="Times New Roman"/>
                <w:szCs w:val="22"/>
              </w:rPr>
            </w:pPr>
            <w:r w:rsidRPr="00F75D99">
              <w:t>&lt;</w:t>
            </w:r>
            <w:r>
              <w:t xml:space="preserve"> </w:t>
            </w:r>
            <w:r w:rsidR="00877C77">
              <w:t>19</w:t>
            </w:r>
            <w:r w:rsidR="00AA2B87">
              <w:t>%</w:t>
            </w:r>
          </w:p>
        </w:tc>
      </w:tr>
      <w:tr w:rsidR="004728E2" w:rsidRPr="00923150" w14:paraId="123F9B97" w14:textId="77777777" w:rsidTr="00AA2B87">
        <w:trPr>
          <w:trHeight w:val="456"/>
        </w:trPr>
        <w:tc>
          <w:tcPr>
            <w:tcW w:w="5103" w:type="dxa"/>
            <w:tcBorders>
              <w:top w:val="single" w:sz="4" w:space="0" w:color="000000"/>
            </w:tcBorders>
            <w:vAlign w:val="center"/>
          </w:tcPr>
          <w:p w14:paraId="277AA626" w14:textId="0336D3C0" w:rsidR="004728E2" w:rsidRPr="00866793" w:rsidRDefault="0091033E" w:rsidP="00AA2B87">
            <w:pPr>
              <w:spacing w:before="60" w:after="60"/>
              <w:jc w:val="left"/>
              <w:rPr>
                <w:rFonts w:cs="Times New Roman"/>
                <w:szCs w:val="22"/>
              </w:rPr>
            </w:pPr>
            <w:r w:rsidRPr="0091033E">
              <w:rPr>
                <w:rFonts w:cs="Times New Roman"/>
                <w:szCs w:val="22"/>
              </w:rPr>
              <w:t>Gas in pre-charged equipment imports over previous five years (excl. 2012):</w:t>
            </w:r>
          </w:p>
        </w:tc>
        <w:tc>
          <w:tcPr>
            <w:tcW w:w="4536" w:type="dxa"/>
            <w:tcBorders>
              <w:top w:val="single" w:sz="4" w:space="0" w:color="000000"/>
            </w:tcBorders>
            <w:vAlign w:val="center"/>
          </w:tcPr>
          <w:p w14:paraId="2744B77A" w14:textId="58FCF6CC" w:rsidR="004728E2" w:rsidRPr="00866793" w:rsidRDefault="00AA2B87" w:rsidP="0091033E">
            <w:pPr>
              <w:spacing w:before="60" w:after="60"/>
              <w:jc w:val="left"/>
              <w:rPr>
                <w:rFonts w:cs="Times New Roman"/>
                <w:szCs w:val="22"/>
              </w:rPr>
            </w:pPr>
            <w:r>
              <w:rPr>
                <w:rFonts w:eastAsia="Times New Roman"/>
              </w:rPr>
              <w:t>6</w:t>
            </w:r>
            <w:r w:rsidR="004728E2" w:rsidRPr="00FA279D">
              <w:rPr>
                <w:rFonts w:eastAsia="Times New Roman"/>
              </w:rPr>
              <w:t xml:space="preserve">0 to </w:t>
            </w:r>
            <w:r w:rsidR="0091033E">
              <w:rPr>
                <w:rFonts w:eastAsia="Times New Roman"/>
              </w:rPr>
              <w:t>9</w:t>
            </w:r>
            <w:r>
              <w:rPr>
                <w:rFonts w:eastAsia="Times New Roman"/>
              </w:rPr>
              <w:t>0</w:t>
            </w:r>
            <w:r w:rsidR="004728E2" w:rsidRPr="00FA279D">
              <w:rPr>
                <w:rFonts w:eastAsia="Times New Roman"/>
              </w:rPr>
              <w:t xml:space="preserve"> tonnes per annum</w:t>
            </w:r>
          </w:p>
        </w:tc>
      </w:tr>
      <w:tr w:rsidR="004728E2" w:rsidRPr="00923150" w14:paraId="13BBC125" w14:textId="77777777" w:rsidTr="00AA2B87">
        <w:trPr>
          <w:trHeight w:val="456"/>
        </w:trPr>
        <w:tc>
          <w:tcPr>
            <w:tcW w:w="5103" w:type="dxa"/>
            <w:tcBorders>
              <w:top w:val="single" w:sz="4" w:space="0" w:color="000000"/>
            </w:tcBorders>
            <w:vAlign w:val="center"/>
          </w:tcPr>
          <w:p w14:paraId="2D40A249" w14:textId="77777777" w:rsidR="004728E2" w:rsidRPr="00866793" w:rsidRDefault="004728E2" w:rsidP="00AA2B87">
            <w:pPr>
              <w:spacing w:before="60" w:after="60"/>
              <w:jc w:val="left"/>
              <w:rPr>
                <w:rFonts w:cs="Times New Roman"/>
                <w:szCs w:val="22"/>
              </w:rPr>
            </w:pPr>
            <w:r w:rsidRPr="00866793">
              <w:rPr>
                <w:rFonts w:cs="Times New Roman"/>
                <w:szCs w:val="22"/>
              </w:rPr>
              <w:t>Estimated stock of equipment:</w:t>
            </w:r>
          </w:p>
        </w:tc>
        <w:tc>
          <w:tcPr>
            <w:tcW w:w="4536" w:type="dxa"/>
            <w:tcBorders>
              <w:top w:val="single" w:sz="4" w:space="0" w:color="000000"/>
            </w:tcBorders>
            <w:vAlign w:val="center"/>
          </w:tcPr>
          <w:p w14:paraId="239E875D" w14:textId="4AA0DABF" w:rsidR="004728E2" w:rsidRPr="00866793" w:rsidRDefault="004728E2" w:rsidP="00AA2B87">
            <w:pPr>
              <w:spacing w:before="60" w:after="60"/>
              <w:jc w:val="left"/>
              <w:rPr>
                <w:rFonts w:cs="Times New Roman"/>
                <w:szCs w:val="22"/>
              </w:rPr>
            </w:pPr>
            <w:r w:rsidRPr="00A140EF">
              <w:t xml:space="preserve">&gt; 1 million </w:t>
            </w:r>
            <w:r w:rsidR="00AA2B87">
              <w:t>devices</w:t>
            </w:r>
          </w:p>
        </w:tc>
      </w:tr>
      <w:tr w:rsidR="004728E2" w:rsidRPr="00923150" w14:paraId="5D53EE01" w14:textId="77777777" w:rsidTr="00AA2B87">
        <w:trPr>
          <w:trHeight w:val="456"/>
        </w:trPr>
        <w:tc>
          <w:tcPr>
            <w:tcW w:w="5103" w:type="dxa"/>
            <w:tcBorders>
              <w:top w:val="single" w:sz="4" w:space="0" w:color="000000"/>
            </w:tcBorders>
            <w:vAlign w:val="center"/>
          </w:tcPr>
          <w:p w14:paraId="24ED716C" w14:textId="77777777" w:rsidR="004728E2" w:rsidRPr="00866793" w:rsidRDefault="004728E2" w:rsidP="00AA2B87">
            <w:pPr>
              <w:spacing w:before="60" w:after="60"/>
              <w:jc w:val="left"/>
              <w:rPr>
                <w:rFonts w:cs="Times New Roman"/>
                <w:szCs w:val="22"/>
              </w:rPr>
            </w:pPr>
            <w:r w:rsidRPr="00866793">
              <w:rPr>
                <w:rFonts w:cs="Times New Roman"/>
                <w:szCs w:val="22"/>
              </w:rPr>
              <w:t>Charge size:</w:t>
            </w:r>
          </w:p>
        </w:tc>
        <w:tc>
          <w:tcPr>
            <w:tcW w:w="4536" w:type="dxa"/>
            <w:tcBorders>
              <w:top w:val="single" w:sz="4" w:space="0" w:color="000000"/>
            </w:tcBorders>
            <w:vAlign w:val="center"/>
          </w:tcPr>
          <w:p w14:paraId="442512ED" w14:textId="028DEEA9" w:rsidR="004728E2" w:rsidRPr="00866793" w:rsidRDefault="00AA2B87" w:rsidP="00AA2B87">
            <w:pPr>
              <w:spacing w:before="60" w:after="60"/>
              <w:jc w:val="left"/>
              <w:rPr>
                <w:rFonts w:cs="Times New Roman"/>
                <w:szCs w:val="22"/>
              </w:rPr>
            </w:pPr>
            <w:r w:rsidRPr="00AA2B87">
              <w:rPr>
                <w:rFonts w:eastAsia="Times New Roman"/>
              </w:rPr>
              <w:t xml:space="preserve">40 grams </w:t>
            </w:r>
            <w:r>
              <w:rPr>
                <w:rFonts w:eastAsia="Times New Roman"/>
              </w:rPr>
              <w:t xml:space="preserve">(water cooler) </w:t>
            </w:r>
            <w:r w:rsidRPr="00AA2B87">
              <w:rPr>
                <w:rFonts w:eastAsia="Times New Roman"/>
              </w:rPr>
              <w:t>to &gt; 1 tonne</w:t>
            </w:r>
            <w:r>
              <w:rPr>
                <w:rFonts w:eastAsia="Times New Roman"/>
              </w:rPr>
              <w:t xml:space="preserve"> (large supermarket or system)</w:t>
            </w:r>
          </w:p>
        </w:tc>
      </w:tr>
      <w:tr w:rsidR="004728E2" w:rsidRPr="00923150" w14:paraId="2BF9A3DD" w14:textId="77777777" w:rsidTr="00AA2B87">
        <w:trPr>
          <w:trHeight w:val="456"/>
        </w:trPr>
        <w:tc>
          <w:tcPr>
            <w:tcW w:w="5103" w:type="dxa"/>
            <w:tcBorders>
              <w:top w:val="single" w:sz="4" w:space="0" w:color="000000"/>
            </w:tcBorders>
            <w:vAlign w:val="center"/>
          </w:tcPr>
          <w:p w14:paraId="77DE8962" w14:textId="77777777" w:rsidR="004728E2" w:rsidRPr="00866793" w:rsidRDefault="004728E2" w:rsidP="00AA2B87">
            <w:pPr>
              <w:spacing w:before="60" w:after="60"/>
              <w:jc w:val="left"/>
              <w:rPr>
                <w:rFonts w:cs="Times New Roman"/>
                <w:szCs w:val="22"/>
              </w:rPr>
            </w:pPr>
            <w:r w:rsidRPr="00866793">
              <w:rPr>
                <w:rFonts w:cs="Times New Roman"/>
                <w:szCs w:val="22"/>
              </w:rPr>
              <w:t>Estimated leak rate:</w:t>
            </w:r>
          </w:p>
        </w:tc>
        <w:tc>
          <w:tcPr>
            <w:tcW w:w="4536" w:type="dxa"/>
            <w:tcBorders>
              <w:top w:val="single" w:sz="4" w:space="0" w:color="000000"/>
            </w:tcBorders>
            <w:vAlign w:val="center"/>
          </w:tcPr>
          <w:p w14:paraId="2F495975" w14:textId="314F4AC1" w:rsidR="004728E2" w:rsidRPr="00866793" w:rsidRDefault="00AA2B87" w:rsidP="00AA2B87">
            <w:pPr>
              <w:spacing w:before="60" w:after="60"/>
              <w:jc w:val="left"/>
              <w:rPr>
                <w:rFonts w:cs="Times New Roman"/>
                <w:szCs w:val="22"/>
              </w:rPr>
            </w:pPr>
            <w:r w:rsidRPr="00FA279D">
              <w:rPr>
                <w:rFonts w:eastAsia="Times New Roman"/>
              </w:rPr>
              <w:t>3% to 25% of charge per annum</w:t>
            </w:r>
            <w:r w:rsidRPr="00FA279D">
              <w:rPr>
                <w:rStyle w:val="FootnoteReference"/>
                <w:rFonts w:eastAsia="Times New Roman"/>
              </w:rPr>
              <w:footnoteReference w:id="14"/>
            </w:r>
          </w:p>
        </w:tc>
      </w:tr>
      <w:tr w:rsidR="004728E2" w:rsidRPr="00923150" w14:paraId="2D511B9A" w14:textId="77777777" w:rsidTr="00AA2B87">
        <w:trPr>
          <w:trHeight w:val="456"/>
        </w:trPr>
        <w:tc>
          <w:tcPr>
            <w:tcW w:w="5103" w:type="dxa"/>
            <w:tcBorders>
              <w:top w:val="single" w:sz="4" w:space="0" w:color="000000"/>
            </w:tcBorders>
            <w:vAlign w:val="center"/>
          </w:tcPr>
          <w:p w14:paraId="23101E44" w14:textId="77777777" w:rsidR="004728E2" w:rsidRPr="00866793" w:rsidRDefault="004728E2" w:rsidP="00AA2B87">
            <w:pPr>
              <w:spacing w:before="60" w:after="60"/>
              <w:jc w:val="left"/>
              <w:rPr>
                <w:rFonts w:cs="Times New Roman"/>
                <w:szCs w:val="22"/>
              </w:rPr>
            </w:pPr>
            <w:r w:rsidRPr="00866793">
              <w:rPr>
                <w:rFonts w:cs="Times New Roman"/>
                <w:szCs w:val="22"/>
              </w:rPr>
              <w:t>Predominant gas species used by volume:</w:t>
            </w:r>
          </w:p>
        </w:tc>
        <w:tc>
          <w:tcPr>
            <w:tcW w:w="4536" w:type="dxa"/>
            <w:tcBorders>
              <w:top w:val="single" w:sz="4" w:space="0" w:color="000000"/>
            </w:tcBorders>
            <w:vAlign w:val="center"/>
          </w:tcPr>
          <w:p w14:paraId="3C65ED65" w14:textId="07D183AB" w:rsidR="004728E2" w:rsidRPr="00866793" w:rsidRDefault="00B14C07" w:rsidP="00AA2B87">
            <w:pPr>
              <w:spacing w:before="60" w:after="60"/>
              <w:jc w:val="left"/>
              <w:rPr>
                <w:rFonts w:cs="Times New Roman"/>
                <w:szCs w:val="22"/>
              </w:rPr>
            </w:pPr>
            <w:r w:rsidRPr="00FA279D">
              <w:rPr>
                <w:rFonts w:eastAsia="Times New Roman"/>
              </w:rPr>
              <w:t>HFC-404A, HFC-134a, HCFC-22, HFC-407F, CO</w:t>
            </w:r>
            <w:r w:rsidRPr="00FA279D">
              <w:rPr>
                <w:rFonts w:eastAsia="Times New Roman"/>
                <w:vertAlign w:val="subscript"/>
              </w:rPr>
              <w:t>2</w:t>
            </w:r>
            <w:r w:rsidRPr="00FA279D">
              <w:rPr>
                <w:rFonts w:eastAsia="Times New Roman"/>
              </w:rPr>
              <w:t>, hydrocarbons and ammonia</w:t>
            </w:r>
          </w:p>
        </w:tc>
      </w:tr>
      <w:tr w:rsidR="004728E2" w:rsidRPr="00923150" w14:paraId="3BD247AE" w14:textId="77777777" w:rsidTr="00AA2B87">
        <w:trPr>
          <w:trHeight w:val="456"/>
        </w:trPr>
        <w:tc>
          <w:tcPr>
            <w:tcW w:w="5103" w:type="dxa"/>
            <w:tcBorders>
              <w:top w:val="single" w:sz="4" w:space="0" w:color="000000"/>
            </w:tcBorders>
            <w:vAlign w:val="center"/>
          </w:tcPr>
          <w:p w14:paraId="1B9CA99B" w14:textId="77777777" w:rsidR="004728E2" w:rsidRPr="00866793" w:rsidRDefault="004728E2" w:rsidP="00AA2B87">
            <w:pPr>
              <w:spacing w:before="60" w:after="60"/>
              <w:jc w:val="left"/>
              <w:rPr>
                <w:rFonts w:cs="Times New Roman"/>
                <w:szCs w:val="22"/>
              </w:rPr>
            </w:pPr>
            <w:r w:rsidRPr="00866793">
              <w:rPr>
                <w:rFonts w:cs="Times New Roman"/>
                <w:szCs w:val="22"/>
              </w:rPr>
              <w:t xml:space="preserve">Annual </w:t>
            </w:r>
            <w:r>
              <w:rPr>
                <w:rFonts w:cs="Times New Roman"/>
                <w:szCs w:val="22"/>
              </w:rPr>
              <w:t>e</w:t>
            </w:r>
            <w:r w:rsidRPr="00866793">
              <w:rPr>
                <w:rFonts w:cs="Times New Roman"/>
                <w:szCs w:val="22"/>
              </w:rPr>
              <w:t xml:space="preserve">xpenditure on </w:t>
            </w:r>
            <w:r>
              <w:rPr>
                <w:rFonts w:cs="Times New Roman"/>
                <w:szCs w:val="22"/>
              </w:rPr>
              <w:t>n</w:t>
            </w:r>
            <w:r w:rsidRPr="00866793">
              <w:rPr>
                <w:rFonts w:cs="Times New Roman"/>
                <w:szCs w:val="22"/>
              </w:rPr>
              <w:t xml:space="preserve">ew </w:t>
            </w:r>
            <w:r>
              <w:rPr>
                <w:rFonts w:cs="Times New Roman"/>
                <w:szCs w:val="22"/>
              </w:rPr>
              <w:t>e</w:t>
            </w:r>
            <w:r w:rsidRPr="00866793">
              <w:rPr>
                <w:rFonts w:cs="Times New Roman"/>
                <w:szCs w:val="22"/>
              </w:rPr>
              <w:t>quipment</w:t>
            </w:r>
            <w:r>
              <w:rPr>
                <w:rFonts w:cs="Times New Roman"/>
                <w:szCs w:val="22"/>
              </w:rPr>
              <w:t>:</w:t>
            </w:r>
          </w:p>
        </w:tc>
        <w:tc>
          <w:tcPr>
            <w:tcW w:w="4536" w:type="dxa"/>
            <w:tcBorders>
              <w:top w:val="single" w:sz="4" w:space="0" w:color="000000"/>
            </w:tcBorders>
            <w:vAlign w:val="center"/>
          </w:tcPr>
          <w:p w14:paraId="64235DCC" w14:textId="21F5BB03" w:rsidR="004728E2" w:rsidRPr="00866793" w:rsidRDefault="00B14C07" w:rsidP="00B14C07">
            <w:pPr>
              <w:spacing w:before="60" w:after="60"/>
              <w:jc w:val="left"/>
              <w:rPr>
                <w:rFonts w:cs="Times New Roman"/>
                <w:szCs w:val="22"/>
              </w:rPr>
            </w:pPr>
            <w:r w:rsidRPr="00FA279D">
              <w:rPr>
                <w:rFonts w:eastAsia="Times New Roman"/>
              </w:rPr>
              <w:t>~$0.782 B</w:t>
            </w:r>
            <w:r>
              <w:rPr>
                <w:rFonts w:eastAsia="Times New Roman"/>
              </w:rPr>
              <w:t>illion</w:t>
            </w:r>
          </w:p>
        </w:tc>
      </w:tr>
      <w:tr w:rsidR="004728E2" w:rsidRPr="00923150" w14:paraId="7B756F09" w14:textId="77777777" w:rsidTr="00AA2B87">
        <w:trPr>
          <w:trHeight w:val="456"/>
        </w:trPr>
        <w:tc>
          <w:tcPr>
            <w:tcW w:w="5103" w:type="dxa"/>
            <w:tcBorders>
              <w:top w:val="single" w:sz="4" w:space="0" w:color="000000"/>
            </w:tcBorders>
            <w:vAlign w:val="center"/>
          </w:tcPr>
          <w:p w14:paraId="0D14BF9F" w14:textId="77777777" w:rsidR="004728E2" w:rsidRPr="00866793" w:rsidRDefault="004728E2" w:rsidP="00AA2B87">
            <w:pPr>
              <w:spacing w:before="60" w:after="60"/>
              <w:jc w:val="left"/>
              <w:rPr>
                <w:rFonts w:cs="Times New Roman"/>
                <w:szCs w:val="22"/>
              </w:rPr>
            </w:pPr>
            <w:r>
              <w:rPr>
                <w:rFonts w:cs="Times New Roman"/>
                <w:szCs w:val="22"/>
              </w:rPr>
              <w:t>Annual electricity consumption:</w:t>
            </w:r>
          </w:p>
        </w:tc>
        <w:tc>
          <w:tcPr>
            <w:tcW w:w="4536" w:type="dxa"/>
            <w:tcBorders>
              <w:top w:val="single" w:sz="4" w:space="0" w:color="000000"/>
            </w:tcBorders>
            <w:vAlign w:val="center"/>
          </w:tcPr>
          <w:p w14:paraId="7007EF54" w14:textId="3AA12914" w:rsidR="004728E2" w:rsidRPr="00A140EF" w:rsidRDefault="00B14C07" w:rsidP="00B14C07">
            <w:pPr>
              <w:spacing w:before="60" w:after="60"/>
              <w:jc w:val="left"/>
            </w:pPr>
            <w:r>
              <w:rPr>
                <w:rFonts w:eastAsia="Times New Roman"/>
              </w:rPr>
              <w:t>14,657</w:t>
            </w:r>
            <w:r w:rsidR="004728E2" w:rsidRPr="00FA279D">
              <w:rPr>
                <w:rFonts w:eastAsia="Times New Roman"/>
              </w:rPr>
              <w:t xml:space="preserve"> GWh</w:t>
            </w:r>
          </w:p>
        </w:tc>
      </w:tr>
      <w:tr w:rsidR="004728E2" w:rsidRPr="00923150" w14:paraId="0371FE3F" w14:textId="77777777" w:rsidTr="00AA2B87">
        <w:trPr>
          <w:trHeight w:val="456"/>
        </w:trPr>
        <w:tc>
          <w:tcPr>
            <w:tcW w:w="5103" w:type="dxa"/>
            <w:tcBorders>
              <w:top w:val="single" w:sz="4" w:space="0" w:color="000000"/>
            </w:tcBorders>
            <w:vAlign w:val="center"/>
          </w:tcPr>
          <w:p w14:paraId="6331A07B" w14:textId="77777777" w:rsidR="004728E2" w:rsidRPr="00866793" w:rsidRDefault="004728E2" w:rsidP="00AA2B87">
            <w:pPr>
              <w:spacing w:before="60" w:after="60"/>
              <w:jc w:val="left"/>
              <w:rPr>
                <w:rFonts w:cs="Times New Roman"/>
                <w:szCs w:val="22"/>
              </w:rPr>
            </w:pPr>
            <w:r>
              <w:rPr>
                <w:rFonts w:cs="Times New Roman"/>
                <w:szCs w:val="22"/>
              </w:rPr>
              <w:t>Share of HVAC&amp;R electrical consumption:</w:t>
            </w:r>
          </w:p>
        </w:tc>
        <w:tc>
          <w:tcPr>
            <w:tcW w:w="4536" w:type="dxa"/>
            <w:tcBorders>
              <w:top w:val="single" w:sz="4" w:space="0" w:color="000000"/>
            </w:tcBorders>
            <w:vAlign w:val="center"/>
          </w:tcPr>
          <w:p w14:paraId="01E68466" w14:textId="24CA172F" w:rsidR="004728E2" w:rsidRPr="00A140EF" w:rsidRDefault="00B14C07" w:rsidP="008F5965">
            <w:pPr>
              <w:spacing w:before="60" w:after="60"/>
              <w:jc w:val="left"/>
            </w:pPr>
            <w:r>
              <w:rPr>
                <w:rFonts w:eastAsia="Times New Roman"/>
              </w:rPr>
              <w:t>2</w:t>
            </w:r>
            <w:r w:rsidR="008F5965">
              <w:rPr>
                <w:rFonts w:eastAsia="Times New Roman"/>
              </w:rPr>
              <w:t>5</w:t>
            </w:r>
            <w:r w:rsidR="004728E2" w:rsidRPr="00FA279D">
              <w:rPr>
                <w:rFonts w:eastAsia="Times New Roman"/>
              </w:rPr>
              <w:t>%</w:t>
            </w:r>
          </w:p>
        </w:tc>
      </w:tr>
      <w:tr w:rsidR="004728E2" w:rsidRPr="00923150" w14:paraId="6A689FA5" w14:textId="77777777" w:rsidTr="00AA2B87">
        <w:trPr>
          <w:trHeight w:val="456"/>
        </w:trPr>
        <w:tc>
          <w:tcPr>
            <w:tcW w:w="5103" w:type="dxa"/>
            <w:tcBorders>
              <w:top w:val="single" w:sz="4" w:space="0" w:color="000000"/>
            </w:tcBorders>
            <w:vAlign w:val="center"/>
          </w:tcPr>
          <w:p w14:paraId="47336B6A" w14:textId="77777777" w:rsidR="004728E2" w:rsidRPr="00866793" w:rsidRDefault="004728E2" w:rsidP="00AA2B87">
            <w:pPr>
              <w:spacing w:before="60" w:after="60"/>
              <w:jc w:val="left"/>
              <w:rPr>
                <w:rFonts w:cs="Times New Roman"/>
                <w:szCs w:val="22"/>
              </w:rPr>
            </w:pPr>
            <w:r w:rsidRPr="00866793">
              <w:rPr>
                <w:rFonts w:cs="Times New Roman"/>
                <w:szCs w:val="22"/>
              </w:rPr>
              <w:t xml:space="preserve">Annual GHG </w:t>
            </w:r>
            <w:r>
              <w:rPr>
                <w:rFonts w:cs="Times New Roman"/>
                <w:szCs w:val="22"/>
              </w:rPr>
              <w:t>indirect e</w:t>
            </w:r>
            <w:r w:rsidRPr="00866793">
              <w:rPr>
                <w:rFonts w:cs="Times New Roman"/>
                <w:szCs w:val="22"/>
              </w:rPr>
              <w:t>missions</w:t>
            </w:r>
            <w:r>
              <w:rPr>
                <w:rFonts w:cs="Times New Roman"/>
                <w:szCs w:val="22"/>
              </w:rPr>
              <w:t>:</w:t>
            </w:r>
          </w:p>
        </w:tc>
        <w:tc>
          <w:tcPr>
            <w:tcW w:w="4536" w:type="dxa"/>
            <w:tcBorders>
              <w:top w:val="single" w:sz="4" w:space="0" w:color="000000"/>
            </w:tcBorders>
            <w:vAlign w:val="center"/>
          </w:tcPr>
          <w:p w14:paraId="1AAC98A5" w14:textId="7B9B064E" w:rsidR="004728E2" w:rsidRPr="00866793" w:rsidRDefault="00B14C07" w:rsidP="00B14C07">
            <w:pPr>
              <w:spacing w:before="60" w:after="60"/>
              <w:jc w:val="left"/>
              <w:rPr>
                <w:rFonts w:cs="Times New Roman"/>
                <w:szCs w:val="22"/>
              </w:rPr>
            </w:pPr>
            <w:r>
              <w:rPr>
                <w:rFonts w:eastAsia="Times New Roman"/>
              </w:rPr>
              <w:t>13.6</w:t>
            </w:r>
            <w:r w:rsidR="004728E2" w:rsidRPr="00FA279D">
              <w:rPr>
                <w:rFonts w:eastAsia="Times New Roman"/>
              </w:rPr>
              <w:t xml:space="preserve"> Mt CO</w:t>
            </w:r>
            <w:r w:rsidR="004728E2" w:rsidRPr="00FA279D">
              <w:rPr>
                <w:rFonts w:eastAsia="Times New Roman"/>
                <w:vertAlign w:val="subscript"/>
              </w:rPr>
              <w:t>2</w:t>
            </w:r>
            <w:r w:rsidR="004728E2" w:rsidRPr="00FA279D">
              <w:rPr>
                <w:rFonts w:eastAsia="Times New Roman"/>
              </w:rPr>
              <w:t>-e</w:t>
            </w:r>
          </w:p>
        </w:tc>
      </w:tr>
      <w:tr w:rsidR="004728E2" w:rsidRPr="00923150" w14:paraId="08B0EF15" w14:textId="77777777" w:rsidTr="00AA2B87">
        <w:trPr>
          <w:trHeight w:val="456"/>
        </w:trPr>
        <w:tc>
          <w:tcPr>
            <w:tcW w:w="5103" w:type="dxa"/>
            <w:tcBorders>
              <w:top w:val="single" w:sz="4" w:space="0" w:color="000000"/>
            </w:tcBorders>
            <w:vAlign w:val="center"/>
          </w:tcPr>
          <w:p w14:paraId="4AC17580" w14:textId="77777777" w:rsidR="004728E2" w:rsidRPr="00866793" w:rsidRDefault="004728E2" w:rsidP="00AA2B87">
            <w:pPr>
              <w:spacing w:before="60" w:after="60"/>
              <w:jc w:val="left"/>
              <w:rPr>
                <w:rFonts w:cs="Times New Roman"/>
                <w:szCs w:val="22"/>
              </w:rPr>
            </w:pPr>
            <w:r>
              <w:rPr>
                <w:rFonts w:cs="Times New Roman"/>
                <w:szCs w:val="22"/>
              </w:rPr>
              <w:t>Share of HVAC&amp;R i</w:t>
            </w:r>
            <w:r w:rsidRPr="00866793">
              <w:rPr>
                <w:rFonts w:cs="Times New Roman"/>
                <w:szCs w:val="22"/>
              </w:rPr>
              <w:t xml:space="preserve">ndirect </w:t>
            </w:r>
            <w:r>
              <w:rPr>
                <w:rFonts w:cs="Times New Roman"/>
                <w:szCs w:val="22"/>
              </w:rPr>
              <w:t>e</w:t>
            </w:r>
            <w:r w:rsidRPr="00866793">
              <w:rPr>
                <w:rFonts w:cs="Times New Roman"/>
                <w:szCs w:val="22"/>
              </w:rPr>
              <w:t>missions</w:t>
            </w:r>
            <w:r>
              <w:rPr>
                <w:rFonts w:cs="Times New Roman"/>
                <w:szCs w:val="22"/>
              </w:rPr>
              <w:t>:</w:t>
            </w:r>
          </w:p>
        </w:tc>
        <w:tc>
          <w:tcPr>
            <w:tcW w:w="4536" w:type="dxa"/>
            <w:tcBorders>
              <w:top w:val="single" w:sz="4" w:space="0" w:color="000000"/>
            </w:tcBorders>
            <w:vAlign w:val="center"/>
          </w:tcPr>
          <w:p w14:paraId="7AC5934D" w14:textId="2FDBA21A" w:rsidR="004728E2" w:rsidRPr="00866793" w:rsidRDefault="00B14C07" w:rsidP="008F5965">
            <w:pPr>
              <w:spacing w:before="60" w:after="60"/>
              <w:jc w:val="left"/>
              <w:rPr>
                <w:rFonts w:cs="Times New Roman"/>
                <w:szCs w:val="22"/>
              </w:rPr>
            </w:pPr>
            <w:r>
              <w:rPr>
                <w:rFonts w:eastAsia="Times New Roman"/>
              </w:rPr>
              <w:t>2</w:t>
            </w:r>
            <w:r w:rsidR="008F5965">
              <w:rPr>
                <w:rFonts w:eastAsia="Times New Roman"/>
              </w:rPr>
              <w:t>4</w:t>
            </w:r>
            <w:r w:rsidR="004728E2" w:rsidRPr="00FA279D">
              <w:rPr>
                <w:rFonts w:eastAsia="Times New Roman"/>
              </w:rPr>
              <w:t>%</w:t>
            </w:r>
          </w:p>
        </w:tc>
      </w:tr>
      <w:tr w:rsidR="004728E2" w:rsidRPr="00923150" w14:paraId="3411BDB1" w14:textId="77777777" w:rsidTr="00AA2B87">
        <w:trPr>
          <w:trHeight w:val="456"/>
        </w:trPr>
        <w:tc>
          <w:tcPr>
            <w:tcW w:w="5103" w:type="dxa"/>
            <w:tcBorders>
              <w:top w:val="single" w:sz="4" w:space="0" w:color="000000"/>
            </w:tcBorders>
            <w:vAlign w:val="center"/>
          </w:tcPr>
          <w:p w14:paraId="06D0A0B8" w14:textId="42594112" w:rsidR="004728E2" w:rsidRPr="00866793" w:rsidRDefault="004728E2" w:rsidP="00AA2B87">
            <w:pPr>
              <w:spacing w:before="60" w:after="60"/>
              <w:jc w:val="left"/>
              <w:rPr>
                <w:rFonts w:cs="Times New Roman"/>
                <w:szCs w:val="22"/>
              </w:rPr>
            </w:pPr>
            <w:r w:rsidRPr="00866793">
              <w:rPr>
                <w:rFonts w:cs="Times New Roman"/>
                <w:szCs w:val="22"/>
              </w:rPr>
              <w:t xml:space="preserve">Annual GHG </w:t>
            </w:r>
            <w:r>
              <w:rPr>
                <w:rFonts w:cs="Times New Roman"/>
                <w:szCs w:val="22"/>
              </w:rPr>
              <w:t>direct e</w:t>
            </w:r>
            <w:r w:rsidRPr="00866793">
              <w:rPr>
                <w:rFonts w:cs="Times New Roman"/>
                <w:szCs w:val="22"/>
              </w:rPr>
              <w:t>missions</w:t>
            </w:r>
            <w:r w:rsidR="008F5965">
              <w:rPr>
                <w:rFonts w:cs="Times New Roman"/>
                <w:szCs w:val="22"/>
              </w:rPr>
              <w:t xml:space="preserve"> (ODS)</w:t>
            </w:r>
            <w:r>
              <w:rPr>
                <w:rFonts w:cs="Times New Roman"/>
                <w:szCs w:val="22"/>
              </w:rPr>
              <w:t>:</w:t>
            </w:r>
          </w:p>
        </w:tc>
        <w:tc>
          <w:tcPr>
            <w:tcW w:w="4536" w:type="dxa"/>
            <w:tcBorders>
              <w:top w:val="single" w:sz="4" w:space="0" w:color="000000"/>
            </w:tcBorders>
            <w:vAlign w:val="center"/>
          </w:tcPr>
          <w:p w14:paraId="0CB26D24" w14:textId="4F14BFCB" w:rsidR="004728E2" w:rsidRPr="00866793" w:rsidRDefault="008F5965" w:rsidP="008F5965">
            <w:pPr>
              <w:spacing w:before="60" w:after="60"/>
              <w:jc w:val="left"/>
              <w:rPr>
                <w:rFonts w:cs="Times New Roman"/>
                <w:szCs w:val="22"/>
              </w:rPr>
            </w:pPr>
            <w:r>
              <w:rPr>
                <w:rFonts w:eastAsia="Times New Roman"/>
              </w:rPr>
              <w:t>0.12</w:t>
            </w:r>
            <w:r w:rsidR="004728E2" w:rsidRPr="00FA279D">
              <w:rPr>
                <w:rFonts w:eastAsia="Times New Roman"/>
              </w:rPr>
              <w:t xml:space="preserve"> Mt CO</w:t>
            </w:r>
            <w:r w:rsidR="004728E2" w:rsidRPr="00FA279D">
              <w:rPr>
                <w:rFonts w:eastAsia="Times New Roman"/>
                <w:vertAlign w:val="subscript"/>
              </w:rPr>
              <w:t>2</w:t>
            </w:r>
            <w:r w:rsidR="004728E2" w:rsidRPr="00FA279D">
              <w:rPr>
                <w:rFonts w:eastAsia="Times New Roman"/>
              </w:rPr>
              <w:t>-e</w:t>
            </w:r>
          </w:p>
        </w:tc>
      </w:tr>
      <w:tr w:rsidR="008F5965" w:rsidRPr="00923150" w14:paraId="21D4BD9D" w14:textId="77777777" w:rsidTr="00AA2B87">
        <w:trPr>
          <w:trHeight w:val="456"/>
        </w:trPr>
        <w:tc>
          <w:tcPr>
            <w:tcW w:w="5103" w:type="dxa"/>
            <w:tcBorders>
              <w:top w:val="single" w:sz="4" w:space="0" w:color="000000"/>
            </w:tcBorders>
            <w:vAlign w:val="center"/>
          </w:tcPr>
          <w:p w14:paraId="25A9EA78" w14:textId="75221E96" w:rsidR="008F5965" w:rsidRPr="00866793" w:rsidRDefault="008F5965" w:rsidP="00AA2B87">
            <w:pPr>
              <w:spacing w:before="60" w:after="60"/>
              <w:jc w:val="left"/>
              <w:rPr>
                <w:rFonts w:cs="Times New Roman"/>
                <w:szCs w:val="22"/>
              </w:rPr>
            </w:pPr>
            <w:r w:rsidRPr="00866793">
              <w:rPr>
                <w:rFonts w:cs="Times New Roman"/>
                <w:szCs w:val="22"/>
              </w:rPr>
              <w:t xml:space="preserve">Annual GHG </w:t>
            </w:r>
            <w:r>
              <w:rPr>
                <w:rFonts w:cs="Times New Roman"/>
                <w:szCs w:val="22"/>
              </w:rPr>
              <w:t>direct e</w:t>
            </w:r>
            <w:r w:rsidRPr="00866793">
              <w:rPr>
                <w:rFonts w:cs="Times New Roman"/>
                <w:szCs w:val="22"/>
              </w:rPr>
              <w:t>missions</w:t>
            </w:r>
            <w:r>
              <w:rPr>
                <w:rFonts w:cs="Times New Roman"/>
                <w:szCs w:val="22"/>
              </w:rPr>
              <w:t xml:space="preserve"> (SGG):</w:t>
            </w:r>
          </w:p>
        </w:tc>
        <w:tc>
          <w:tcPr>
            <w:tcW w:w="4536" w:type="dxa"/>
            <w:tcBorders>
              <w:top w:val="single" w:sz="4" w:space="0" w:color="000000"/>
            </w:tcBorders>
            <w:vAlign w:val="center"/>
          </w:tcPr>
          <w:p w14:paraId="0294CEF8" w14:textId="1C37750A" w:rsidR="008F5965" w:rsidRDefault="008F5965" w:rsidP="00B14C07">
            <w:pPr>
              <w:spacing w:before="60" w:after="60"/>
              <w:jc w:val="left"/>
              <w:rPr>
                <w:rFonts w:eastAsia="Times New Roman"/>
              </w:rPr>
            </w:pPr>
            <w:r>
              <w:rPr>
                <w:rFonts w:eastAsia="Times New Roman"/>
              </w:rPr>
              <w:t>1.59</w:t>
            </w:r>
            <w:r w:rsidRPr="00FA279D">
              <w:rPr>
                <w:rFonts w:eastAsia="Times New Roman"/>
              </w:rPr>
              <w:t xml:space="preserve"> Mt CO</w:t>
            </w:r>
            <w:r w:rsidRPr="00FA279D">
              <w:rPr>
                <w:rFonts w:eastAsia="Times New Roman"/>
                <w:vertAlign w:val="subscript"/>
              </w:rPr>
              <w:t>2</w:t>
            </w:r>
            <w:r w:rsidRPr="00FA279D">
              <w:rPr>
                <w:rFonts w:eastAsia="Times New Roman"/>
              </w:rPr>
              <w:t>-e</w:t>
            </w:r>
          </w:p>
        </w:tc>
      </w:tr>
      <w:tr w:rsidR="004728E2" w:rsidRPr="00923150" w14:paraId="43916439" w14:textId="77777777" w:rsidTr="00AA2B87">
        <w:trPr>
          <w:trHeight w:val="456"/>
        </w:trPr>
        <w:tc>
          <w:tcPr>
            <w:tcW w:w="5103" w:type="dxa"/>
            <w:tcBorders>
              <w:top w:val="single" w:sz="4" w:space="0" w:color="000000"/>
            </w:tcBorders>
            <w:vAlign w:val="center"/>
          </w:tcPr>
          <w:p w14:paraId="27A7114F" w14:textId="77777777" w:rsidR="004728E2" w:rsidRPr="00866793" w:rsidRDefault="004728E2" w:rsidP="00AA2B87">
            <w:pPr>
              <w:spacing w:before="60" w:after="60"/>
              <w:jc w:val="left"/>
              <w:rPr>
                <w:rFonts w:cs="Times New Roman"/>
                <w:szCs w:val="22"/>
              </w:rPr>
            </w:pPr>
            <w:r w:rsidRPr="00866793">
              <w:rPr>
                <w:rFonts w:cs="Times New Roman"/>
                <w:szCs w:val="22"/>
              </w:rPr>
              <w:t xml:space="preserve">Share of HVAC&amp;R </w:t>
            </w:r>
            <w:r>
              <w:rPr>
                <w:rFonts w:cs="Times New Roman"/>
                <w:szCs w:val="22"/>
              </w:rPr>
              <w:t>d</w:t>
            </w:r>
            <w:r w:rsidRPr="00866793">
              <w:rPr>
                <w:rFonts w:cs="Times New Roman"/>
                <w:szCs w:val="22"/>
              </w:rPr>
              <w:t xml:space="preserve">irect </w:t>
            </w:r>
            <w:r>
              <w:rPr>
                <w:rFonts w:cs="Times New Roman"/>
                <w:szCs w:val="22"/>
              </w:rPr>
              <w:t>e</w:t>
            </w:r>
            <w:r w:rsidRPr="00866793">
              <w:rPr>
                <w:rFonts w:cs="Times New Roman"/>
                <w:szCs w:val="22"/>
              </w:rPr>
              <w:t>missions</w:t>
            </w:r>
            <w:r>
              <w:rPr>
                <w:rFonts w:cs="Times New Roman"/>
                <w:szCs w:val="22"/>
              </w:rPr>
              <w:t>:</w:t>
            </w:r>
          </w:p>
        </w:tc>
        <w:tc>
          <w:tcPr>
            <w:tcW w:w="4536" w:type="dxa"/>
            <w:tcBorders>
              <w:top w:val="single" w:sz="4" w:space="0" w:color="000000"/>
            </w:tcBorders>
            <w:vAlign w:val="center"/>
          </w:tcPr>
          <w:p w14:paraId="4F4FCDA7" w14:textId="15AA7EA6" w:rsidR="004728E2" w:rsidRPr="00866793" w:rsidRDefault="00261401" w:rsidP="00261401">
            <w:pPr>
              <w:spacing w:before="60" w:after="60"/>
              <w:jc w:val="left"/>
              <w:rPr>
                <w:rFonts w:cs="Times New Roman"/>
                <w:szCs w:val="22"/>
              </w:rPr>
            </w:pPr>
            <w:r>
              <w:rPr>
                <w:rFonts w:eastAsia="Times New Roman"/>
              </w:rPr>
              <w:t>24</w:t>
            </w:r>
            <w:r w:rsidR="004728E2" w:rsidRPr="00FA279D">
              <w:rPr>
                <w:rFonts w:eastAsia="Times New Roman"/>
              </w:rPr>
              <w:t>%</w:t>
            </w:r>
          </w:p>
        </w:tc>
      </w:tr>
      <w:tr w:rsidR="004728E2" w:rsidRPr="00923150" w14:paraId="36E57BC5" w14:textId="77777777" w:rsidTr="00AA2B87">
        <w:trPr>
          <w:trHeight w:val="456"/>
        </w:trPr>
        <w:tc>
          <w:tcPr>
            <w:tcW w:w="5103" w:type="dxa"/>
            <w:tcBorders>
              <w:top w:val="single" w:sz="4" w:space="0" w:color="000000"/>
            </w:tcBorders>
            <w:vAlign w:val="center"/>
          </w:tcPr>
          <w:p w14:paraId="1A19FD9A" w14:textId="77777777" w:rsidR="004728E2" w:rsidRPr="00866793" w:rsidRDefault="004728E2" w:rsidP="00AA2B87">
            <w:pPr>
              <w:spacing w:before="60" w:after="60"/>
              <w:jc w:val="left"/>
              <w:rPr>
                <w:rFonts w:cs="Times New Roman"/>
                <w:szCs w:val="22"/>
              </w:rPr>
            </w:pPr>
            <w:r w:rsidRPr="00866793">
              <w:rPr>
                <w:rFonts w:cs="Times New Roman"/>
                <w:szCs w:val="22"/>
              </w:rPr>
              <w:t xml:space="preserve">Share of HVAC&amp;R </w:t>
            </w:r>
            <w:r>
              <w:rPr>
                <w:rFonts w:cs="Times New Roman"/>
                <w:szCs w:val="22"/>
              </w:rPr>
              <w:t>t</w:t>
            </w:r>
            <w:r w:rsidRPr="00866793">
              <w:rPr>
                <w:rFonts w:cs="Times New Roman"/>
                <w:szCs w:val="22"/>
              </w:rPr>
              <w:t xml:space="preserve">otal </w:t>
            </w:r>
            <w:r>
              <w:rPr>
                <w:rFonts w:cs="Times New Roman"/>
                <w:szCs w:val="22"/>
              </w:rPr>
              <w:t>e</w:t>
            </w:r>
            <w:r w:rsidRPr="00866793">
              <w:rPr>
                <w:rFonts w:cs="Times New Roman"/>
                <w:szCs w:val="22"/>
              </w:rPr>
              <w:t xml:space="preserve">missions </w:t>
            </w:r>
            <w:r>
              <w:rPr>
                <w:rFonts w:cs="Times New Roman"/>
                <w:szCs w:val="22"/>
              </w:rPr>
              <w:t xml:space="preserve">                                                </w:t>
            </w:r>
            <w:r w:rsidRPr="00866793">
              <w:rPr>
                <w:rFonts w:cs="Times New Roman"/>
                <w:szCs w:val="22"/>
              </w:rPr>
              <w:t>(</w:t>
            </w:r>
            <w:r>
              <w:rPr>
                <w:rFonts w:cs="Times New Roman"/>
                <w:szCs w:val="22"/>
              </w:rPr>
              <w:t>d</w:t>
            </w:r>
            <w:r w:rsidRPr="00866793">
              <w:rPr>
                <w:rFonts w:cs="Times New Roman"/>
                <w:szCs w:val="22"/>
              </w:rPr>
              <w:t xml:space="preserve">irect and </w:t>
            </w:r>
            <w:r>
              <w:rPr>
                <w:rFonts w:cs="Times New Roman"/>
                <w:szCs w:val="22"/>
              </w:rPr>
              <w:t>i</w:t>
            </w:r>
            <w:r w:rsidRPr="00866793">
              <w:rPr>
                <w:rFonts w:cs="Times New Roman"/>
                <w:szCs w:val="22"/>
              </w:rPr>
              <w:t>ndirect</w:t>
            </w:r>
            <w:r>
              <w:rPr>
                <w:rFonts w:cs="Times New Roman"/>
                <w:szCs w:val="22"/>
              </w:rPr>
              <w:t xml:space="preserve">, </w:t>
            </w:r>
            <w:r w:rsidRPr="00866793">
              <w:rPr>
                <w:rFonts w:cs="Times New Roman"/>
                <w:szCs w:val="22"/>
              </w:rPr>
              <w:t>not including EOL)</w:t>
            </w:r>
          </w:p>
        </w:tc>
        <w:tc>
          <w:tcPr>
            <w:tcW w:w="4536" w:type="dxa"/>
            <w:tcBorders>
              <w:top w:val="single" w:sz="4" w:space="0" w:color="000000"/>
            </w:tcBorders>
            <w:vAlign w:val="center"/>
          </w:tcPr>
          <w:p w14:paraId="7222AA20" w14:textId="47E757C8" w:rsidR="004728E2" w:rsidRPr="00866793" w:rsidRDefault="00261401" w:rsidP="00261401">
            <w:pPr>
              <w:spacing w:before="60" w:after="60"/>
              <w:jc w:val="left"/>
              <w:rPr>
                <w:rFonts w:cs="Times New Roman"/>
                <w:szCs w:val="22"/>
              </w:rPr>
            </w:pPr>
            <w:r>
              <w:rPr>
                <w:rFonts w:cs="Times New Roman"/>
                <w:szCs w:val="22"/>
              </w:rPr>
              <w:t>24</w:t>
            </w:r>
            <w:r w:rsidR="004728E2">
              <w:rPr>
                <w:rFonts w:cs="Times New Roman"/>
                <w:szCs w:val="22"/>
              </w:rPr>
              <w:t>%</w:t>
            </w:r>
          </w:p>
        </w:tc>
      </w:tr>
    </w:tbl>
    <w:p w14:paraId="0B0F79E9" w14:textId="77777777" w:rsidR="00B13905" w:rsidRPr="00116557" w:rsidRDefault="00B13905" w:rsidP="00B13905">
      <w:pPr>
        <w:spacing w:before="0"/>
        <w:rPr>
          <w:sz w:val="20"/>
          <w:szCs w:val="20"/>
        </w:rPr>
      </w:pPr>
      <w:r w:rsidRPr="00116557">
        <w:rPr>
          <w:sz w:val="20"/>
          <w:szCs w:val="20"/>
        </w:rPr>
        <w:t>(Sources: DSEWPaC 2013a, DSEWPaC 2013</w:t>
      </w:r>
      <w:r>
        <w:rPr>
          <w:sz w:val="20"/>
          <w:szCs w:val="20"/>
        </w:rPr>
        <w:t>b</w:t>
      </w:r>
      <w:r w:rsidRPr="00116557">
        <w:rPr>
          <w:sz w:val="20"/>
          <w:szCs w:val="20"/>
        </w:rPr>
        <w:t xml:space="preserve">, </w:t>
      </w:r>
      <w:r>
        <w:rPr>
          <w:sz w:val="20"/>
          <w:szCs w:val="20"/>
        </w:rPr>
        <w:t xml:space="preserve">AMSA 2013, ABARES 2012, </w:t>
      </w:r>
      <w:r w:rsidRPr="00F70B91">
        <w:rPr>
          <w:sz w:val="20"/>
          <w:szCs w:val="20"/>
        </w:rPr>
        <w:t xml:space="preserve">DSEWPaC 2011, </w:t>
      </w:r>
      <w:r>
        <w:rPr>
          <w:sz w:val="20"/>
          <w:szCs w:val="20"/>
        </w:rPr>
        <w:t xml:space="preserve">EG 2011, </w:t>
      </w:r>
      <w:r w:rsidRPr="00C019D6">
        <w:rPr>
          <w:sz w:val="20"/>
          <w:szCs w:val="20"/>
        </w:rPr>
        <w:t>E3 2009a</w:t>
      </w:r>
      <w:r>
        <w:rPr>
          <w:sz w:val="20"/>
          <w:szCs w:val="20"/>
        </w:rPr>
        <w:t xml:space="preserve">, </w:t>
      </w:r>
      <w:r w:rsidRPr="00F87E45">
        <w:rPr>
          <w:sz w:val="20"/>
          <w:szCs w:val="20"/>
        </w:rPr>
        <w:t>MC 2012, WF 2013, WOW 2013, Convenience World</w:t>
      </w:r>
      <w:r>
        <w:rPr>
          <w:sz w:val="20"/>
          <w:szCs w:val="20"/>
        </w:rPr>
        <w:t xml:space="preserve"> and industry informants)</w:t>
      </w:r>
    </w:p>
    <w:p w14:paraId="333E2009" w14:textId="77777777" w:rsidR="004728E2" w:rsidRDefault="004728E2" w:rsidP="004728E2">
      <w:pPr>
        <w:rPr>
          <w:szCs w:val="22"/>
        </w:rPr>
      </w:pPr>
    </w:p>
    <w:p w14:paraId="47440829" w14:textId="77777777" w:rsidR="004728E2" w:rsidRDefault="004728E2" w:rsidP="00BE3B27">
      <w:pPr>
        <w:rPr>
          <w:szCs w:val="22"/>
        </w:rPr>
      </w:pPr>
    </w:p>
    <w:p w14:paraId="79B1DA2C" w14:textId="77777777" w:rsidR="000226CB" w:rsidRDefault="000226CB">
      <w:pPr>
        <w:spacing w:before="0"/>
        <w:jc w:val="left"/>
        <w:rPr>
          <w:rFonts w:ascii="Calibri" w:eastAsia="Times New Roman" w:hAnsi="Calibri" w:cs="Times New Roman"/>
          <w:b/>
          <w:bCs/>
          <w:kern w:val="32"/>
          <w:sz w:val="32"/>
          <w:szCs w:val="32"/>
          <w:lang w:val="en-US"/>
        </w:rPr>
      </w:pPr>
      <w:r>
        <w:br w:type="page"/>
      </w:r>
    </w:p>
    <w:p w14:paraId="03E68AFA" w14:textId="65E75024" w:rsidR="000226CB" w:rsidRDefault="000226CB" w:rsidP="000226CB">
      <w:pPr>
        <w:pStyle w:val="Heading1"/>
      </w:pPr>
      <w:bookmarkStart w:id="31" w:name="_Toc233084146"/>
      <w:r w:rsidRPr="000226CB">
        <w:lastRenderedPageBreak/>
        <w:t xml:space="preserve">The </w:t>
      </w:r>
      <w:r>
        <w:t>b</w:t>
      </w:r>
      <w:r w:rsidRPr="000226CB">
        <w:t>ank in 2012</w:t>
      </w:r>
      <w:bookmarkEnd w:id="31"/>
    </w:p>
    <w:p w14:paraId="65D86B82" w14:textId="5FC2EC6A" w:rsidR="00FC6F65" w:rsidRPr="00FC6F65" w:rsidRDefault="00FC6F65" w:rsidP="00FC6F65">
      <w:pPr>
        <w:rPr>
          <w:szCs w:val="22"/>
        </w:rPr>
      </w:pPr>
      <w:r w:rsidRPr="00FC6F65">
        <w:rPr>
          <w:szCs w:val="22"/>
        </w:rPr>
        <w:t xml:space="preserve">The common denominator of all air conditioning and refrigeration, in all of its forms and applications, is the working gases that are employed in them as the medium for transferring heat. The sum of all gas contained in RAC equipment </w:t>
      </w:r>
      <w:r w:rsidR="006A3437">
        <w:rPr>
          <w:szCs w:val="22"/>
        </w:rPr>
        <w:t>is</w:t>
      </w:r>
      <w:r w:rsidRPr="00FC6F65">
        <w:rPr>
          <w:szCs w:val="22"/>
        </w:rPr>
        <w:t xml:space="preserve"> referred to as ‘the bank’ of working gas.</w:t>
      </w:r>
    </w:p>
    <w:p w14:paraId="3AA15855" w14:textId="5A45B242" w:rsidR="00FC6F65" w:rsidRPr="00FC6F65" w:rsidRDefault="00FC6F65" w:rsidP="00FC6F65">
      <w:pPr>
        <w:rPr>
          <w:szCs w:val="22"/>
        </w:rPr>
      </w:pPr>
      <w:r w:rsidRPr="00FC6F65">
        <w:rPr>
          <w:szCs w:val="22"/>
        </w:rPr>
        <w:t>The total bank of high GWP working gas installed in RAC equipment in Australia at the end of 2012, is estimated at approximately 43,</w:t>
      </w:r>
      <w:r w:rsidR="005F4E7E">
        <w:rPr>
          <w:szCs w:val="22"/>
        </w:rPr>
        <w:t>500</w:t>
      </w:r>
      <w:r w:rsidRPr="00FC6F65">
        <w:rPr>
          <w:szCs w:val="22"/>
        </w:rPr>
        <w:t xml:space="preserve"> tonnes of ODS and HFCs.</w:t>
      </w:r>
    </w:p>
    <w:p w14:paraId="5AC68341" w14:textId="01CC018F" w:rsidR="00FC6F65" w:rsidRPr="00FC6F65" w:rsidRDefault="00FC6F65" w:rsidP="00FC6F65">
      <w:pPr>
        <w:rPr>
          <w:szCs w:val="22"/>
        </w:rPr>
      </w:pPr>
      <w:r w:rsidRPr="00FC6F65">
        <w:rPr>
          <w:szCs w:val="22"/>
        </w:rPr>
        <w:t>This bank of gas, if lost to air, has a potential for global warming equivalent to approximately 71</w:t>
      </w:r>
      <w:r w:rsidR="005F4E7E">
        <w:rPr>
          <w:szCs w:val="22"/>
        </w:rPr>
        <w:t>.4</w:t>
      </w:r>
      <w:r w:rsidRPr="00FC6F65">
        <w:rPr>
          <w:szCs w:val="22"/>
        </w:rPr>
        <w:t xml:space="preserve"> </w:t>
      </w:r>
      <w:r w:rsidR="005F4E7E">
        <w:rPr>
          <w:szCs w:val="22"/>
        </w:rPr>
        <w:t xml:space="preserve">Mt </w:t>
      </w:r>
      <w:r w:rsidRPr="00FC6F65">
        <w:rPr>
          <w:szCs w:val="22"/>
        </w:rPr>
        <w:t>CO</w:t>
      </w:r>
      <w:r w:rsidRPr="00327C26">
        <w:rPr>
          <w:szCs w:val="22"/>
          <w:vertAlign w:val="subscript"/>
        </w:rPr>
        <w:t>2</w:t>
      </w:r>
      <w:r w:rsidR="005F4E7E">
        <w:rPr>
          <w:szCs w:val="22"/>
        </w:rPr>
        <w:t>-e.</w:t>
      </w:r>
      <w:r w:rsidRPr="00FC6F65">
        <w:rPr>
          <w:szCs w:val="22"/>
        </w:rPr>
        <w:t xml:space="preserve"> This is roughly equivalent to 1</w:t>
      </w:r>
      <w:r w:rsidR="005F4E7E">
        <w:rPr>
          <w:szCs w:val="22"/>
        </w:rPr>
        <w:t>3</w:t>
      </w:r>
      <w:r w:rsidRPr="00FC6F65">
        <w:rPr>
          <w:szCs w:val="22"/>
        </w:rPr>
        <w:t xml:space="preserve"> per cent of Australia’s total </w:t>
      </w:r>
      <w:r w:rsidR="000E61CD">
        <w:rPr>
          <w:szCs w:val="22"/>
        </w:rPr>
        <w:t xml:space="preserve">annual </w:t>
      </w:r>
      <w:r w:rsidRPr="00FC6F65">
        <w:rPr>
          <w:szCs w:val="22"/>
        </w:rPr>
        <w:t>greenhouse gas emissions</w:t>
      </w:r>
      <w:r w:rsidR="005F4E7E">
        <w:rPr>
          <w:szCs w:val="22"/>
        </w:rPr>
        <w:t>.</w:t>
      </w:r>
      <w:r w:rsidRPr="00FC6F65">
        <w:rPr>
          <w:szCs w:val="22"/>
        </w:rPr>
        <w:t xml:space="preserve"> </w:t>
      </w:r>
    </w:p>
    <w:p w14:paraId="0CA62E4E" w14:textId="77777777" w:rsidR="00FC6F65" w:rsidRPr="00FC6F65" w:rsidRDefault="00FC6F65" w:rsidP="00FC6F65">
      <w:pPr>
        <w:rPr>
          <w:szCs w:val="22"/>
        </w:rPr>
      </w:pPr>
      <w:r w:rsidRPr="00FC6F65">
        <w:rPr>
          <w:szCs w:val="22"/>
        </w:rPr>
        <w:t>The end user replacement cost of this bank is roughly estimated to be $5.8 billion based on current market prices.</w:t>
      </w:r>
    </w:p>
    <w:p w14:paraId="5E4B2A12" w14:textId="41D1F5AD" w:rsidR="00FC6F65" w:rsidRPr="00FC6F65" w:rsidRDefault="00FC6F65" w:rsidP="00FC6F65">
      <w:pPr>
        <w:rPr>
          <w:szCs w:val="22"/>
        </w:rPr>
      </w:pPr>
      <w:r w:rsidRPr="00FC6F65">
        <w:rPr>
          <w:szCs w:val="22"/>
        </w:rPr>
        <w:t>At any time a small portion of the bank is in equipment that is not yet installed and operating. For instance, in the course of 2012 a total of more than 2,5</w:t>
      </w:r>
      <w:r w:rsidR="006370BC">
        <w:rPr>
          <w:szCs w:val="22"/>
        </w:rPr>
        <w:t>57</w:t>
      </w:r>
      <w:r w:rsidRPr="00FC6F65">
        <w:rPr>
          <w:szCs w:val="22"/>
        </w:rPr>
        <w:t xml:space="preserve"> tonnes of refrigerant gas was imported in more than 3 million individual pieces of pre-charged equipment. While throughput in the supply chains for RAC equipment is high, it is reasonable to expect something between 20 per cent and 30 per cent of that equipment is still in the supply chain, and not in operation.</w:t>
      </w:r>
    </w:p>
    <w:p w14:paraId="1CBA2376" w14:textId="07265FDF" w:rsidR="00FC6F65" w:rsidRPr="00FC6F65" w:rsidRDefault="00FC6F65" w:rsidP="00FC6F65">
      <w:pPr>
        <w:rPr>
          <w:szCs w:val="22"/>
        </w:rPr>
      </w:pPr>
      <w:r w:rsidRPr="00FC6F65">
        <w:rPr>
          <w:szCs w:val="22"/>
        </w:rPr>
        <w:t xml:space="preserve">Additionally there is a stock of bulk gas in the supply chain that is available at any time for servicing this bank. Normally the annual imports would all be counted as forming part of the bank in the year of import. However the totality of bulk gas imports in 2012 were not automatically counted as being part of the working bank because of the </w:t>
      </w:r>
      <w:r w:rsidR="006A3437">
        <w:rPr>
          <w:szCs w:val="22"/>
        </w:rPr>
        <w:t xml:space="preserve">extent </w:t>
      </w:r>
      <w:r w:rsidRPr="00FC6F65">
        <w:rPr>
          <w:szCs w:val="22"/>
        </w:rPr>
        <w:t xml:space="preserve">of stockpiling of gas that occurred prior to the introduction of the ‘equivalent carbon price’ (ECP) on HFCs. </w:t>
      </w:r>
    </w:p>
    <w:p w14:paraId="2BEF38AA" w14:textId="265AFB0B" w:rsidR="00FC6F65" w:rsidRPr="00FC6F65" w:rsidRDefault="00FC6F65" w:rsidP="00FC6F65">
      <w:pPr>
        <w:rPr>
          <w:szCs w:val="22"/>
        </w:rPr>
      </w:pPr>
      <w:r w:rsidRPr="00FC6F65">
        <w:rPr>
          <w:szCs w:val="22"/>
        </w:rPr>
        <w:t xml:space="preserve">The bank of gas is comprised of two main species, HCFCs that are subject to an increasingly rapid phase out under the terms of the Montreal Protocol, and HFCs that on 1 July 2012 became subject to an ECP at the point of import. </w:t>
      </w:r>
      <w:r w:rsidR="006A3437">
        <w:rPr>
          <w:szCs w:val="22"/>
        </w:rPr>
        <w:t>While there were already a number of inflationary influences in the HFC supply chain that were causing prices to rise, the introduction of t</w:t>
      </w:r>
      <w:r w:rsidRPr="00FC6F65">
        <w:rPr>
          <w:szCs w:val="22"/>
        </w:rPr>
        <w:t>he ECP had the effect of dramatically increasing retail prices of HFCs.</w:t>
      </w:r>
    </w:p>
    <w:p w14:paraId="135DA096" w14:textId="1372E8F4" w:rsidR="00FC6F65" w:rsidRPr="00FC6F65" w:rsidRDefault="00FC6F65" w:rsidP="00FC6F65">
      <w:pPr>
        <w:rPr>
          <w:szCs w:val="22"/>
        </w:rPr>
      </w:pPr>
      <w:r w:rsidRPr="00FC6F65">
        <w:rPr>
          <w:szCs w:val="22"/>
        </w:rPr>
        <w:t xml:space="preserve">As </w:t>
      </w:r>
      <w:r w:rsidR="006A3437">
        <w:rPr>
          <w:szCs w:val="22"/>
        </w:rPr>
        <w:t xml:space="preserve">the date for the </w:t>
      </w:r>
      <w:r w:rsidRPr="00FC6F65">
        <w:rPr>
          <w:szCs w:val="22"/>
        </w:rPr>
        <w:t>introduction of the ECP</w:t>
      </w:r>
      <w:r w:rsidR="006A3437">
        <w:rPr>
          <w:szCs w:val="22"/>
        </w:rPr>
        <w:t xml:space="preserve"> approached</w:t>
      </w:r>
      <w:r w:rsidRPr="00FC6F65">
        <w:rPr>
          <w:szCs w:val="22"/>
        </w:rPr>
        <w:t xml:space="preserve"> imports of HFCs </w:t>
      </w:r>
      <w:r w:rsidR="000E61CD">
        <w:rPr>
          <w:szCs w:val="22"/>
        </w:rPr>
        <w:t>rose</w:t>
      </w:r>
      <w:r w:rsidRPr="00FC6F65">
        <w:rPr>
          <w:szCs w:val="22"/>
        </w:rPr>
        <w:t xml:space="preserve"> to 9,179 tonnes</w:t>
      </w:r>
      <w:r w:rsidR="000E61CD">
        <w:rPr>
          <w:szCs w:val="22"/>
        </w:rPr>
        <w:t xml:space="preserve"> in 2012</w:t>
      </w:r>
      <w:r w:rsidRPr="00FC6F65">
        <w:rPr>
          <w:szCs w:val="22"/>
        </w:rPr>
        <w:t>.  Based on average imports for the five years prior to December 31, 2011, it is estimated that more than 2.7 years of average supplies of HFCs were imported</w:t>
      </w:r>
      <w:r w:rsidR="006A3437">
        <w:rPr>
          <w:szCs w:val="22"/>
        </w:rPr>
        <w:t xml:space="preserve"> in the 12 months</w:t>
      </w:r>
      <w:r w:rsidRPr="00FC6F65">
        <w:rPr>
          <w:szCs w:val="22"/>
        </w:rPr>
        <w:t xml:space="preserve"> before the implementation of the ECP. </w:t>
      </w:r>
    </w:p>
    <w:p w14:paraId="09E65145" w14:textId="52A5E332" w:rsidR="00FC6F65" w:rsidRPr="00FC6F65" w:rsidRDefault="00FC6F65" w:rsidP="00FC6F65">
      <w:pPr>
        <w:rPr>
          <w:szCs w:val="22"/>
        </w:rPr>
      </w:pPr>
      <w:r w:rsidRPr="00FC6F65">
        <w:rPr>
          <w:szCs w:val="22"/>
        </w:rPr>
        <w:t xml:space="preserve">An estimate of </w:t>
      </w:r>
      <w:r w:rsidR="006A3437">
        <w:rPr>
          <w:szCs w:val="22"/>
        </w:rPr>
        <w:t>the bulk imports t</w:t>
      </w:r>
      <w:r w:rsidR="006A3437" w:rsidRPr="00FC6F65">
        <w:rPr>
          <w:szCs w:val="22"/>
        </w:rPr>
        <w:t xml:space="preserve">hat </w:t>
      </w:r>
      <w:r w:rsidRPr="00FC6F65">
        <w:rPr>
          <w:szCs w:val="22"/>
        </w:rPr>
        <w:t xml:space="preserve">would normally have been required in 2012 to service the bank, and for use in new </w:t>
      </w:r>
      <w:r w:rsidR="00A076A2" w:rsidRPr="00FC6F65">
        <w:rPr>
          <w:szCs w:val="22"/>
        </w:rPr>
        <w:t>equipment</w:t>
      </w:r>
      <w:r w:rsidRPr="00FC6F65">
        <w:rPr>
          <w:szCs w:val="22"/>
        </w:rPr>
        <w:t xml:space="preserve"> is included in the calculation of the total bank.  Th</w:t>
      </w:r>
      <w:r w:rsidR="00F23087">
        <w:rPr>
          <w:szCs w:val="22"/>
        </w:rPr>
        <w:t xml:space="preserve">e calculated </w:t>
      </w:r>
      <w:r w:rsidRPr="00FC6F65">
        <w:rPr>
          <w:szCs w:val="22"/>
        </w:rPr>
        <w:t>‘normalised’ value</w:t>
      </w:r>
      <w:r w:rsidR="00F23087">
        <w:rPr>
          <w:szCs w:val="22"/>
        </w:rPr>
        <w:t>s</w:t>
      </w:r>
      <w:r w:rsidRPr="00FC6F65">
        <w:rPr>
          <w:szCs w:val="22"/>
        </w:rPr>
        <w:t xml:space="preserve"> for 2012 </w:t>
      </w:r>
      <w:r w:rsidR="00F23087">
        <w:rPr>
          <w:szCs w:val="22"/>
        </w:rPr>
        <w:t xml:space="preserve">are </w:t>
      </w:r>
      <w:r w:rsidRPr="00FC6F65">
        <w:rPr>
          <w:szCs w:val="22"/>
        </w:rPr>
        <w:t>3,328 tonnes of HFC bulk gas imports, 903 tonnes of HCFCs bulk gas imports</w:t>
      </w:r>
      <w:r w:rsidR="00D87424">
        <w:rPr>
          <w:rStyle w:val="FootnoteReference"/>
          <w:szCs w:val="22"/>
        </w:rPr>
        <w:footnoteReference w:id="15"/>
      </w:r>
      <w:r w:rsidRPr="00FC6F65">
        <w:rPr>
          <w:szCs w:val="22"/>
        </w:rPr>
        <w:t xml:space="preserve"> and a further 2,5</w:t>
      </w:r>
      <w:r w:rsidR="006370BC">
        <w:rPr>
          <w:szCs w:val="22"/>
        </w:rPr>
        <w:t>57</w:t>
      </w:r>
      <w:r w:rsidRPr="00FC6F65">
        <w:rPr>
          <w:szCs w:val="22"/>
        </w:rPr>
        <w:t xml:space="preserve"> tonnes contained in pre-charged equipment (PCE)</w:t>
      </w:r>
      <w:r w:rsidR="00F23087">
        <w:rPr>
          <w:szCs w:val="22"/>
        </w:rPr>
        <w:t>.</w:t>
      </w:r>
      <w:r w:rsidRPr="00FC6F65">
        <w:rPr>
          <w:szCs w:val="22"/>
        </w:rPr>
        <w:t xml:space="preserve"> </w:t>
      </w:r>
      <w:r w:rsidR="00F23087">
        <w:rPr>
          <w:szCs w:val="22"/>
        </w:rPr>
        <w:t xml:space="preserve">These </w:t>
      </w:r>
      <w:r w:rsidRPr="00FC6F65">
        <w:rPr>
          <w:szCs w:val="22"/>
        </w:rPr>
        <w:t xml:space="preserve">are the values used </w:t>
      </w:r>
      <w:r w:rsidR="00F23087">
        <w:rPr>
          <w:szCs w:val="22"/>
        </w:rPr>
        <w:t xml:space="preserve">in the CHF2 model and </w:t>
      </w:r>
      <w:r w:rsidRPr="00FC6F65">
        <w:rPr>
          <w:szCs w:val="22"/>
        </w:rPr>
        <w:t>throughout th</w:t>
      </w:r>
      <w:r w:rsidR="00F23087">
        <w:rPr>
          <w:szCs w:val="22"/>
        </w:rPr>
        <w:t>is</w:t>
      </w:r>
      <w:r w:rsidRPr="00FC6F65">
        <w:rPr>
          <w:szCs w:val="22"/>
        </w:rPr>
        <w:t xml:space="preserve"> report when referring to 2012 HFC imports.</w:t>
      </w:r>
    </w:p>
    <w:p w14:paraId="63C86F13" w14:textId="1ED504F8" w:rsidR="00FC6F65" w:rsidRPr="00FC6F65" w:rsidRDefault="00FC6F65" w:rsidP="00FC6F65">
      <w:pPr>
        <w:rPr>
          <w:szCs w:val="22"/>
        </w:rPr>
      </w:pPr>
      <w:r w:rsidRPr="00FC6F65">
        <w:rPr>
          <w:szCs w:val="22"/>
        </w:rPr>
        <w:t>The balance of the unusually high imports in 2012</w:t>
      </w:r>
      <w:r w:rsidR="00F23087">
        <w:rPr>
          <w:szCs w:val="22"/>
        </w:rPr>
        <w:t>,</w:t>
      </w:r>
      <w:r w:rsidRPr="00FC6F65">
        <w:rPr>
          <w:szCs w:val="22"/>
        </w:rPr>
        <w:t xml:space="preserve"> of more than 5,800 tonnes</w:t>
      </w:r>
      <w:r w:rsidR="00F23087">
        <w:rPr>
          <w:szCs w:val="22"/>
        </w:rPr>
        <w:t>,</w:t>
      </w:r>
      <w:r w:rsidRPr="00FC6F65">
        <w:rPr>
          <w:szCs w:val="22"/>
        </w:rPr>
        <w:t xml:space="preserve"> has not been included in the bank, but is noted as being ‘carried in stock’. These stockpiles will be incorporated as part of the bank in </w:t>
      </w:r>
      <w:r w:rsidR="00F23087">
        <w:rPr>
          <w:szCs w:val="22"/>
        </w:rPr>
        <w:t xml:space="preserve">the course of the next </w:t>
      </w:r>
      <w:r w:rsidRPr="00FC6F65">
        <w:rPr>
          <w:szCs w:val="22"/>
        </w:rPr>
        <w:t>year</w:t>
      </w:r>
      <w:r w:rsidR="00F23087">
        <w:rPr>
          <w:szCs w:val="22"/>
        </w:rPr>
        <w:t xml:space="preserve"> or two</w:t>
      </w:r>
      <w:r w:rsidRPr="00FC6F65">
        <w:rPr>
          <w:szCs w:val="22"/>
        </w:rPr>
        <w:t xml:space="preserve">. </w:t>
      </w:r>
    </w:p>
    <w:p w14:paraId="1B5A0FC9" w14:textId="77777777" w:rsidR="00FC6F65" w:rsidRDefault="00FC6F65" w:rsidP="00FC6F65">
      <w:pPr>
        <w:rPr>
          <w:szCs w:val="22"/>
        </w:rPr>
      </w:pPr>
      <w:r w:rsidRPr="00FC6F65">
        <w:rPr>
          <w:szCs w:val="22"/>
        </w:rPr>
        <w:t>As a result of the stockpiling it is expected that bulk gas imports will be lower than average for at least two years following the implementation of the ECP on 1 July, 2012, as the gas in stock is consumed by the market.</w:t>
      </w:r>
    </w:p>
    <w:p w14:paraId="1040AAF8" w14:textId="0A1B2998" w:rsidR="00FC6F65" w:rsidRPr="00FC6F65" w:rsidRDefault="00FC6F65" w:rsidP="00FC6F65">
      <w:pPr>
        <w:rPr>
          <w:szCs w:val="22"/>
        </w:rPr>
      </w:pPr>
      <w:r w:rsidRPr="00FC6F65">
        <w:rPr>
          <w:szCs w:val="22"/>
        </w:rPr>
        <w:t>Data available to date confirms this trend with bulk gas imports for the period from 1 July 2012, to 31 December, 2012 of only 15 tonnes of HFCs for RAC applications and 572 tonnes of HCFCs.</w:t>
      </w:r>
      <w:r w:rsidR="00F23087">
        <w:rPr>
          <w:szCs w:val="22"/>
        </w:rPr>
        <w:t xml:space="preserve"> Th</w:t>
      </w:r>
      <w:r w:rsidR="00A076A2">
        <w:rPr>
          <w:szCs w:val="22"/>
        </w:rPr>
        <w:t>e</w:t>
      </w:r>
      <w:r w:rsidR="00F23087">
        <w:rPr>
          <w:szCs w:val="22"/>
        </w:rPr>
        <w:t xml:space="preserve"> HFC imports for this 6 month period were less than 1% of what might have been expected in the absence of the ECP introduction.</w:t>
      </w:r>
    </w:p>
    <w:p w14:paraId="52315DFD" w14:textId="04C87FF7" w:rsidR="000226CB" w:rsidRDefault="000226CB" w:rsidP="007B6646">
      <w:pPr>
        <w:pStyle w:val="Heading2"/>
        <w:ind w:left="567" w:hanging="567"/>
      </w:pPr>
      <w:bookmarkStart w:id="32" w:name="_Toc233084147"/>
      <w:r w:rsidRPr="000226CB">
        <w:lastRenderedPageBreak/>
        <w:t xml:space="preserve">GWP of </w:t>
      </w:r>
      <w:r>
        <w:t>c</w:t>
      </w:r>
      <w:r w:rsidRPr="000226CB">
        <w:t xml:space="preserve">omponents of the </w:t>
      </w:r>
      <w:r>
        <w:t>b</w:t>
      </w:r>
      <w:r w:rsidRPr="000226CB">
        <w:t>ank</w:t>
      </w:r>
      <w:bookmarkEnd w:id="32"/>
    </w:p>
    <w:p w14:paraId="0B01BBFE" w14:textId="487EEB6E" w:rsidR="00043C8C" w:rsidRDefault="00043C8C" w:rsidP="00043C8C">
      <w:pPr>
        <w:rPr>
          <w:szCs w:val="22"/>
        </w:rPr>
      </w:pPr>
      <w:r>
        <w:rPr>
          <w:szCs w:val="22"/>
        </w:rPr>
        <w:t>This report often</w:t>
      </w:r>
      <w:r w:rsidRPr="002744A2">
        <w:rPr>
          <w:szCs w:val="22"/>
        </w:rPr>
        <w:t xml:space="preserve"> refers to the</w:t>
      </w:r>
      <w:r w:rsidRPr="00FC6F65">
        <w:rPr>
          <w:szCs w:val="22"/>
        </w:rPr>
        <w:t xml:space="preserve"> global warming potential (GWP) values</w:t>
      </w:r>
      <w:r>
        <w:rPr>
          <w:szCs w:val="22"/>
        </w:rPr>
        <w:t xml:space="preserve"> </w:t>
      </w:r>
      <w:r w:rsidRPr="002744A2">
        <w:rPr>
          <w:szCs w:val="22"/>
        </w:rPr>
        <w:t xml:space="preserve">of the gases that are the subject of this study. </w:t>
      </w:r>
      <w:r w:rsidRPr="00FC6F65">
        <w:rPr>
          <w:szCs w:val="22"/>
        </w:rPr>
        <w:t>The range of GWP acr</w:t>
      </w:r>
      <w:r>
        <w:rPr>
          <w:szCs w:val="22"/>
        </w:rPr>
        <w:t>oss all gases that can</w:t>
      </w:r>
      <w:r w:rsidRPr="00FC6F65">
        <w:rPr>
          <w:szCs w:val="22"/>
        </w:rPr>
        <w:t xml:space="preserve"> be found in the stock of equipment ranges from </w:t>
      </w:r>
      <w:r w:rsidR="002A7FDF">
        <w:rPr>
          <w:szCs w:val="22"/>
        </w:rPr>
        <w:t>zero</w:t>
      </w:r>
      <w:r w:rsidRPr="00FC6F65">
        <w:rPr>
          <w:szCs w:val="22"/>
        </w:rPr>
        <w:t xml:space="preserve"> (ammonia) to 10,900 for the now uncommon and </w:t>
      </w:r>
      <w:r w:rsidR="007762BE">
        <w:rPr>
          <w:szCs w:val="22"/>
        </w:rPr>
        <w:t>phased out</w:t>
      </w:r>
      <w:r w:rsidRPr="00FC6F65">
        <w:rPr>
          <w:szCs w:val="22"/>
        </w:rPr>
        <w:t xml:space="preserve"> CFC-12.</w:t>
      </w:r>
    </w:p>
    <w:p w14:paraId="5C95BFB6" w14:textId="50D7EB39" w:rsidR="00043C8C" w:rsidRDefault="00043C8C" w:rsidP="00043C8C">
      <w:pPr>
        <w:rPr>
          <w:szCs w:val="22"/>
        </w:rPr>
      </w:pPr>
      <w:r w:rsidRPr="00FC6F65">
        <w:rPr>
          <w:szCs w:val="22"/>
        </w:rPr>
        <w:t xml:space="preserve">For the purposes of this report the bank of working gases has been differentiated into </w:t>
      </w:r>
      <w:r w:rsidR="002A7FDF">
        <w:rPr>
          <w:szCs w:val="22"/>
        </w:rPr>
        <w:t>‘h</w:t>
      </w:r>
      <w:r w:rsidRPr="00FC6F65">
        <w:rPr>
          <w:szCs w:val="22"/>
        </w:rPr>
        <w:t>igh GWP</w:t>
      </w:r>
      <w:r w:rsidR="002A7FDF">
        <w:rPr>
          <w:szCs w:val="22"/>
        </w:rPr>
        <w:t>’</w:t>
      </w:r>
      <w:r w:rsidRPr="00FC6F65">
        <w:rPr>
          <w:szCs w:val="22"/>
        </w:rPr>
        <w:t xml:space="preserve"> </w:t>
      </w:r>
      <w:r w:rsidR="002A7FDF">
        <w:rPr>
          <w:szCs w:val="22"/>
        </w:rPr>
        <w:t>r</w:t>
      </w:r>
      <w:r w:rsidRPr="00FC6F65">
        <w:rPr>
          <w:szCs w:val="22"/>
        </w:rPr>
        <w:t xml:space="preserve">efrigerants and </w:t>
      </w:r>
      <w:r w:rsidR="002A7FDF">
        <w:rPr>
          <w:szCs w:val="22"/>
        </w:rPr>
        <w:t>‘l</w:t>
      </w:r>
      <w:r w:rsidRPr="00FC6F65">
        <w:rPr>
          <w:szCs w:val="22"/>
        </w:rPr>
        <w:t>ow GWP</w:t>
      </w:r>
      <w:r w:rsidR="002A7FDF">
        <w:rPr>
          <w:szCs w:val="22"/>
        </w:rPr>
        <w:t>’</w:t>
      </w:r>
      <w:r w:rsidRPr="00FC6F65">
        <w:rPr>
          <w:szCs w:val="22"/>
        </w:rPr>
        <w:t xml:space="preserve"> Refrigerants. The delineation is made at a GWP of 1</w:t>
      </w:r>
      <w:r>
        <w:rPr>
          <w:szCs w:val="22"/>
        </w:rPr>
        <w:t>,</w:t>
      </w:r>
      <w:r w:rsidRPr="00FC6F65">
        <w:rPr>
          <w:szCs w:val="22"/>
        </w:rPr>
        <w:t xml:space="preserve">000. </w:t>
      </w:r>
    </w:p>
    <w:p w14:paraId="77E88B0C" w14:textId="485D1676" w:rsidR="00043C8C" w:rsidRDefault="00043C8C" w:rsidP="00043C8C">
      <w:pPr>
        <w:rPr>
          <w:szCs w:val="22"/>
        </w:rPr>
      </w:pPr>
      <w:r>
        <w:rPr>
          <w:szCs w:val="22"/>
        </w:rPr>
        <w:t xml:space="preserve">The vast bulk of all working gases in use (~90 per cent) are </w:t>
      </w:r>
      <w:r w:rsidR="002A7FDF">
        <w:rPr>
          <w:szCs w:val="22"/>
        </w:rPr>
        <w:t>h</w:t>
      </w:r>
      <w:r>
        <w:rPr>
          <w:szCs w:val="22"/>
        </w:rPr>
        <w:t xml:space="preserve">igh GWP gases. The term </w:t>
      </w:r>
      <w:r w:rsidR="002A7FDF">
        <w:rPr>
          <w:szCs w:val="22"/>
        </w:rPr>
        <w:t>l</w:t>
      </w:r>
      <w:r>
        <w:rPr>
          <w:szCs w:val="22"/>
        </w:rPr>
        <w:t xml:space="preserve">ow GWP </w:t>
      </w:r>
      <w:r w:rsidR="002A7FDF">
        <w:rPr>
          <w:szCs w:val="22"/>
        </w:rPr>
        <w:t xml:space="preserve">gas is </w:t>
      </w:r>
      <w:r w:rsidRPr="002744A2">
        <w:rPr>
          <w:szCs w:val="22"/>
        </w:rPr>
        <w:t>used to refer to</w:t>
      </w:r>
      <w:r>
        <w:rPr>
          <w:szCs w:val="22"/>
        </w:rPr>
        <w:t xml:space="preserve"> the</w:t>
      </w:r>
      <w:r w:rsidRPr="002744A2">
        <w:rPr>
          <w:szCs w:val="22"/>
        </w:rPr>
        <w:t xml:space="preserve"> natural refrigerants</w:t>
      </w:r>
      <w:r>
        <w:rPr>
          <w:szCs w:val="22"/>
        </w:rPr>
        <w:t>, ammonia, hydrocarbons and CO</w:t>
      </w:r>
      <w:r w:rsidRPr="00FC335B">
        <w:rPr>
          <w:szCs w:val="22"/>
          <w:vertAlign w:val="subscript"/>
        </w:rPr>
        <w:t>2</w:t>
      </w:r>
      <w:r>
        <w:rPr>
          <w:szCs w:val="22"/>
        </w:rPr>
        <w:t>,</w:t>
      </w:r>
      <w:r w:rsidRPr="002744A2">
        <w:rPr>
          <w:szCs w:val="22"/>
        </w:rPr>
        <w:t xml:space="preserve"> and HFC substances with a GWP lower tha</w:t>
      </w:r>
      <w:r>
        <w:rPr>
          <w:szCs w:val="22"/>
        </w:rPr>
        <w:t>n those commonly used today. This includes</w:t>
      </w:r>
      <w:r w:rsidRPr="002744A2">
        <w:rPr>
          <w:szCs w:val="22"/>
        </w:rPr>
        <w:t xml:space="preserve"> the near to commercial HFOs being scaled up by the major synthetic greenhouse gas manufacturers that are sometimes referred to as low GWP HFCs (refer to </w:t>
      </w:r>
      <w:r w:rsidR="007762BE">
        <w:rPr>
          <w:i/>
          <w:szCs w:val="22"/>
        </w:rPr>
        <w:t>Chapter</w:t>
      </w:r>
      <w:r w:rsidRPr="00784964">
        <w:rPr>
          <w:i/>
          <w:szCs w:val="22"/>
        </w:rPr>
        <w:t xml:space="preserve"> </w:t>
      </w:r>
      <w:r w:rsidR="00784964" w:rsidRPr="00784964">
        <w:rPr>
          <w:i/>
          <w:szCs w:val="22"/>
        </w:rPr>
        <w:t>5</w:t>
      </w:r>
      <w:r w:rsidRPr="00784964">
        <w:rPr>
          <w:i/>
          <w:szCs w:val="22"/>
        </w:rPr>
        <w:t>.2</w:t>
      </w:r>
      <w:r w:rsidR="00784964" w:rsidRPr="00784964">
        <w:rPr>
          <w:i/>
          <w:szCs w:val="22"/>
        </w:rPr>
        <w:t>.9</w:t>
      </w:r>
      <w:r w:rsidRPr="00784964">
        <w:rPr>
          <w:szCs w:val="22"/>
        </w:rPr>
        <w:t xml:space="preserve"> for further</w:t>
      </w:r>
      <w:r w:rsidRPr="002744A2">
        <w:rPr>
          <w:szCs w:val="22"/>
        </w:rPr>
        <w:t xml:space="preserve"> details on the development of HFO substances). </w:t>
      </w:r>
    </w:p>
    <w:p w14:paraId="2F2B34B6" w14:textId="77777777" w:rsidR="00043C8C" w:rsidRDefault="00043C8C" w:rsidP="00043C8C">
      <w:pPr>
        <w:rPr>
          <w:szCs w:val="22"/>
        </w:rPr>
      </w:pPr>
      <w:r w:rsidRPr="002744A2">
        <w:rPr>
          <w:szCs w:val="22"/>
        </w:rPr>
        <w:t>While ammonia has a GWP of zero, CO</w:t>
      </w:r>
      <w:r w:rsidRPr="00327C26">
        <w:rPr>
          <w:szCs w:val="22"/>
          <w:vertAlign w:val="subscript"/>
        </w:rPr>
        <w:t>2</w:t>
      </w:r>
      <w:r w:rsidRPr="002744A2">
        <w:rPr>
          <w:szCs w:val="22"/>
        </w:rPr>
        <w:t xml:space="preserve"> i</w:t>
      </w:r>
      <w:r>
        <w:rPr>
          <w:szCs w:val="22"/>
        </w:rPr>
        <w:t>s the benchmark with a GWP of 1. C</w:t>
      </w:r>
      <w:r w:rsidRPr="002744A2">
        <w:rPr>
          <w:szCs w:val="22"/>
        </w:rPr>
        <w:t>ommonly used hydrocarbon refrigerants such as HC-600a and HC-290 have a GWP of around 3, HFC-32 has a GWP of 650 and HFO1234yf is c</w:t>
      </w:r>
      <w:r>
        <w:rPr>
          <w:szCs w:val="22"/>
        </w:rPr>
        <w:t>ommonly cited with a GWP of 4. A</w:t>
      </w:r>
      <w:r w:rsidRPr="002744A2">
        <w:rPr>
          <w:szCs w:val="22"/>
        </w:rPr>
        <w:t>ll these gases satisfy our criteria as being ‘low GWP’.</w:t>
      </w:r>
    </w:p>
    <w:p w14:paraId="2791EC6E" w14:textId="77777777" w:rsidR="00043C8C" w:rsidRPr="00FC6F65" w:rsidRDefault="00043C8C" w:rsidP="00043C8C">
      <w:pPr>
        <w:rPr>
          <w:szCs w:val="22"/>
        </w:rPr>
      </w:pPr>
      <w:r w:rsidRPr="00FC6F65">
        <w:rPr>
          <w:szCs w:val="22"/>
        </w:rPr>
        <w:t>T</w:t>
      </w:r>
      <w:r>
        <w:rPr>
          <w:szCs w:val="22"/>
        </w:rPr>
        <w:t>he GWP</w:t>
      </w:r>
      <w:r w:rsidRPr="00FC6F65">
        <w:rPr>
          <w:szCs w:val="22"/>
        </w:rPr>
        <w:t xml:space="preserve"> values used in this report are based on the Second Assessment Report (AR2) of the International Panel on Climate Change (IPCC) except where specifically referenced to the Fourth Assessment Report (AR4). </w:t>
      </w:r>
    </w:p>
    <w:p w14:paraId="24280849" w14:textId="77777777" w:rsidR="00043C8C" w:rsidRPr="00FC6F65" w:rsidRDefault="00043C8C" w:rsidP="00043C8C">
      <w:pPr>
        <w:rPr>
          <w:szCs w:val="22"/>
        </w:rPr>
      </w:pPr>
      <w:r w:rsidRPr="00FC6F65">
        <w:rPr>
          <w:szCs w:val="22"/>
        </w:rPr>
        <w:t>While many of the GWP’s originally calculated in AR2 have been updated, and in many cases increased, in the AR4, the legislation in Australia under which the ECP was introduced is referenced to the AR2 values that were in use in 1997</w:t>
      </w:r>
      <w:r>
        <w:rPr>
          <w:szCs w:val="22"/>
        </w:rPr>
        <w:t>,</w:t>
      </w:r>
      <w:r w:rsidRPr="00FC6F65">
        <w:rPr>
          <w:szCs w:val="22"/>
        </w:rPr>
        <w:t xml:space="preserve"> at the time of the Kyoto Protocol being signed.</w:t>
      </w:r>
    </w:p>
    <w:p w14:paraId="2ED2A792" w14:textId="1A7D10C2" w:rsidR="00043C8C" w:rsidRDefault="00043C8C" w:rsidP="00043C8C">
      <w:pPr>
        <w:rPr>
          <w:szCs w:val="22"/>
        </w:rPr>
      </w:pPr>
      <w:r w:rsidRPr="00FC6F65">
        <w:rPr>
          <w:szCs w:val="22"/>
        </w:rPr>
        <w:t>The AR4 values will be adopted by th</w:t>
      </w:r>
      <w:r>
        <w:rPr>
          <w:szCs w:val="22"/>
        </w:rPr>
        <w:t>e Australian government in 2017</w:t>
      </w:r>
      <w:r w:rsidRPr="00FC6F65">
        <w:rPr>
          <w:szCs w:val="22"/>
        </w:rPr>
        <w:t>. The Fifth Assessment Report is well advanced, however is not publically available at the time of wr</w:t>
      </w:r>
      <w:r w:rsidR="00B93039">
        <w:rPr>
          <w:szCs w:val="22"/>
        </w:rPr>
        <w:t>iting this report.</w:t>
      </w:r>
    </w:p>
    <w:p w14:paraId="627357B7" w14:textId="7425B7C1" w:rsidR="00043C8C" w:rsidRPr="00BE32F5" w:rsidRDefault="00043C8C" w:rsidP="00043C8C">
      <w:pPr>
        <w:rPr>
          <w:szCs w:val="22"/>
        </w:rPr>
      </w:pPr>
      <w:r>
        <w:rPr>
          <w:szCs w:val="22"/>
        </w:rPr>
        <w:t>F</w:t>
      </w:r>
      <w:r w:rsidRPr="00FC6F65">
        <w:rPr>
          <w:szCs w:val="22"/>
        </w:rPr>
        <w:t xml:space="preserve">or </w:t>
      </w:r>
      <w:r>
        <w:rPr>
          <w:szCs w:val="22"/>
        </w:rPr>
        <w:t xml:space="preserve">information </w:t>
      </w:r>
      <w:r w:rsidRPr="000C5568">
        <w:rPr>
          <w:i/>
          <w:szCs w:val="22"/>
        </w:rPr>
        <w:t>Table 3</w:t>
      </w:r>
      <w:r w:rsidR="00876382">
        <w:rPr>
          <w:i/>
          <w:szCs w:val="22"/>
        </w:rPr>
        <w:t>6</w:t>
      </w:r>
      <w:r>
        <w:rPr>
          <w:szCs w:val="22"/>
        </w:rPr>
        <w:t xml:space="preserve"> in </w:t>
      </w:r>
      <w:r w:rsidRPr="000C5568">
        <w:rPr>
          <w:i/>
          <w:szCs w:val="22"/>
        </w:rPr>
        <w:t>Appendix B</w:t>
      </w:r>
      <w:r w:rsidRPr="00FC6F65">
        <w:rPr>
          <w:szCs w:val="22"/>
        </w:rPr>
        <w:t xml:space="preserve"> lists the AR2 and AR4 GWPs of refrigerant gases and substances in use in Australia. </w:t>
      </w:r>
    </w:p>
    <w:p w14:paraId="1C2F6CA4" w14:textId="77777777" w:rsidR="002744A2" w:rsidRPr="002744A2" w:rsidRDefault="002744A2" w:rsidP="002744A2">
      <w:pPr>
        <w:rPr>
          <w:szCs w:val="22"/>
        </w:rPr>
      </w:pPr>
    </w:p>
    <w:p w14:paraId="52C9CCF2" w14:textId="1EC67E24" w:rsidR="00157DFD" w:rsidRPr="00157DFD" w:rsidRDefault="00157DFD" w:rsidP="007B6646">
      <w:pPr>
        <w:pStyle w:val="Heading2"/>
        <w:ind w:left="567" w:hanging="567"/>
      </w:pPr>
      <w:bookmarkStart w:id="33" w:name="_Toc233084148"/>
      <w:r w:rsidRPr="00157DFD">
        <w:t xml:space="preserve">Refrigerant </w:t>
      </w:r>
      <w:r w:rsidR="000226CB">
        <w:t>b</w:t>
      </w:r>
      <w:r w:rsidRPr="00157DFD">
        <w:t>ank 2006 v</w:t>
      </w:r>
      <w:r w:rsidR="000226CB">
        <w:t>ersus</w:t>
      </w:r>
      <w:r w:rsidRPr="00157DFD">
        <w:t xml:space="preserve"> 2012</w:t>
      </w:r>
      <w:bookmarkEnd w:id="33"/>
    </w:p>
    <w:p w14:paraId="781104BB" w14:textId="4D106E97" w:rsidR="002744A2" w:rsidRPr="002744A2" w:rsidRDefault="002744A2" w:rsidP="002744A2">
      <w:pPr>
        <w:rPr>
          <w:szCs w:val="22"/>
        </w:rPr>
      </w:pPr>
      <w:r w:rsidRPr="002744A2">
        <w:rPr>
          <w:szCs w:val="22"/>
        </w:rPr>
        <w:t>In a dramatic phase of growth the bank of working gas has expanded by more than 45 per cent in just 6 years, from an estimated 30,169 tonnes in 2006 to a total bank of 43,5</w:t>
      </w:r>
      <w:r w:rsidR="00784964">
        <w:rPr>
          <w:szCs w:val="22"/>
        </w:rPr>
        <w:t>00</w:t>
      </w:r>
      <w:r w:rsidRPr="002744A2">
        <w:rPr>
          <w:szCs w:val="22"/>
        </w:rPr>
        <w:t xml:space="preserve"> tonnes in 2012. </w:t>
      </w:r>
    </w:p>
    <w:p w14:paraId="3FEF65FB" w14:textId="5EE08CAD" w:rsidR="002744A2" w:rsidRPr="002744A2" w:rsidRDefault="002744A2" w:rsidP="002744A2">
      <w:pPr>
        <w:rPr>
          <w:szCs w:val="22"/>
        </w:rPr>
      </w:pPr>
      <w:r w:rsidRPr="002744A2">
        <w:rPr>
          <w:szCs w:val="22"/>
        </w:rPr>
        <w:t>However it also has to be noted that the baseline figure for the bank in 2006, calculated as part of CHF1, may have been underestimated as a result of a general underestimation of the stock of equipment made at that time. Numerous studies have been conducted since the completion of CHF1, many of which have extended the data in the stock model, finding some larger ‘pools’ of gas in stocks of equipment that were previously underestimated. These include walk-in coolrooms and some categories of commercial refrigeration equipment.</w:t>
      </w:r>
    </w:p>
    <w:p w14:paraId="5E282553" w14:textId="04C32758" w:rsidR="002744A2" w:rsidRPr="002744A2" w:rsidRDefault="002744A2" w:rsidP="002744A2">
      <w:pPr>
        <w:rPr>
          <w:szCs w:val="22"/>
        </w:rPr>
      </w:pPr>
      <w:r w:rsidRPr="002744A2">
        <w:rPr>
          <w:szCs w:val="22"/>
        </w:rPr>
        <w:t xml:space="preserve">As a result of these other research projects the 2012 model also includes more accurate assumptions about retirement rates of certain equipment categories that has had the effect of increasing the </w:t>
      </w:r>
      <w:r w:rsidR="00C206B5">
        <w:rPr>
          <w:szCs w:val="22"/>
        </w:rPr>
        <w:t xml:space="preserve">estimated </w:t>
      </w:r>
      <w:r w:rsidRPr="002744A2">
        <w:rPr>
          <w:szCs w:val="22"/>
        </w:rPr>
        <w:t xml:space="preserve">average life of some equipment categories, and therefore increasing the number of pieces of equipment expected to still be in operation, a change that adds to the bank of gas working in that category. </w:t>
      </w:r>
    </w:p>
    <w:p w14:paraId="452CC482" w14:textId="29A7F5D1" w:rsidR="002744A2" w:rsidRPr="002744A2" w:rsidRDefault="002744A2" w:rsidP="002744A2">
      <w:pPr>
        <w:rPr>
          <w:szCs w:val="22"/>
        </w:rPr>
      </w:pPr>
      <w:r w:rsidRPr="002744A2">
        <w:rPr>
          <w:szCs w:val="22"/>
        </w:rPr>
        <w:t xml:space="preserve">Even with the improved data and assumptions available in the 2012 model, upon reviewing the underlying data used in CHF1 the authors concluded that the 2006 bank is likely to have been underestimated by </w:t>
      </w:r>
      <w:r w:rsidR="00776748">
        <w:rPr>
          <w:szCs w:val="22"/>
        </w:rPr>
        <w:t>no more than</w:t>
      </w:r>
      <w:r w:rsidR="00A5674D">
        <w:rPr>
          <w:szCs w:val="22"/>
        </w:rPr>
        <w:t xml:space="preserve"> </w:t>
      </w:r>
      <w:r w:rsidRPr="002744A2">
        <w:rPr>
          <w:szCs w:val="22"/>
        </w:rPr>
        <w:t>10 per cent. If we assume that as the worst case, and the 2006 bank was actually equivalent to 33,185 tonnes, then the bank has still grown by some 32 per cent in the period. The reality is likely to be something between those numbers, with the range of growth of the bank in the period from 2006 being at least 32</w:t>
      </w:r>
      <w:r w:rsidR="00F62B9B">
        <w:rPr>
          <w:szCs w:val="22"/>
        </w:rPr>
        <w:t xml:space="preserve"> </w:t>
      </w:r>
      <w:r w:rsidRPr="002744A2">
        <w:rPr>
          <w:szCs w:val="22"/>
        </w:rPr>
        <w:t>per cent, and being no more than 45 per cent.</w:t>
      </w:r>
      <w:r w:rsidR="00F62B9B">
        <w:rPr>
          <w:szCs w:val="22"/>
        </w:rPr>
        <w:t xml:space="preserve"> </w:t>
      </w:r>
      <w:r w:rsidRPr="002744A2">
        <w:rPr>
          <w:szCs w:val="22"/>
        </w:rPr>
        <w:t>The range, and the total tonnes in the bank at the 2006 starting point do not have a significant impact on the observable trends in the composition of the much expanded bank in 2012.</w:t>
      </w:r>
    </w:p>
    <w:p w14:paraId="617B8385" w14:textId="6701EB79" w:rsidR="002744A2" w:rsidRPr="002744A2" w:rsidRDefault="002744A2" w:rsidP="002744A2">
      <w:pPr>
        <w:rPr>
          <w:szCs w:val="22"/>
        </w:rPr>
      </w:pPr>
      <w:r w:rsidRPr="002744A2">
        <w:rPr>
          <w:szCs w:val="22"/>
        </w:rPr>
        <w:lastRenderedPageBreak/>
        <w:t>The rapid growth in the working bank, particularly between 2006 and 2010, is a phenomenon that was largely underpinned by the vast increase in air conditioning equipment.</w:t>
      </w:r>
    </w:p>
    <w:p w14:paraId="5A716C6B" w14:textId="77777777" w:rsidR="002744A2" w:rsidRPr="002744A2" w:rsidRDefault="002744A2" w:rsidP="002744A2">
      <w:pPr>
        <w:rPr>
          <w:szCs w:val="22"/>
        </w:rPr>
      </w:pPr>
      <w:r w:rsidRPr="002744A2">
        <w:rPr>
          <w:szCs w:val="22"/>
        </w:rPr>
        <w:t xml:space="preserve">The overall rate of growth of this high GWP bank of gas appears to have slowed in the last two years. Growth of only 5 per cent, per annum, at most, has been recorded between 2010 and 2012, from around 41,100 tonnes to the present level. This recent rate of growth may be even lower because some of the same data improvements that led us to consider a possible underestimation of the 2006 bank would also flow through to a (much smaller) possible underestimation of the 2010 bank. </w:t>
      </w:r>
    </w:p>
    <w:p w14:paraId="4C591C50" w14:textId="77777777" w:rsidR="002744A2" w:rsidRPr="002744A2" w:rsidRDefault="002744A2" w:rsidP="002744A2">
      <w:pPr>
        <w:rPr>
          <w:szCs w:val="22"/>
        </w:rPr>
      </w:pPr>
      <w:r w:rsidRPr="002744A2">
        <w:rPr>
          <w:szCs w:val="22"/>
        </w:rPr>
        <w:t xml:space="preserve">Irrespective of the exact rate of growth, the observed flattening in growth of the bank could possibly be a result of some saturation in the air conditioning market, coupled with slightly cooler summers in 2010 and 2011 than during previous years. Other factors that could contribute to this trend include the general tightening in consumer spending, resulting in delayed purchasing decisions in both residential and commercial equipment, a trend that has been widely observed across the economy during the period. </w:t>
      </w:r>
    </w:p>
    <w:p w14:paraId="11A001EE" w14:textId="77777777" w:rsidR="002744A2" w:rsidRPr="002744A2" w:rsidRDefault="002744A2" w:rsidP="002744A2">
      <w:pPr>
        <w:rPr>
          <w:szCs w:val="22"/>
        </w:rPr>
      </w:pPr>
      <w:r w:rsidRPr="002744A2">
        <w:rPr>
          <w:szCs w:val="22"/>
        </w:rPr>
        <w:t>Some of this flattening in growth of the high GWP bank may also be attributed to accelerated migration of some product categories to the use of low GWP gases in the lead up to the introduction of the ECP on July 1, 2012. These technological trends include the retrofitting of registered passenger vehicles with hydrocarbons, a shift by manufacturers of new domestic refrigerators to hydrocarbon refrigerants, and a move of some larger supermarket systems to technology driven by CO</w:t>
      </w:r>
      <w:r w:rsidRPr="00327C26">
        <w:rPr>
          <w:szCs w:val="22"/>
          <w:vertAlign w:val="subscript"/>
        </w:rPr>
        <w:t>2</w:t>
      </w:r>
      <w:r w:rsidRPr="002744A2">
        <w:rPr>
          <w:szCs w:val="22"/>
        </w:rPr>
        <w:t xml:space="preserve"> refrigerant. </w:t>
      </w:r>
    </w:p>
    <w:p w14:paraId="29E5C9F6" w14:textId="3E16AF7A" w:rsidR="000226CB" w:rsidRDefault="002744A2" w:rsidP="000226CB">
      <w:pPr>
        <w:rPr>
          <w:szCs w:val="22"/>
        </w:rPr>
      </w:pPr>
      <w:r w:rsidRPr="002744A2">
        <w:rPr>
          <w:szCs w:val="22"/>
        </w:rPr>
        <w:t xml:space="preserve">However it is too early to say if this slowing in the overall growth rate of the high </w:t>
      </w:r>
      <w:r>
        <w:rPr>
          <w:szCs w:val="22"/>
        </w:rPr>
        <w:t xml:space="preserve">GWP bank is a long term trend. </w:t>
      </w:r>
    </w:p>
    <w:p w14:paraId="22C85135" w14:textId="77777777" w:rsidR="00157DFD" w:rsidRDefault="00157DFD" w:rsidP="00BE3B27">
      <w:pPr>
        <w:rPr>
          <w:szCs w:val="22"/>
        </w:rPr>
      </w:pPr>
    </w:p>
    <w:p w14:paraId="79E02A4E" w14:textId="62A2D419" w:rsidR="00157DFD" w:rsidRDefault="000226CB" w:rsidP="000226CB">
      <w:pPr>
        <w:pStyle w:val="Heading3"/>
      </w:pPr>
      <w:bookmarkStart w:id="34" w:name="_Toc233084149"/>
      <w:r w:rsidRPr="000226CB">
        <w:t xml:space="preserve">The </w:t>
      </w:r>
      <w:r>
        <w:t>b</w:t>
      </w:r>
      <w:r w:rsidRPr="000226CB">
        <w:t xml:space="preserve">ank by </w:t>
      </w:r>
      <w:r>
        <w:t>h</w:t>
      </w:r>
      <w:r w:rsidRPr="000226CB">
        <w:t xml:space="preserve">igh GWP </w:t>
      </w:r>
      <w:r>
        <w:t>s</w:t>
      </w:r>
      <w:r w:rsidRPr="000226CB">
        <w:t>pecies</w:t>
      </w:r>
      <w:bookmarkEnd w:id="34"/>
    </w:p>
    <w:p w14:paraId="27C3DA30" w14:textId="6277EEC7" w:rsidR="00157DFD" w:rsidRDefault="002744A2" w:rsidP="00BE3B27">
      <w:pPr>
        <w:rPr>
          <w:szCs w:val="22"/>
        </w:rPr>
      </w:pPr>
      <w:r w:rsidRPr="002744A2">
        <w:rPr>
          <w:szCs w:val="22"/>
        </w:rPr>
        <w:t xml:space="preserve">The total bank of high GWP working gases in refrigeration and air conditioning equipment in Australia </w:t>
      </w:r>
      <w:r w:rsidR="00F46DCC">
        <w:rPr>
          <w:szCs w:val="22"/>
        </w:rPr>
        <w:t xml:space="preserve">in 2012 </w:t>
      </w:r>
      <w:r w:rsidRPr="002744A2">
        <w:rPr>
          <w:szCs w:val="22"/>
        </w:rPr>
        <w:t>is estimated at approximately 43,</w:t>
      </w:r>
      <w:r w:rsidR="00A5674D">
        <w:rPr>
          <w:szCs w:val="22"/>
        </w:rPr>
        <w:t>500</w:t>
      </w:r>
      <w:r w:rsidRPr="002744A2">
        <w:rPr>
          <w:szCs w:val="22"/>
        </w:rPr>
        <w:t xml:space="preserve"> tonnes of HCFCs and HFCs as listed in </w:t>
      </w:r>
      <w:r w:rsidRPr="002744A2">
        <w:rPr>
          <w:i/>
          <w:szCs w:val="22"/>
        </w:rPr>
        <w:t>Table 1</w:t>
      </w:r>
      <w:r>
        <w:rPr>
          <w:i/>
          <w:szCs w:val="22"/>
        </w:rPr>
        <w:t>4</w:t>
      </w:r>
      <w:r w:rsidRPr="002744A2">
        <w:rPr>
          <w:szCs w:val="22"/>
        </w:rPr>
        <w:t>.</w:t>
      </w:r>
    </w:p>
    <w:p w14:paraId="6BA7921B" w14:textId="77777777" w:rsidR="002744A2" w:rsidRDefault="002744A2" w:rsidP="00BE3B27">
      <w:pPr>
        <w:rPr>
          <w:szCs w:val="22"/>
        </w:rPr>
      </w:pPr>
    </w:p>
    <w:p w14:paraId="4A0414A0" w14:textId="33FFCB50" w:rsidR="000226CB" w:rsidRPr="000226CB" w:rsidRDefault="000226CB" w:rsidP="000226CB">
      <w:pPr>
        <w:rPr>
          <w:i/>
          <w:szCs w:val="22"/>
        </w:rPr>
      </w:pPr>
      <w:bookmarkStart w:id="35" w:name="_Toc233084058"/>
      <w:r w:rsidRPr="000226CB">
        <w:rPr>
          <w:i/>
          <w:szCs w:val="22"/>
        </w:rPr>
        <w:t xml:space="preserve">Table </w:t>
      </w:r>
      <w:r w:rsidRPr="000226CB">
        <w:rPr>
          <w:i/>
          <w:szCs w:val="22"/>
        </w:rPr>
        <w:fldChar w:fldCharType="begin"/>
      </w:r>
      <w:r w:rsidRPr="000226CB">
        <w:rPr>
          <w:i/>
          <w:szCs w:val="22"/>
        </w:rPr>
        <w:instrText xml:space="preserve"> SEQ Table \* ARABIC </w:instrText>
      </w:r>
      <w:r w:rsidRPr="000226CB">
        <w:rPr>
          <w:i/>
          <w:szCs w:val="22"/>
        </w:rPr>
        <w:fldChar w:fldCharType="separate"/>
      </w:r>
      <w:r w:rsidR="00196462">
        <w:rPr>
          <w:i/>
          <w:noProof/>
          <w:szCs w:val="22"/>
        </w:rPr>
        <w:t>14</w:t>
      </w:r>
      <w:r w:rsidRPr="000226CB">
        <w:rPr>
          <w:i/>
          <w:szCs w:val="22"/>
        </w:rPr>
        <w:fldChar w:fldCharType="end"/>
      </w:r>
      <w:r w:rsidRPr="000226CB">
        <w:rPr>
          <w:i/>
          <w:szCs w:val="22"/>
        </w:rPr>
        <w:t xml:space="preserve">: High GWP refrigerant bank at </w:t>
      </w:r>
      <w:r w:rsidR="00C206B5">
        <w:rPr>
          <w:i/>
          <w:szCs w:val="22"/>
        </w:rPr>
        <w:t xml:space="preserve">the </w:t>
      </w:r>
      <w:r w:rsidRPr="000226CB">
        <w:rPr>
          <w:i/>
          <w:szCs w:val="22"/>
        </w:rPr>
        <w:t xml:space="preserve">end </w:t>
      </w:r>
      <w:r w:rsidR="00C206B5">
        <w:rPr>
          <w:i/>
          <w:szCs w:val="22"/>
        </w:rPr>
        <w:t xml:space="preserve">of </w:t>
      </w:r>
      <w:r w:rsidRPr="000226CB">
        <w:rPr>
          <w:i/>
          <w:szCs w:val="22"/>
        </w:rPr>
        <w:t>2012 by mass in tonnes</w:t>
      </w:r>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8"/>
        <w:gridCol w:w="3276"/>
      </w:tblGrid>
      <w:tr w:rsidR="000226CB" w:rsidRPr="00923150" w14:paraId="45D7574C" w14:textId="77777777" w:rsidTr="00230E2E">
        <w:trPr>
          <w:trHeight w:val="684"/>
        </w:trPr>
        <w:tc>
          <w:tcPr>
            <w:tcW w:w="3188" w:type="dxa"/>
            <w:tcBorders>
              <w:top w:val="single" w:sz="8" w:space="0" w:color="auto"/>
              <w:left w:val="single" w:sz="8" w:space="0" w:color="auto"/>
              <w:bottom w:val="single" w:sz="8" w:space="0" w:color="auto"/>
              <w:right w:val="single" w:sz="4" w:space="0" w:color="FFFFFF"/>
            </w:tcBorders>
            <w:shd w:val="clear" w:color="auto" w:fill="000000"/>
            <w:vAlign w:val="center"/>
          </w:tcPr>
          <w:p w14:paraId="19982827" w14:textId="1C735D32" w:rsidR="000226CB" w:rsidRPr="00923150" w:rsidRDefault="000226CB" w:rsidP="000226CB">
            <w:pPr>
              <w:spacing w:after="120"/>
              <w:ind w:left="284"/>
            </w:pPr>
            <w:r>
              <w:t>Species</w:t>
            </w:r>
          </w:p>
        </w:tc>
        <w:tc>
          <w:tcPr>
            <w:tcW w:w="3276" w:type="dxa"/>
            <w:tcBorders>
              <w:top w:val="single" w:sz="8" w:space="0" w:color="auto"/>
              <w:left w:val="single" w:sz="4" w:space="0" w:color="FFFFFF"/>
              <w:bottom w:val="single" w:sz="8" w:space="0" w:color="auto"/>
              <w:right w:val="single" w:sz="8" w:space="0" w:color="auto"/>
            </w:tcBorders>
            <w:shd w:val="clear" w:color="auto" w:fill="000000"/>
            <w:vAlign w:val="center"/>
          </w:tcPr>
          <w:p w14:paraId="77A31130" w14:textId="55ECF806" w:rsidR="000226CB" w:rsidRPr="00923150" w:rsidRDefault="000226CB" w:rsidP="000226CB">
            <w:pPr>
              <w:spacing w:after="120"/>
              <w:jc w:val="center"/>
            </w:pPr>
            <w:r>
              <w:t>Bank (t)</w:t>
            </w:r>
          </w:p>
        </w:tc>
      </w:tr>
      <w:tr w:rsidR="000226CB" w:rsidRPr="00923150" w14:paraId="4C766CA1" w14:textId="77777777" w:rsidTr="000226CB">
        <w:trPr>
          <w:trHeight w:val="456"/>
        </w:trPr>
        <w:tc>
          <w:tcPr>
            <w:tcW w:w="3188" w:type="dxa"/>
            <w:tcBorders>
              <w:top w:val="single" w:sz="8" w:space="0" w:color="auto"/>
            </w:tcBorders>
            <w:vAlign w:val="center"/>
          </w:tcPr>
          <w:p w14:paraId="713CD7FF" w14:textId="4098B511" w:rsidR="000226CB" w:rsidRPr="00923150" w:rsidRDefault="000226CB" w:rsidP="000226CB">
            <w:pPr>
              <w:spacing w:before="60" w:after="60"/>
              <w:ind w:left="284"/>
              <w:rPr>
                <w:sz w:val="20"/>
              </w:rPr>
            </w:pPr>
            <w:r w:rsidRPr="00C2145A">
              <w:t>HCFC-22</w:t>
            </w:r>
            <w:r w:rsidR="00C20BC2" w:rsidRPr="00C2145A">
              <w:t xml:space="preserve"> </w:t>
            </w:r>
            <w:r w:rsidR="00C20BC2" w:rsidRPr="00C2145A">
              <w:rPr>
                <w:sz w:val="20"/>
                <w:szCs w:val="20"/>
                <w:vertAlign w:val="superscript"/>
              </w:rPr>
              <w:t>(1)</w:t>
            </w:r>
          </w:p>
        </w:tc>
        <w:tc>
          <w:tcPr>
            <w:tcW w:w="3276" w:type="dxa"/>
            <w:tcBorders>
              <w:top w:val="single" w:sz="8" w:space="0" w:color="auto"/>
            </w:tcBorders>
            <w:vAlign w:val="center"/>
          </w:tcPr>
          <w:p w14:paraId="518DEAD2" w14:textId="1C249B8A" w:rsidR="000226CB" w:rsidRPr="00923150" w:rsidRDefault="000226CB" w:rsidP="000226CB">
            <w:pPr>
              <w:spacing w:before="60" w:after="60"/>
              <w:jc w:val="center"/>
              <w:rPr>
                <w:sz w:val="20"/>
              </w:rPr>
            </w:pPr>
            <w:r w:rsidRPr="00E4485D">
              <w:t>11,227</w:t>
            </w:r>
          </w:p>
        </w:tc>
      </w:tr>
      <w:tr w:rsidR="000226CB" w:rsidRPr="00923150" w14:paraId="757026B1" w14:textId="77777777" w:rsidTr="000226CB">
        <w:trPr>
          <w:trHeight w:val="456"/>
        </w:trPr>
        <w:tc>
          <w:tcPr>
            <w:tcW w:w="3188" w:type="dxa"/>
            <w:vAlign w:val="center"/>
          </w:tcPr>
          <w:p w14:paraId="71328C9B" w14:textId="436FC3DE" w:rsidR="000226CB" w:rsidRDefault="000226CB" w:rsidP="000226CB">
            <w:pPr>
              <w:spacing w:before="60" w:after="60"/>
              <w:ind w:left="284"/>
              <w:rPr>
                <w:sz w:val="20"/>
              </w:rPr>
            </w:pPr>
            <w:r w:rsidRPr="00E4485D">
              <w:t>HCFC Mix</w:t>
            </w:r>
          </w:p>
        </w:tc>
        <w:tc>
          <w:tcPr>
            <w:tcW w:w="3276" w:type="dxa"/>
            <w:vAlign w:val="center"/>
          </w:tcPr>
          <w:p w14:paraId="7E8CAA59" w14:textId="31B9E11C" w:rsidR="000226CB" w:rsidRDefault="000226CB" w:rsidP="000226CB">
            <w:pPr>
              <w:spacing w:before="60" w:after="60"/>
              <w:jc w:val="center"/>
              <w:rPr>
                <w:sz w:val="20"/>
              </w:rPr>
            </w:pPr>
            <w:r w:rsidRPr="00E4485D">
              <w:t>201</w:t>
            </w:r>
          </w:p>
        </w:tc>
      </w:tr>
      <w:tr w:rsidR="000226CB" w:rsidRPr="00923150" w14:paraId="1B5CE02E" w14:textId="77777777" w:rsidTr="000226CB">
        <w:trPr>
          <w:trHeight w:val="456"/>
        </w:trPr>
        <w:tc>
          <w:tcPr>
            <w:tcW w:w="3188" w:type="dxa"/>
            <w:vAlign w:val="center"/>
          </w:tcPr>
          <w:p w14:paraId="6A8958FF" w14:textId="42FDB142" w:rsidR="000226CB" w:rsidRDefault="000226CB" w:rsidP="000226CB">
            <w:pPr>
              <w:spacing w:before="60" w:after="60"/>
              <w:ind w:left="284"/>
              <w:rPr>
                <w:sz w:val="20"/>
              </w:rPr>
            </w:pPr>
            <w:r w:rsidRPr="00E4485D">
              <w:t>HFC-134a</w:t>
            </w:r>
          </w:p>
        </w:tc>
        <w:tc>
          <w:tcPr>
            <w:tcW w:w="3276" w:type="dxa"/>
            <w:vAlign w:val="center"/>
          </w:tcPr>
          <w:p w14:paraId="48CDD478" w14:textId="198612C3" w:rsidR="000226CB" w:rsidRDefault="000226CB" w:rsidP="000226CB">
            <w:pPr>
              <w:spacing w:before="60" w:after="60"/>
              <w:jc w:val="center"/>
              <w:rPr>
                <w:sz w:val="20"/>
              </w:rPr>
            </w:pPr>
            <w:r w:rsidRPr="00E4485D">
              <w:t>13,432</w:t>
            </w:r>
          </w:p>
        </w:tc>
      </w:tr>
      <w:tr w:rsidR="000226CB" w:rsidRPr="00923150" w14:paraId="4F332956" w14:textId="77777777" w:rsidTr="000226CB">
        <w:trPr>
          <w:trHeight w:val="456"/>
        </w:trPr>
        <w:tc>
          <w:tcPr>
            <w:tcW w:w="3188" w:type="dxa"/>
            <w:vAlign w:val="center"/>
          </w:tcPr>
          <w:p w14:paraId="08409005" w14:textId="478A77E4" w:rsidR="000226CB" w:rsidRDefault="000226CB" w:rsidP="000226CB">
            <w:pPr>
              <w:spacing w:before="60" w:after="60"/>
              <w:ind w:left="284"/>
              <w:rPr>
                <w:sz w:val="20"/>
              </w:rPr>
            </w:pPr>
            <w:r w:rsidRPr="00E4485D">
              <w:t>HFC-404A</w:t>
            </w:r>
          </w:p>
        </w:tc>
        <w:tc>
          <w:tcPr>
            <w:tcW w:w="3276" w:type="dxa"/>
            <w:vAlign w:val="center"/>
          </w:tcPr>
          <w:p w14:paraId="027B4C85" w14:textId="26263062" w:rsidR="000226CB" w:rsidRDefault="000226CB" w:rsidP="000226CB">
            <w:pPr>
              <w:spacing w:before="60" w:after="60"/>
              <w:jc w:val="center"/>
              <w:rPr>
                <w:sz w:val="20"/>
              </w:rPr>
            </w:pPr>
            <w:r w:rsidRPr="00E4485D">
              <w:t>3,306</w:t>
            </w:r>
          </w:p>
        </w:tc>
      </w:tr>
      <w:tr w:rsidR="000226CB" w:rsidRPr="00923150" w14:paraId="3AD49EFF" w14:textId="77777777" w:rsidTr="000226CB">
        <w:trPr>
          <w:trHeight w:val="456"/>
        </w:trPr>
        <w:tc>
          <w:tcPr>
            <w:tcW w:w="3188" w:type="dxa"/>
            <w:vAlign w:val="center"/>
          </w:tcPr>
          <w:p w14:paraId="78C5A9B9" w14:textId="221AEF2D" w:rsidR="000226CB" w:rsidRDefault="000226CB" w:rsidP="000226CB">
            <w:pPr>
              <w:spacing w:before="60" w:after="60"/>
              <w:ind w:left="284"/>
              <w:rPr>
                <w:sz w:val="20"/>
              </w:rPr>
            </w:pPr>
            <w:r w:rsidRPr="00E4485D">
              <w:t>HFC-407C</w:t>
            </w:r>
          </w:p>
        </w:tc>
        <w:tc>
          <w:tcPr>
            <w:tcW w:w="3276" w:type="dxa"/>
            <w:vAlign w:val="center"/>
          </w:tcPr>
          <w:p w14:paraId="5BD5F995" w14:textId="075896CF" w:rsidR="000226CB" w:rsidRDefault="000226CB" w:rsidP="000226CB">
            <w:pPr>
              <w:spacing w:before="60" w:after="60"/>
              <w:jc w:val="center"/>
              <w:rPr>
                <w:sz w:val="20"/>
              </w:rPr>
            </w:pPr>
            <w:r w:rsidRPr="00E4485D">
              <w:t>1</w:t>
            </w:r>
            <w:r w:rsidR="00A5674D">
              <w:t>,</w:t>
            </w:r>
            <w:r w:rsidRPr="00E4485D">
              <w:t>017</w:t>
            </w:r>
          </w:p>
        </w:tc>
      </w:tr>
      <w:tr w:rsidR="000226CB" w:rsidRPr="00923150" w14:paraId="08FF3A76" w14:textId="77777777" w:rsidTr="000226CB">
        <w:trPr>
          <w:trHeight w:val="456"/>
        </w:trPr>
        <w:tc>
          <w:tcPr>
            <w:tcW w:w="3188" w:type="dxa"/>
            <w:tcBorders>
              <w:bottom w:val="double" w:sz="4" w:space="0" w:color="auto"/>
            </w:tcBorders>
            <w:vAlign w:val="center"/>
          </w:tcPr>
          <w:p w14:paraId="03C75229" w14:textId="53CB2893" w:rsidR="000226CB" w:rsidRDefault="000226CB" w:rsidP="000226CB">
            <w:pPr>
              <w:spacing w:before="60" w:after="60"/>
              <w:ind w:left="284"/>
              <w:rPr>
                <w:sz w:val="20"/>
              </w:rPr>
            </w:pPr>
            <w:r w:rsidRPr="00E4485D">
              <w:t>HFC-410A</w:t>
            </w:r>
          </w:p>
        </w:tc>
        <w:tc>
          <w:tcPr>
            <w:tcW w:w="3276" w:type="dxa"/>
            <w:tcBorders>
              <w:bottom w:val="double" w:sz="4" w:space="0" w:color="auto"/>
            </w:tcBorders>
            <w:vAlign w:val="center"/>
          </w:tcPr>
          <w:p w14:paraId="089CF8BE" w14:textId="2AB7390D" w:rsidR="000226CB" w:rsidRDefault="00091F50" w:rsidP="000226CB">
            <w:pPr>
              <w:spacing w:before="60" w:after="60"/>
              <w:jc w:val="center"/>
              <w:rPr>
                <w:sz w:val="20"/>
              </w:rPr>
            </w:pPr>
            <w:r>
              <w:t>14,341</w:t>
            </w:r>
          </w:p>
        </w:tc>
      </w:tr>
      <w:tr w:rsidR="000226CB" w:rsidRPr="00923150" w14:paraId="0519FFC2" w14:textId="77777777" w:rsidTr="000226CB">
        <w:trPr>
          <w:trHeight w:val="456"/>
        </w:trPr>
        <w:tc>
          <w:tcPr>
            <w:tcW w:w="3188" w:type="dxa"/>
            <w:tcBorders>
              <w:top w:val="double" w:sz="4" w:space="0" w:color="auto"/>
            </w:tcBorders>
            <w:vAlign w:val="center"/>
          </w:tcPr>
          <w:p w14:paraId="42728580" w14:textId="45432966" w:rsidR="000226CB" w:rsidRDefault="000226CB" w:rsidP="000226CB">
            <w:pPr>
              <w:spacing w:before="60" w:after="60"/>
              <w:ind w:left="284"/>
              <w:rPr>
                <w:sz w:val="20"/>
              </w:rPr>
            </w:pPr>
            <w:r w:rsidRPr="00E4485D">
              <w:t xml:space="preserve"> Total</w:t>
            </w:r>
          </w:p>
        </w:tc>
        <w:tc>
          <w:tcPr>
            <w:tcW w:w="3276" w:type="dxa"/>
            <w:tcBorders>
              <w:top w:val="double" w:sz="4" w:space="0" w:color="auto"/>
            </w:tcBorders>
            <w:vAlign w:val="center"/>
          </w:tcPr>
          <w:p w14:paraId="2C3B96EE" w14:textId="3C981070" w:rsidR="000226CB" w:rsidRDefault="000226CB" w:rsidP="000226CB">
            <w:pPr>
              <w:spacing w:before="60" w:after="60"/>
              <w:jc w:val="center"/>
              <w:rPr>
                <w:sz w:val="20"/>
              </w:rPr>
            </w:pPr>
            <w:r w:rsidRPr="00E4485D">
              <w:t>43,523</w:t>
            </w:r>
          </w:p>
        </w:tc>
      </w:tr>
    </w:tbl>
    <w:p w14:paraId="596A776A" w14:textId="201BA48B" w:rsidR="001542C6" w:rsidRDefault="001542C6" w:rsidP="001542C6">
      <w:pPr>
        <w:pStyle w:val="ListParagraph"/>
        <w:numPr>
          <w:ilvl w:val="0"/>
          <w:numId w:val="8"/>
        </w:numPr>
        <w:spacing w:before="120" w:after="0" w:line="240" w:lineRule="auto"/>
        <w:contextualSpacing w:val="0"/>
        <w:jc w:val="both"/>
        <w:rPr>
          <w:rFonts w:ascii="Times New Roman" w:hAnsi="Times New Roman"/>
          <w:sz w:val="20"/>
          <w:szCs w:val="20"/>
        </w:rPr>
      </w:pPr>
      <w:r w:rsidRPr="00464E9B">
        <w:rPr>
          <w:rFonts w:ascii="Times New Roman" w:hAnsi="Times New Roman"/>
          <w:sz w:val="20"/>
          <w:szCs w:val="20"/>
        </w:rPr>
        <w:t>CFCs, now estimated to be less than 450 tonnes and rapidly declining, are included in HCFC</w:t>
      </w:r>
      <w:r>
        <w:rPr>
          <w:rFonts w:ascii="Times New Roman" w:hAnsi="Times New Roman"/>
          <w:sz w:val="20"/>
          <w:szCs w:val="20"/>
        </w:rPr>
        <w:t>-22</w:t>
      </w:r>
      <w:r w:rsidRPr="00464E9B">
        <w:rPr>
          <w:rFonts w:ascii="Times New Roman" w:hAnsi="Times New Roman"/>
          <w:sz w:val="20"/>
          <w:szCs w:val="20"/>
        </w:rPr>
        <w:t xml:space="preserve"> estimates, and some HCFC blends used in air conditioning applications are counted as HCFC-22.</w:t>
      </w:r>
    </w:p>
    <w:p w14:paraId="6D528DEC" w14:textId="2BE3918E" w:rsidR="00A5674D" w:rsidRPr="00464E9B" w:rsidRDefault="00A5674D" w:rsidP="001542C6">
      <w:pPr>
        <w:pStyle w:val="ListParagraph"/>
        <w:numPr>
          <w:ilvl w:val="0"/>
          <w:numId w:val="8"/>
        </w:numPr>
        <w:spacing w:before="120" w:after="0" w:line="240" w:lineRule="auto"/>
        <w:contextualSpacing w:val="0"/>
        <w:jc w:val="both"/>
        <w:rPr>
          <w:rFonts w:ascii="Times New Roman" w:hAnsi="Times New Roman"/>
          <w:sz w:val="20"/>
          <w:szCs w:val="20"/>
        </w:rPr>
      </w:pPr>
      <w:r>
        <w:rPr>
          <w:rFonts w:ascii="Times New Roman" w:hAnsi="Times New Roman"/>
          <w:sz w:val="20"/>
          <w:szCs w:val="20"/>
        </w:rPr>
        <w:t xml:space="preserve">The values in the table are estimates from the CHF2 stock model. </w:t>
      </w:r>
    </w:p>
    <w:p w14:paraId="2A241B0A" w14:textId="2AB8D7AE" w:rsidR="000226CB" w:rsidRDefault="00C20BC2" w:rsidP="002744A2">
      <w:pPr>
        <w:spacing w:before="240"/>
      </w:pPr>
      <w:r w:rsidRPr="00C20BC2">
        <w:t xml:space="preserve">The relative proportions of the main high GWP HCFCs and HFCs that make up the bank have changed dramatically since 2006 as </w:t>
      </w:r>
      <w:r w:rsidRPr="00A56BE3">
        <w:t xml:space="preserve">illustrated in </w:t>
      </w:r>
      <w:r w:rsidRPr="00A56BE3">
        <w:rPr>
          <w:i/>
        </w:rPr>
        <w:t>Figure</w:t>
      </w:r>
      <w:r w:rsidR="001D7F27">
        <w:rPr>
          <w:i/>
        </w:rPr>
        <w:t>s</w:t>
      </w:r>
      <w:r w:rsidRPr="00A56BE3">
        <w:rPr>
          <w:i/>
        </w:rPr>
        <w:t xml:space="preserve"> 1</w:t>
      </w:r>
      <w:r w:rsidRPr="00A56BE3">
        <w:t xml:space="preserve"> and </w:t>
      </w:r>
      <w:r w:rsidRPr="00A56BE3">
        <w:rPr>
          <w:i/>
        </w:rPr>
        <w:t>2</w:t>
      </w:r>
      <w:r w:rsidR="002A06F4">
        <w:rPr>
          <w:i/>
        </w:rPr>
        <w:t xml:space="preserve"> </w:t>
      </w:r>
      <w:r w:rsidR="002A06F4" w:rsidRPr="002A06F4">
        <w:t>(</w:t>
      </w:r>
      <w:r w:rsidR="002A06F4" w:rsidRPr="005F51BB">
        <w:rPr>
          <w:sz w:val="20"/>
          <w:szCs w:val="20"/>
        </w:rPr>
        <w:t>Source</w:t>
      </w:r>
      <w:r w:rsidR="0052299E">
        <w:rPr>
          <w:sz w:val="20"/>
          <w:szCs w:val="20"/>
        </w:rPr>
        <w:t>s</w:t>
      </w:r>
      <w:r w:rsidR="002A06F4" w:rsidRPr="005F51BB">
        <w:rPr>
          <w:sz w:val="20"/>
          <w:szCs w:val="20"/>
        </w:rPr>
        <w:t xml:space="preserve">: </w:t>
      </w:r>
      <w:r w:rsidR="002A06F4">
        <w:rPr>
          <w:sz w:val="20"/>
          <w:szCs w:val="20"/>
        </w:rPr>
        <w:t>CHF2 stock</w:t>
      </w:r>
      <w:r w:rsidR="002A06F4" w:rsidRPr="005F51BB">
        <w:rPr>
          <w:sz w:val="20"/>
          <w:szCs w:val="20"/>
        </w:rPr>
        <w:t xml:space="preserve"> model</w:t>
      </w:r>
      <w:r w:rsidR="002A06F4">
        <w:rPr>
          <w:sz w:val="20"/>
          <w:szCs w:val="20"/>
        </w:rPr>
        <w:t>, DSEWPaC 2007</w:t>
      </w:r>
      <w:r w:rsidR="0052299E">
        <w:rPr>
          <w:sz w:val="20"/>
          <w:szCs w:val="20"/>
        </w:rPr>
        <w:t>)</w:t>
      </w:r>
      <w:r w:rsidRPr="00A56BE3">
        <w:t>.</w:t>
      </w:r>
    </w:p>
    <w:p w14:paraId="20DBEAB2" w14:textId="77777777" w:rsidR="00C20BC2" w:rsidRDefault="00C20BC2" w:rsidP="00C20BC2"/>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C20BC2" w:rsidRPr="005D159D" w14:paraId="13DDF946" w14:textId="77777777" w:rsidTr="00C20BC2">
        <w:tc>
          <w:tcPr>
            <w:tcW w:w="9639" w:type="dxa"/>
            <w:vAlign w:val="center"/>
          </w:tcPr>
          <w:p w14:paraId="2FC78249" w14:textId="77777777" w:rsidR="00C20BC2" w:rsidRPr="005D159D" w:rsidRDefault="00C20BC2" w:rsidP="00C20BC2">
            <w:pPr>
              <w:spacing w:after="120"/>
              <w:jc w:val="center"/>
              <w:rPr>
                <w:b/>
                <w:sz w:val="24"/>
              </w:rPr>
            </w:pPr>
            <w:r w:rsidRPr="005D159D">
              <w:rPr>
                <w:b/>
                <w:sz w:val="24"/>
              </w:rPr>
              <w:lastRenderedPageBreak/>
              <w:br w:type="page"/>
              <w:t xml:space="preserve">The bank 2006 versus 2012 </w:t>
            </w:r>
          </w:p>
        </w:tc>
      </w:tr>
      <w:tr w:rsidR="00C20BC2" w:rsidRPr="00BD20BC" w14:paraId="30DA5F32" w14:textId="77777777" w:rsidTr="00C20BC2">
        <w:tc>
          <w:tcPr>
            <w:tcW w:w="9639" w:type="dxa"/>
            <w:vAlign w:val="center"/>
          </w:tcPr>
          <w:p w14:paraId="45B0A23C" w14:textId="77777777" w:rsidR="00C20BC2" w:rsidRDefault="00C20BC2" w:rsidP="00C20BC2">
            <w:pPr>
              <w:jc w:val="center"/>
              <w:rPr>
                <w:sz w:val="16"/>
                <w:szCs w:val="16"/>
              </w:rPr>
            </w:pPr>
          </w:p>
          <w:p w14:paraId="244CAD4B" w14:textId="38256BB4" w:rsidR="00C20BC2" w:rsidRDefault="002137E7" w:rsidP="00C20BC2">
            <w:pPr>
              <w:jc w:val="center"/>
              <w:rPr>
                <w:sz w:val="16"/>
                <w:szCs w:val="16"/>
              </w:rPr>
            </w:pPr>
            <w:r>
              <w:rPr>
                <w:noProof/>
                <w:lang w:val="en-US"/>
              </w:rPr>
              <w:drawing>
                <wp:inline distT="0" distB="0" distL="0" distR="0" wp14:anchorId="0EA1A199" wp14:editId="4AFC46DD">
                  <wp:extent cx="4950460" cy="3536950"/>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A0D364" w14:textId="77777777" w:rsidR="00C20BC2" w:rsidRPr="00BD20BC" w:rsidRDefault="00C20BC2" w:rsidP="00C20BC2">
            <w:pPr>
              <w:jc w:val="center"/>
              <w:rPr>
                <w:sz w:val="16"/>
                <w:szCs w:val="16"/>
              </w:rPr>
            </w:pPr>
          </w:p>
        </w:tc>
      </w:tr>
      <w:tr w:rsidR="00C20BC2" w:rsidRPr="00042727" w14:paraId="6BD91E5E" w14:textId="77777777" w:rsidTr="00C20BC2">
        <w:tc>
          <w:tcPr>
            <w:tcW w:w="9639" w:type="dxa"/>
            <w:vAlign w:val="center"/>
          </w:tcPr>
          <w:p w14:paraId="4482E006" w14:textId="77777777" w:rsidR="00C20BC2" w:rsidRPr="005D159D" w:rsidRDefault="00C20BC2" w:rsidP="00C20BC2">
            <w:pPr>
              <w:spacing w:before="60" w:after="60"/>
              <w:rPr>
                <w:i/>
              </w:rPr>
            </w:pPr>
            <w:bookmarkStart w:id="36" w:name="_Toc233083977"/>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1</w:t>
            </w:r>
            <w:r w:rsidRPr="005D159D">
              <w:rPr>
                <w:i/>
                <w:sz w:val="20"/>
              </w:rPr>
              <w:fldChar w:fldCharType="end"/>
            </w:r>
            <w:r w:rsidRPr="005D159D">
              <w:rPr>
                <w:i/>
                <w:sz w:val="20"/>
              </w:rPr>
              <w:t>: Bank of main high GWP HCFCs and HFCs in Australia 2006</w:t>
            </w:r>
            <w:bookmarkEnd w:id="36"/>
          </w:p>
        </w:tc>
      </w:tr>
      <w:tr w:rsidR="00C20BC2" w:rsidRPr="00BD20BC" w14:paraId="71C6F3A9" w14:textId="77777777" w:rsidTr="00C20BC2">
        <w:tc>
          <w:tcPr>
            <w:tcW w:w="9639" w:type="dxa"/>
            <w:vAlign w:val="center"/>
          </w:tcPr>
          <w:p w14:paraId="036EF456" w14:textId="77777777" w:rsidR="00C20BC2" w:rsidRDefault="00C20BC2" w:rsidP="00C20BC2">
            <w:pPr>
              <w:jc w:val="center"/>
              <w:rPr>
                <w:sz w:val="16"/>
                <w:szCs w:val="16"/>
              </w:rPr>
            </w:pPr>
          </w:p>
          <w:p w14:paraId="52A04834" w14:textId="03B5DFFC" w:rsidR="00C20BC2" w:rsidRDefault="00C56ED8" w:rsidP="00C20BC2">
            <w:pPr>
              <w:jc w:val="center"/>
              <w:rPr>
                <w:sz w:val="16"/>
                <w:szCs w:val="16"/>
              </w:rPr>
            </w:pPr>
            <w:r>
              <w:rPr>
                <w:noProof/>
                <w:lang w:val="en-US"/>
              </w:rPr>
              <w:drawing>
                <wp:inline distT="0" distB="0" distL="0" distR="0" wp14:anchorId="735E6AF6" wp14:editId="2ED7515D">
                  <wp:extent cx="4950460" cy="3426883"/>
                  <wp:effectExtent l="0" t="0" r="2540" b="25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FEDF3C" w14:textId="77777777" w:rsidR="00C20BC2" w:rsidRPr="00BD20BC" w:rsidRDefault="00C20BC2" w:rsidP="00C20BC2">
            <w:pPr>
              <w:jc w:val="center"/>
              <w:rPr>
                <w:sz w:val="16"/>
                <w:szCs w:val="16"/>
              </w:rPr>
            </w:pPr>
          </w:p>
        </w:tc>
      </w:tr>
      <w:tr w:rsidR="00C20BC2" w:rsidRPr="00923150" w14:paraId="28DBB556" w14:textId="77777777" w:rsidTr="00C20BC2">
        <w:tc>
          <w:tcPr>
            <w:tcW w:w="9639" w:type="dxa"/>
            <w:vAlign w:val="center"/>
          </w:tcPr>
          <w:p w14:paraId="787E85B0" w14:textId="77777777" w:rsidR="00C20BC2" w:rsidRPr="005D159D" w:rsidRDefault="00C20BC2" w:rsidP="00C20BC2">
            <w:pPr>
              <w:spacing w:before="60" w:after="60"/>
              <w:rPr>
                <w:i/>
              </w:rPr>
            </w:pPr>
            <w:bookmarkStart w:id="37" w:name="_Toc233083978"/>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2</w:t>
            </w:r>
            <w:r w:rsidRPr="005D159D">
              <w:rPr>
                <w:i/>
                <w:sz w:val="20"/>
              </w:rPr>
              <w:fldChar w:fldCharType="end"/>
            </w:r>
            <w:r w:rsidRPr="005D159D">
              <w:rPr>
                <w:i/>
                <w:sz w:val="20"/>
              </w:rPr>
              <w:t>: Bank of main high GWP HCFCs and HFCs in Australia 2012</w:t>
            </w:r>
            <w:bookmarkEnd w:id="37"/>
          </w:p>
        </w:tc>
      </w:tr>
    </w:tbl>
    <w:p w14:paraId="6C47E90F" w14:textId="54D0B3BA" w:rsidR="002744A2" w:rsidRPr="002744A2" w:rsidRDefault="002744A2" w:rsidP="002744A2">
      <w:pPr>
        <w:spacing w:before="240"/>
        <w:rPr>
          <w:szCs w:val="22"/>
        </w:rPr>
      </w:pPr>
      <w:r w:rsidRPr="002744A2">
        <w:rPr>
          <w:szCs w:val="22"/>
        </w:rPr>
        <w:lastRenderedPageBreak/>
        <w:t>Comparing the composition of the 2012 bank, with the working bank as it was in 2006, reveals some dramatic changes. The rapid increase in the use of HFC-410A from 9 per cent (2,782 tonnes) of the bank in 2006 to 3</w:t>
      </w:r>
      <w:r w:rsidR="00091F50">
        <w:rPr>
          <w:szCs w:val="22"/>
        </w:rPr>
        <w:t>3</w:t>
      </w:r>
      <w:r w:rsidRPr="002744A2">
        <w:rPr>
          <w:szCs w:val="22"/>
        </w:rPr>
        <w:t xml:space="preserve"> per cent in 2012 (13,966 tonnes)</w:t>
      </w:r>
      <w:r w:rsidR="00776748">
        <w:rPr>
          <w:szCs w:val="22"/>
        </w:rPr>
        <w:t>,</w:t>
      </w:r>
      <w:r w:rsidRPr="002744A2">
        <w:rPr>
          <w:szCs w:val="22"/>
        </w:rPr>
        <w:t xml:space="preserve"> driven by the explosive growth in stationary air conditioning and the use of HFC-410a to replace HCFC-22</w:t>
      </w:r>
      <w:r w:rsidR="00776748">
        <w:rPr>
          <w:szCs w:val="22"/>
        </w:rPr>
        <w:t>,</w:t>
      </w:r>
      <w:r w:rsidRPr="002744A2">
        <w:rPr>
          <w:szCs w:val="22"/>
        </w:rPr>
        <w:t xml:space="preserve"> means that HFC-410A is now the largest component of the entire bank, edging out HFC-134a.  </w:t>
      </w:r>
    </w:p>
    <w:p w14:paraId="1DC4D658" w14:textId="14EF304C" w:rsidR="002744A2" w:rsidRPr="002744A2" w:rsidRDefault="002744A2" w:rsidP="002744A2">
      <w:pPr>
        <w:rPr>
          <w:szCs w:val="22"/>
        </w:rPr>
      </w:pPr>
      <w:r w:rsidRPr="002744A2">
        <w:rPr>
          <w:szCs w:val="22"/>
        </w:rPr>
        <w:t>A corresponding decline in the proportion of HCFC-22 in the bank, from 38 per cent of the bank in 2006 (11,280 tonnes) to 26 per cent in 2012 (</w:t>
      </w:r>
      <w:r w:rsidR="00091F50">
        <w:rPr>
          <w:szCs w:val="22"/>
        </w:rPr>
        <w:t>1</w:t>
      </w:r>
      <w:r w:rsidR="002013B1">
        <w:rPr>
          <w:szCs w:val="22"/>
        </w:rPr>
        <w:t>1</w:t>
      </w:r>
      <w:r w:rsidR="00091F50">
        <w:rPr>
          <w:szCs w:val="22"/>
        </w:rPr>
        <w:t>,</w:t>
      </w:r>
      <w:r w:rsidR="002013B1">
        <w:rPr>
          <w:szCs w:val="22"/>
        </w:rPr>
        <w:t>227</w:t>
      </w:r>
      <w:r w:rsidRPr="002744A2">
        <w:rPr>
          <w:szCs w:val="22"/>
        </w:rPr>
        <w:t xml:space="preserve"> tonnes), demonstrates the effect of the Australian industries commitment to the accelerated phase out of HCFC-22 under the Montreal Protocol. Australia is now four years ahead of the agreed international timetable. The phase out of HCFCs is discussed in more detail in </w:t>
      </w:r>
      <w:r w:rsidR="00C206B5">
        <w:rPr>
          <w:i/>
          <w:szCs w:val="22"/>
        </w:rPr>
        <w:t>Chapter</w:t>
      </w:r>
      <w:r w:rsidRPr="00275269">
        <w:rPr>
          <w:i/>
          <w:szCs w:val="22"/>
        </w:rPr>
        <w:t xml:space="preserve"> 5.</w:t>
      </w:r>
      <w:r w:rsidR="00552421" w:rsidRPr="00275269">
        <w:rPr>
          <w:i/>
          <w:szCs w:val="22"/>
        </w:rPr>
        <w:t>2</w:t>
      </w:r>
      <w:r w:rsidRPr="00275269">
        <w:rPr>
          <w:i/>
          <w:szCs w:val="22"/>
        </w:rPr>
        <w:t>.6</w:t>
      </w:r>
      <w:r w:rsidRPr="00275269">
        <w:rPr>
          <w:szCs w:val="22"/>
        </w:rPr>
        <w:t>.</w:t>
      </w:r>
      <w:r w:rsidRPr="002744A2">
        <w:rPr>
          <w:szCs w:val="22"/>
        </w:rPr>
        <w:t xml:space="preserve">  </w:t>
      </w:r>
    </w:p>
    <w:p w14:paraId="42903C1D" w14:textId="005789FB" w:rsidR="000628FF" w:rsidRDefault="002744A2" w:rsidP="002744A2">
      <w:pPr>
        <w:rPr>
          <w:szCs w:val="22"/>
        </w:rPr>
      </w:pPr>
      <w:r w:rsidRPr="002744A2">
        <w:rPr>
          <w:szCs w:val="22"/>
        </w:rPr>
        <w:t>While the quantity of HCFCs in the bank is almost identical in 2006 and 2012, the comparison masks the strength of the trend against HCFCs. Previously HCFC-22 was the refrigerant of choice in air conditioning applications. Its use peaked in 2010 when it was estimated that more than 12,800 tonnes of HCFCs made up just over 30 per cent of the bank in that year. In what is quite a sharp fall, the bank of HCFCs is already down nearly 1,600 tonnes from that high point</w:t>
      </w:r>
      <w:r w:rsidR="000628FF">
        <w:rPr>
          <w:szCs w:val="22"/>
        </w:rPr>
        <w:t xml:space="preserve"> in just two years. </w:t>
      </w:r>
    </w:p>
    <w:p w14:paraId="5C4C6166" w14:textId="19D63DFF" w:rsidR="00835A3D" w:rsidRDefault="000628FF" w:rsidP="00835A3D">
      <w:pPr>
        <w:rPr>
          <w:szCs w:val="22"/>
        </w:rPr>
      </w:pPr>
      <w:r>
        <w:rPr>
          <w:szCs w:val="22"/>
        </w:rPr>
        <w:t xml:space="preserve">Predicting the future rate of change in the bank of HCFCs is complicated by </w:t>
      </w:r>
      <w:r w:rsidR="00835A3D">
        <w:rPr>
          <w:szCs w:val="22"/>
        </w:rPr>
        <w:t xml:space="preserve">several factors including the current prices of HCFC-22 which is similar to its most likely replacement HFC-410A, the amount of </w:t>
      </w:r>
      <w:r w:rsidR="005C7A5E">
        <w:rPr>
          <w:szCs w:val="22"/>
        </w:rPr>
        <w:t xml:space="preserve">HCFC-22 </w:t>
      </w:r>
      <w:r w:rsidR="00835A3D">
        <w:rPr>
          <w:szCs w:val="22"/>
        </w:rPr>
        <w:t>reuse</w:t>
      </w:r>
      <w:r w:rsidR="0066458E">
        <w:rPr>
          <w:szCs w:val="22"/>
        </w:rPr>
        <w:t>,</w:t>
      </w:r>
      <w:r w:rsidR="00835A3D">
        <w:rPr>
          <w:szCs w:val="22"/>
        </w:rPr>
        <w:t xml:space="preserve"> stock piling</w:t>
      </w:r>
      <w:r w:rsidR="0066458E">
        <w:rPr>
          <w:szCs w:val="22"/>
        </w:rPr>
        <w:t xml:space="preserve"> used refrigerant from old systems</w:t>
      </w:r>
      <w:r w:rsidR="005C7A5E">
        <w:rPr>
          <w:szCs w:val="22"/>
        </w:rPr>
        <w:t xml:space="preserve">, and </w:t>
      </w:r>
      <w:r w:rsidR="0066458E">
        <w:rPr>
          <w:szCs w:val="22"/>
        </w:rPr>
        <w:t xml:space="preserve">the </w:t>
      </w:r>
      <w:r w:rsidR="005C7A5E">
        <w:rPr>
          <w:szCs w:val="22"/>
        </w:rPr>
        <w:t xml:space="preserve">cost of maintaining old equipment. However the </w:t>
      </w:r>
      <w:r w:rsidR="00835A3D">
        <w:rPr>
          <w:szCs w:val="22"/>
        </w:rPr>
        <w:t xml:space="preserve">impact </w:t>
      </w:r>
      <w:r w:rsidR="00CD2D7B">
        <w:rPr>
          <w:szCs w:val="22"/>
        </w:rPr>
        <w:t xml:space="preserve">on prices </w:t>
      </w:r>
      <w:r w:rsidR="00835A3D">
        <w:rPr>
          <w:szCs w:val="22"/>
        </w:rPr>
        <w:t xml:space="preserve">of the next Montreal Protocol </w:t>
      </w:r>
      <w:r w:rsidR="005C7A5E">
        <w:rPr>
          <w:szCs w:val="22"/>
        </w:rPr>
        <w:t xml:space="preserve">cap step </w:t>
      </w:r>
      <w:r w:rsidR="00CD2D7B">
        <w:rPr>
          <w:szCs w:val="22"/>
        </w:rPr>
        <w:t xml:space="preserve">down from </w:t>
      </w:r>
      <w:r w:rsidR="005C7A5E">
        <w:rPr>
          <w:szCs w:val="22"/>
        </w:rPr>
        <w:t xml:space="preserve">40 ODP tonnes to 10 ODP tonnes in 2014 is expected to </w:t>
      </w:r>
      <w:r w:rsidR="00CD2D7B">
        <w:rPr>
          <w:szCs w:val="22"/>
        </w:rPr>
        <w:t>accelerate</w:t>
      </w:r>
      <w:r w:rsidR="0066458E">
        <w:rPr>
          <w:szCs w:val="22"/>
        </w:rPr>
        <w:t xml:space="preserve"> equipment retirements</w:t>
      </w:r>
      <w:r w:rsidR="005C7A5E">
        <w:rPr>
          <w:szCs w:val="22"/>
        </w:rPr>
        <w:t>.</w:t>
      </w:r>
      <w:r w:rsidR="005C7A5E">
        <w:rPr>
          <w:rStyle w:val="FootnoteReference"/>
          <w:szCs w:val="22"/>
        </w:rPr>
        <w:footnoteReference w:id="16"/>
      </w:r>
      <w:r w:rsidR="00835A3D">
        <w:rPr>
          <w:szCs w:val="22"/>
        </w:rPr>
        <w:t xml:space="preserve"> </w:t>
      </w:r>
    </w:p>
    <w:p w14:paraId="274B5DE1" w14:textId="22D2EBE0" w:rsidR="002744A2" w:rsidRPr="002744A2" w:rsidRDefault="002744A2" w:rsidP="002744A2">
      <w:pPr>
        <w:rPr>
          <w:szCs w:val="22"/>
        </w:rPr>
      </w:pPr>
      <w:r w:rsidRPr="002744A2">
        <w:rPr>
          <w:szCs w:val="22"/>
        </w:rPr>
        <w:t>HFC-134a is now the second most abundant gas</w:t>
      </w:r>
      <w:r w:rsidR="000628FF">
        <w:rPr>
          <w:szCs w:val="22"/>
        </w:rPr>
        <w:t xml:space="preserve"> in the bank. It has been </w:t>
      </w:r>
      <w:r w:rsidRPr="002744A2">
        <w:rPr>
          <w:szCs w:val="22"/>
        </w:rPr>
        <w:t>growing steadily at around 3 per cent per annum, and now accounts for 31 per cent (13,811 tonnes) versus 3</w:t>
      </w:r>
      <w:r w:rsidR="00CB2C24">
        <w:rPr>
          <w:szCs w:val="22"/>
        </w:rPr>
        <w:t>8</w:t>
      </w:r>
      <w:r w:rsidRPr="002744A2">
        <w:rPr>
          <w:szCs w:val="22"/>
        </w:rPr>
        <w:t xml:space="preserve"> per cent in 2006 (11,389 tonnes). </w:t>
      </w:r>
    </w:p>
    <w:p w14:paraId="115D5423" w14:textId="40C05666" w:rsidR="002744A2" w:rsidRPr="002744A2" w:rsidRDefault="002744A2" w:rsidP="002744A2">
      <w:pPr>
        <w:rPr>
          <w:szCs w:val="22"/>
        </w:rPr>
      </w:pPr>
      <w:r w:rsidRPr="002744A2">
        <w:rPr>
          <w:szCs w:val="22"/>
        </w:rPr>
        <w:t xml:space="preserve">HFC-404A has remained relatively steady in overall tonnes, however has declined from 11 per cent of the bank in 2006 to </w:t>
      </w:r>
      <w:r w:rsidR="00644254">
        <w:rPr>
          <w:szCs w:val="22"/>
        </w:rPr>
        <w:t>8</w:t>
      </w:r>
      <w:r w:rsidRPr="002744A2">
        <w:rPr>
          <w:szCs w:val="22"/>
        </w:rPr>
        <w:t xml:space="preserve"> per cent in 2012. </w:t>
      </w:r>
    </w:p>
    <w:p w14:paraId="44717C8F" w14:textId="56AF8DE7" w:rsidR="002744A2" w:rsidRDefault="002744A2" w:rsidP="002744A2">
      <w:pPr>
        <w:rPr>
          <w:szCs w:val="22"/>
        </w:rPr>
      </w:pPr>
      <w:r w:rsidRPr="002744A2">
        <w:rPr>
          <w:szCs w:val="22"/>
        </w:rPr>
        <w:t xml:space="preserve">HFC-407C </w:t>
      </w:r>
      <w:r w:rsidR="0062578B">
        <w:rPr>
          <w:szCs w:val="22"/>
        </w:rPr>
        <w:t xml:space="preserve">comprises just 2.3 per cent of the bank and </w:t>
      </w:r>
      <w:r w:rsidRPr="002744A2">
        <w:rPr>
          <w:szCs w:val="22"/>
        </w:rPr>
        <w:t xml:space="preserve">has </w:t>
      </w:r>
      <w:r w:rsidR="0062578B">
        <w:rPr>
          <w:szCs w:val="22"/>
        </w:rPr>
        <w:t>grown steadily from around 700 tonnes in 2006 to slightly more than 1,000 tonnes in 2012, mostly as a result of</w:t>
      </w:r>
      <w:r w:rsidR="00A35229">
        <w:rPr>
          <w:szCs w:val="22"/>
        </w:rPr>
        <w:t xml:space="preserve"> the similar refrigeration characteristics of HCFC-22 and HFC-407C</w:t>
      </w:r>
      <w:r w:rsidR="0062578B">
        <w:rPr>
          <w:szCs w:val="22"/>
        </w:rPr>
        <w:t>.</w:t>
      </w:r>
      <w:r w:rsidRPr="002744A2">
        <w:rPr>
          <w:szCs w:val="22"/>
        </w:rPr>
        <w:t xml:space="preserve"> A comparison of the 2006 and 2012 bank by species in tonnes is provided in </w:t>
      </w:r>
      <w:r w:rsidRPr="00464E9B">
        <w:rPr>
          <w:i/>
          <w:szCs w:val="22"/>
        </w:rPr>
        <w:t>Table 1</w:t>
      </w:r>
      <w:r w:rsidR="00464E9B" w:rsidRPr="00464E9B">
        <w:rPr>
          <w:i/>
          <w:szCs w:val="22"/>
        </w:rPr>
        <w:t>5</w:t>
      </w:r>
      <w:r w:rsidRPr="002744A2">
        <w:rPr>
          <w:szCs w:val="22"/>
        </w:rPr>
        <w:t>.</w:t>
      </w:r>
    </w:p>
    <w:p w14:paraId="5D74936A" w14:textId="77777777" w:rsidR="002744A2" w:rsidRPr="002744A2" w:rsidRDefault="002744A2" w:rsidP="002744A2">
      <w:pPr>
        <w:rPr>
          <w:szCs w:val="22"/>
        </w:rPr>
      </w:pPr>
    </w:p>
    <w:p w14:paraId="318BED71" w14:textId="77777777" w:rsidR="00C20BC2" w:rsidRPr="005D159D" w:rsidRDefault="00C20BC2" w:rsidP="00C20BC2">
      <w:pPr>
        <w:rPr>
          <w:i/>
          <w:szCs w:val="22"/>
        </w:rPr>
      </w:pPr>
      <w:bookmarkStart w:id="38" w:name="_Toc233084059"/>
      <w:r w:rsidRPr="005D159D">
        <w:rPr>
          <w:i/>
          <w:szCs w:val="22"/>
        </w:rPr>
        <w:t xml:space="preserve">Table </w:t>
      </w:r>
      <w:r w:rsidRPr="005D159D">
        <w:rPr>
          <w:i/>
          <w:szCs w:val="22"/>
        </w:rPr>
        <w:fldChar w:fldCharType="begin"/>
      </w:r>
      <w:r w:rsidRPr="005D159D">
        <w:rPr>
          <w:i/>
          <w:szCs w:val="22"/>
        </w:rPr>
        <w:instrText xml:space="preserve"> SEQ Table \* ARABIC </w:instrText>
      </w:r>
      <w:r w:rsidRPr="005D159D">
        <w:rPr>
          <w:i/>
          <w:szCs w:val="22"/>
        </w:rPr>
        <w:fldChar w:fldCharType="separate"/>
      </w:r>
      <w:r w:rsidR="00196462">
        <w:rPr>
          <w:i/>
          <w:noProof/>
          <w:szCs w:val="22"/>
        </w:rPr>
        <w:t>15</w:t>
      </w:r>
      <w:r w:rsidRPr="005D159D">
        <w:rPr>
          <w:i/>
          <w:szCs w:val="22"/>
        </w:rPr>
        <w:fldChar w:fldCharType="end"/>
      </w:r>
      <w:r w:rsidRPr="005D159D">
        <w:rPr>
          <w:i/>
          <w:szCs w:val="22"/>
        </w:rPr>
        <w:t xml:space="preserve">: High GWP </w:t>
      </w:r>
      <w:r>
        <w:rPr>
          <w:i/>
          <w:szCs w:val="22"/>
        </w:rPr>
        <w:t>r</w:t>
      </w:r>
      <w:r w:rsidRPr="005D159D">
        <w:rPr>
          <w:i/>
          <w:szCs w:val="22"/>
        </w:rPr>
        <w:t xml:space="preserve">efrigerant </w:t>
      </w:r>
      <w:r>
        <w:rPr>
          <w:i/>
          <w:szCs w:val="22"/>
        </w:rPr>
        <w:t>b</w:t>
      </w:r>
      <w:r w:rsidRPr="005D159D">
        <w:rPr>
          <w:i/>
          <w:szCs w:val="22"/>
        </w:rPr>
        <w:t xml:space="preserve">ank 2006 and 2012 </w:t>
      </w:r>
      <w:r>
        <w:rPr>
          <w:i/>
          <w:szCs w:val="22"/>
        </w:rPr>
        <w:t xml:space="preserve">by mass in </w:t>
      </w:r>
      <w:r w:rsidRPr="005D159D">
        <w:rPr>
          <w:i/>
          <w:szCs w:val="22"/>
        </w:rPr>
        <w:t>tonnes</w:t>
      </w:r>
      <w:bookmarkEnd w:id="3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78"/>
        <w:gridCol w:w="3264"/>
        <w:gridCol w:w="3163"/>
      </w:tblGrid>
      <w:tr w:rsidR="00C20BC2" w:rsidRPr="00923150" w14:paraId="028C11F1" w14:textId="77777777" w:rsidTr="00230E2E">
        <w:trPr>
          <w:trHeight w:val="684"/>
        </w:trPr>
        <w:tc>
          <w:tcPr>
            <w:tcW w:w="3188" w:type="dxa"/>
            <w:tcBorders>
              <w:top w:val="single" w:sz="8" w:space="0" w:color="auto"/>
              <w:left w:val="single" w:sz="8" w:space="0" w:color="auto"/>
              <w:bottom w:val="single" w:sz="8" w:space="0" w:color="auto"/>
              <w:right w:val="single" w:sz="4" w:space="0" w:color="FFFFFF"/>
            </w:tcBorders>
            <w:shd w:val="clear" w:color="auto" w:fill="000000"/>
            <w:vAlign w:val="center"/>
          </w:tcPr>
          <w:p w14:paraId="6020C916" w14:textId="77777777" w:rsidR="00C20BC2" w:rsidRPr="00923150" w:rsidRDefault="00C20BC2" w:rsidP="00C20BC2">
            <w:pPr>
              <w:spacing w:after="120"/>
              <w:ind w:left="284"/>
            </w:pPr>
            <w:r>
              <w:t>Species</w:t>
            </w:r>
          </w:p>
        </w:tc>
        <w:tc>
          <w:tcPr>
            <w:tcW w:w="3276" w:type="dxa"/>
            <w:tcBorders>
              <w:top w:val="single" w:sz="8" w:space="0" w:color="auto"/>
              <w:left w:val="single" w:sz="4" w:space="0" w:color="FFFFFF"/>
              <w:bottom w:val="single" w:sz="8" w:space="0" w:color="auto"/>
              <w:right w:val="single" w:sz="4" w:space="0" w:color="FFFFFF"/>
            </w:tcBorders>
            <w:shd w:val="clear" w:color="auto" w:fill="000000"/>
            <w:vAlign w:val="center"/>
          </w:tcPr>
          <w:p w14:paraId="64CF444E" w14:textId="77777777" w:rsidR="00C20BC2" w:rsidRPr="00923150" w:rsidRDefault="00C20BC2" w:rsidP="00C20BC2">
            <w:pPr>
              <w:spacing w:after="120"/>
              <w:jc w:val="center"/>
            </w:pPr>
            <w:r>
              <w:t>2006 (t)</w:t>
            </w:r>
          </w:p>
        </w:tc>
        <w:tc>
          <w:tcPr>
            <w:tcW w:w="3175" w:type="dxa"/>
            <w:tcBorders>
              <w:top w:val="single" w:sz="8" w:space="0" w:color="auto"/>
              <w:left w:val="single" w:sz="4" w:space="0" w:color="FFFFFF"/>
              <w:bottom w:val="single" w:sz="8" w:space="0" w:color="auto"/>
              <w:right w:val="single" w:sz="8" w:space="0" w:color="auto"/>
            </w:tcBorders>
            <w:shd w:val="clear" w:color="auto" w:fill="000000"/>
            <w:vAlign w:val="center"/>
          </w:tcPr>
          <w:p w14:paraId="7E7C5314" w14:textId="77777777" w:rsidR="00C20BC2" w:rsidRPr="00923150" w:rsidRDefault="00C20BC2" w:rsidP="00C20BC2">
            <w:pPr>
              <w:spacing w:after="120"/>
              <w:jc w:val="center"/>
            </w:pPr>
            <w:r>
              <w:t>2012 (t)</w:t>
            </w:r>
          </w:p>
        </w:tc>
      </w:tr>
      <w:tr w:rsidR="00C20BC2" w:rsidRPr="00923150" w14:paraId="51D24410" w14:textId="77777777" w:rsidTr="00C20BC2">
        <w:trPr>
          <w:trHeight w:val="456"/>
        </w:trPr>
        <w:tc>
          <w:tcPr>
            <w:tcW w:w="3188" w:type="dxa"/>
            <w:tcBorders>
              <w:top w:val="single" w:sz="8" w:space="0" w:color="auto"/>
            </w:tcBorders>
            <w:vAlign w:val="center"/>
          </w:tcPr>
          <w:p w14:paraId="5298FEC6" w14:textId="4DE370D0" w:rsidR="00C20BC2" w:rsidRPr="00923150" w:rsidRDefault="00C20BC2" w:rsidP="00C20BC2">
            <w:pPr>
              <w:spacing w:before="60" w:after="60"/>
              <w:ind w:left="284"/>
              <w:rPr>
                <w:sz w:val="20"/>
              </w:rPr>
            </w:pPr>
            <w:r w:rsidRPr="003D5DAC">
              <w:t>HCFC-22</w:t>
            </w:r>
            <w:r w:rsidR="00241A71">
              <w:t xml:space="preserve"> </w:t>
            </w:r>
            <w:r w:rsidR="00241A71" w:rsidRPr="00690A68">
              <w:rPr>
                <w:sz w:val="20"/>
                <w:szCs w:val="20"/>
                <w:vertAlign w:val="superscript"/>
              </w:rPr>
              <w:t>(1)</w:t>
            </w:r>
          </w:p>
        </w:tc>
        <w:tc>
          <w:tcPr>
            <w:tcW w:w="3276" w:type="dxa"/>
            <w:tcBorders>
              <w:top w:val="single" w:sz="8" w:space="0" w:color="auto"/>
            </w:tcBorders>
            <w:vAlign w:val="center"/>
          </w:tcPr>
          <w:p w14:paraId="5272E2EC" w14:textId="77777777" w:rsidR="00C20BC2" w:rsidRPr="008343EF" w:rsidRDefault="00C20BC2" w:rsidP="00C20BC2">
            <w:pPr>
              <w:spacing w:before="60" w:after="60"/>
              <w:jc w:val="center"/>
              <w:rPr>
                <w:sz w:val="20"/>
              </w:rPr>
            </w:pPr>
            <w:r w:rsidRPr="003D5DAC">
              <w:t>11,280</w:t>
            </w:r>
          </w:p>
        </w:tc>
        <w:tc>
          <w:tcPr>
            <w:tcW w:w="3175" w:type="dxa"/>
            <w:tcBorders>
              <w:top w:val="single" w:sz="8" w:space="0" w:color="auto"/>
            </w:tcBorders>
            <w:vAlign w:val="center"/>
          </w:tcPr>
          <w:p w14:paraId="1C786548" w14:textId="77777777" w:rsidR="00C20BC2" w:rsidRPr="00923150" w:rsidRDefault="00C20BC2" w:rsidP="00C20BC2">
            <w:pPr>
              <w:spacing w:before="60" w:after="60"/>
              <w:jc w:val="center"/>
              <w:rPr>
                <w:sz w:val="20"/>
              </w:rPr>
            </w:pPr>
            <w:r w:rsidRPr="003D5DAC">
              <w:t>11,227</w:t>
            </w:r>
          </w:p>
        </w:tc>
      </w:tr>
      <w:tr w:rsidR="00C20BC2" w:rsidRPr="00923150" w14:paraId="3AA02A7D" w14:textId="77777777" w:rsidTr="00C20BC2">
        <w:trPr>
          <w:trHeight w:val="456"/>
        </w:trPr>
        <w:tc>
          <w:tcPr>
            <w:tcW w:w="3188" w:type="dxa"/>
            <w:vAlign w:val="center"/>
          </w:tcPr>
          <w:p w14:paraId="0A89E98A" w14:textId="77777777" w:rsidR="00C20BC2" w:rsidRDefault="00C20BC2" w:rsidP="00C20BC2">
            <w:pPr>
              <w:spacing w:before="60" w:after="60"/>
              <w:ind w:left="284"/>
              <w:rPr>
                <w:sz w:val="20"/>
              </w:rPr>
            </w:pPr>
            <w:r w:rsidRPr="003D5DAC">
              <w:t>HCFC Mix</w:t>
            </w:r>
          </w:p>
        </w:tc>
        <w:tc>
          <w:tcPr>
            <w:tcW w:w="3276" w:type="dxa"/>
            <w:vAlign w:val="center"/>
          </w:tcPr>
          <w:p w14:paraId="67D110CC" w14:textId="77777777" w:rsidR="00C20BC2" w:rsidRDefault="00C20BC2" w:rsidP="00C20BC2">
            <w:pPr>
              <w:spacing w:before="60" w:after="60"/>
              <w:jc w:val="center"/>
              <w:rPr>
                <w:sz w:val="20"/>
              </w:rPr>
            </w:pPr>
            <w:r w:rsidRPr="003D5DAC">
              <w:t>595</w:t>
            </w:r>
          </w:p>
        </w:tc>
        <w:tc>
          <w:tcPr>
            <w:tcW w:w="3175" w:type="dxa"/>
            <w:vAlign w:val="center"/>
          </w:tcPr>
          <w:p w14:paraId="5A7E4EC1" w14:textId="77777777" w:rsidR="00C20BC2" w:rsidRDefault="00C20BC2" w:rsidP="00C20BC2">
            <w:pPr>
              <w:spacing w:before="60" w:after="60"/>
              <w:jc w:val="center"/>
              <w:rPr>
                <w:sz w:val="20"/>
              </w:rPr>
            </w:pPr>
            <w:r w:rsidRPr="003D5DAC">
              <w:t>201</w:t>
            </w:r>
          </w:p>
        </w:tc>
      </w:tr>
      <w:tr w:rsidR="00C20BC2" w:rsidRPr="00923150" w14:paraId="46AD827C" w14:textId="77777777" w:rsidTr="00C20BC2">
        <w:trPr>
          <w:trHeight w:val="456"/>
        </w:trPr>
        <w:tc>
          <w:tcPr>
            <w:tcW w:w="3188" w:type="dxa"/>
            <w:vAlign w:val="center"/>
          </w:tcPr>
          <w:p w14:paraId="2D8AD83A" w14:textId="77777777" w:rsidR="00C20BC2" w:rsidRDefault="00C20BC2" w:rsidP="00C20BC2">
            <w:pPr>
              <w:spacing w:before="60" w:after="60"/>
              <w:ind w:left="284"/>
              <w:rPr>
                <w:sz w:val="20"/>
              </w:rPr>
            </w:pPr>
            <w:r w:rsidRPr="003D5DAC">
              <w:t>HFC 134a</w:t>
            </w:r>
          </w:p>
        </w:tc>
        <w:tc>
          <w:tcPr>
            <w:tcW w:w="3276" w:type="dxa"/>
            <w:vAlign w:val="center"/>
          </w:tcPr>
          <w:p w14:paraId="4295E23E" w14:textId="77777777" w:rsidR="00C20BC2" w:rsidRDefault="00C20BC2" w:rsidP="00C20BC2">
            <w:pPr>
              <w:spacing w:before="60" w:after="60"/>
              <w:jc w:val="center"/>
              <w:rPr>
                <w:sz w:val="20"/>
              </w:rPr>
            </w:pPr>
            <w:r w:rsidRPr="003D5DAC">
              <w:t>11,389</w:t>
            </w:r>
          </w:p>
        </w:tc>
        <w:tc>
          <w:tcPr>
            <w:tcW w:w="3175" w:type="dxa"/>
            <w:vAlign w:val="center"/>
          </w:tcPr>
          <w:p w14:paraId="0B152EB5" w14:textId="77777777" w:rsidR="00C20BC2" w:rsidRDefault="00C20BC2" w:rsidP="00C20BC2">
            <w:pPr>
              <w:spacing w:before="60" w:after="60"/>
              <w:jc w:val="center"/>
              <w:rPr>
                <w:sz w:val="20"/>
              </w:rPr>
            </w:pPr>
            <w:r w:rsidRPr="003D5DAC">
              <w:t>13,432</w:t>
            </w:r>
          </w:p>
        </w:tc>
      </w:tr>
      <w:tr w:rsidR="00C20BC2" w:rsidRPr="00923150" w14:paraId="1E8C5DA9" w14:textId="77777777" w:rsidTr="00C20BC2">
        <w:trPr>
          <w:trHeight w:val="456"/>
        </w:trPr>
        <w:tc>
          <w:tcPr>
            <w:tcW w:w="3188" w:type="dxa"/>
            <w:vAlign w:val="center"/>
          </w:tcPr>
          <w:p w14:paraId="0973B9C0" w14:textId="77777777" w:rsidR="00C20BC2" w:rsidRDefault="00C20BC2" w:rsidP="00C20BC2">
            <w:pPr>
              <w:spacing w:before="60" w:after="60"/>
              <w:ind w:left="284"/>
              <w:rPr>
                <w:sz w:val="20"/>
              </w:rPr>
            </w:pPr>
            <w:r w:rsidRPr="003D5DAC">
              <w:t>HFC-404A</w:t>
            </w:r>
          </w:p>
        </w:tc>
        <w:tc>
          <w:tcPr>
            <w:tcW w:w="3276" w:type="dxa"/>
            <w:vAlign w:val="center"/>
          </w:tcPr>
          <w:p w14:paraId="37A9A10A" w14:textId="77777777" w:rsidR="00C20BC2" w:rsidRDefault="00C20BC2" w:rsidP="00C20BC2">
            <w:pPr>
              <w:spacing w:before="60" w:after="60"/>
              <w:jc w:val="center"/>
              <w:rPr>
                <w:sz w:val="20"/>
              </w:rPr>
            </w:pPr>
            <w:r w:rsidRPr="003D5DAC">
              <w:t>3,412</w:t>
            </w:r>
          </w:p>
        </w:tc>
        <w:tc>
          <w:tcPr>
            <w:tcW w:w="3175" w:type="dxa"/>
            <w:vAlign w:val="center"/>
          </w:tcPr>
          <w:p w14:paraId="0193CF82" w14:textId="77777777" w:rsidR="00C20BC2" w:rsidRDefault="00C20BC2" w:rsidP="00C20BC2">
            <w:pPr>
              <w:spacing w:before="60" w:after="60"/>
              <w:jc w:val="center"/>
              <w:rPr>
                <w:sz w:val="20"/>
              </w:rPr>
            </w:pPr>
            <w:r w:rsidRPr="003D5DAC">
              <w:t>3,306</w:t>
            </w:r>
          </w:p>
        </w:tc>
      </w:tr>
      <w:tr w:rsidR="00C20BC2" w:rsidRPr="00923150" w14:paraId="360A8EF1" w14:textId="77777777" w:rsidTr="00C20BC2">
        <w:trPr>
          <w:trHeight w:val="456"/>
        </w:trPr>
        <w:tc>
          <w:tcPr>
            <w:tcW w:w="3188" w:type="dxa"/>
            <w:vAlign w:val="center"/>
          </w:tcPr>
          <w:p w14:paraId="09F1CF0D" w14:textId="77777777" w:rsidR="00C20BC2" w:rsidRDefault="00C20BC2" w:rsidP="00C20BC2">
            <w:pPr>
              <w:spacing w:before="60" w:after="60"/>
              <w:ind w:left="284"/>
              <w:rPr>
                <w:sz w:val="20"/>
              </w:rPr>
            </w:pPr>
            <w:r w:rsidRPr="003D5DAC">
              <w:t>HFC-407C</w:t>
            </w:r>
          </w:p>
        </w:tc>
        <w:tc>
          <w:tcPr>
            <w:tcW w:w="3276" w:type="dxa"/>
            <w:vAlign w:val="center"/>
          </w:tcPr>
          <w:p w14:paraId="1CA0DC9C" w14:textId="77777777" w:rsidR="00C20BC2" w:rsidRDefault="00C20BC2" w:rsidP="00C20BC2">
            <w:pPr>
              <w:spacing w:before="60" w:after="60"/>
              <w:jc w:val="center"/>
              <w:rPr>
                <w:sz w:val="20"/>
              </w:rPr>
            </w:pPr>
            <w:r w:rsidRPr="003D5DAC">
              <w:t>711</w:t>
            </w:r>
          </w:p>
        </w:tc>
        <w:tc>
          <w:tcPr>
            <w:tcW w:w="3175" w:type="dxa"/>
            <w:vAlign w:val="center"/>
          </w:tcPr>
          <w:p w14:paraId="623C1550" w14:textId="77777777" w:rsidR="00C20BC2" w:rsidRDefault="00C20BC2" w:rsidP="00C20BC2">
            <w:pPr>
              <w:spacing w:before="60" w:after="60"/>
              <w:jc w:val="center"/>
              <w:rPr>
                <w:sz w:val="20"/>
              </w:rPr>
            </w:pPr>
            <w:r w:rsidRPr="003D5DAC">
              <w:t>1017</w:t>
            </w:r>
          </w:p>
        </w:tc>
      </w:tr>
      <w:tr w:rsidR="00C20BC2" w:rsidRPr="00923150" w14:paraId="4556FD81" w14:textId="77777777" w:rsidTr="00C20BC2">
        <w:trPr>
          <w:trHeight w:val="456"/>
        </w:trPr>
        <w:tc>
          <w:tcPr>
            <w:tcW w:w="3188" w:type="dxa"/>
            <w:tcBorders>
              <w:bottom w:val="double" w:sz="4" w:space="0" w:color="auto"/>
            </w:tcBorders>
            <w:vAlign w:val="center"/>
          </w:tcPr>
          <w:p w14:paraId="4E1A92DC" w14:textId="77777777" w:rsidR="00C20BC2" w:rsidRPr="00923150" w:rsidRDefault="00C20BC2" w:rsidP="00C20BC2">
            <w:pPr>
              <w:spacing w:before="60" w:after="60"/>
              <w:ind w:left="284"/>
              <w:rPr>
                <w:sz w:val="20"/>
              </w:rPr>
            </w:pPr>
            <w:r w:rsidRPr="003D5DAC">
              <w:t>HFC-410A</w:t>
            </w:r>
          </w:p>
        </w:tc>
        <w:tc>
          <w:tcPr>
            <w:tcW w:w="3276" w:type="dxa"/>
            <w:tcBorders>
              <w:bottom w:val="double" w:sz="4" w:space="0" w:color="auto"/>
            </w:tcBorders>
            <w:vAlign w:val="center"/>
          </w:tcPr>
          <w:p w14:paraId="6C80DD8F" w14:textId="77777777" w:rsidR="00C20BC2" w:rsidRPr="008343EF" w:rsidRDefault="00C20BC2" w:rsidP="00C20BC2">
            <w:pPr>
              <w:spacing w:before="60" w:after="60"/>
              <w:jc w:val="center"/>
              <w:rPr>
                <w:sz w:val="20"/>
              </w:rPr>
            </w:pPr>
            <w:r w:rsidRPr="003D5DAC">
              <w:t>2,782</w:t>
            </w:r>
          </w:p>
        </w:tc>
        <w:tc>
          <w:tcPr>
            <w:tcW w:w="3175" w:type="dxa"/>
            <w:tcBorders>
              <w:bottom w:val="double" w:sz="4" w:space="0" w:color="auto"/>
            </w:tcBorders>
            <w:vAlign w:val="center"/>
          </w:tcPr>
          <w:p w14:paraId="26C09669" w14:textId="77777777" w:rsidR="00C20BC2" w:rsidRPr="00923150" w:rsidRDefault="00C20BC2" w:rsidP="00C20BC2">
            <w:pPr>
              <w:spacing w:before="60" w:after="60"/>
              <w:jc w:val="center"/>
              <w:rPr>
                <w:sz w:val="20"/>
              </w:rPr>
            </w:pPr>
            <w:r w:rsidRPr="003D5DAC">
              <w:t>13,966</w:t>
            </w:r>
          </w:p>
        </w:tc>
      </w:tr>
      <w:tr w:rsidR="00C20BC2" w:rsidRPr="00923150" w14:paraId="1E79A0BC" w14:textId="77777777" w:rsidTr="00C20BC2">
        <w:trPr>
          <w:trHeight w:val="456"/>
        </w:trPr>
        <w:tc>
          <w:tcPr>
            <w:tcW w:w="3188" w:type="dxa"/>
            <w:tcBorders>
              <w:top w:val="double" w:sz="4" w:space="0" w:color="auto"/>
            </w:tcBorders>
            <w:vAlign w:val="center"/>
          </w:tcPr>
          <w:p w14:paraId="35482304" w14:textId="77777777" w:rsidR="00C20BC2" w:rsidRPr="00923150" w:rsidRDefault="00C20BC2" w:rsidP="00C20BC2">
            <w:pPr>
              <w:spacing w:before="60" w:after="60"/>
              <w:ind w:left="284"/>
              <w:rPr>
                <w:sz w:val="20"/>
              </w:rPr>
            </w:pPr>
            <w:r>
              <w:t>Total</w:t>
            </w:r>
          </w:p>
        </w:tc>
        <w:tc>
          <w:tcPr>
            <w:tcW w:w="3276" w:type="dxa"/>
            <w:tcBorders>
              <w:top w:val="double" w:sz="4" w:space="0" w:color="auto"/>
            </w:tcBorders>
            <w:vAlign w:val="center"/>
          </w:tcPr>
          <w:p w14:paraId="2B743289" w14:textId="77777777" w:rsidR="00C20BC2" w:rsidRPr="008343EF" w:rsidRDefault="00C20BC2" w:rsidP="00C20BC2">
            <w:pPr>
              <w:spacing w:before="60" w:after="60"/>
              <w:jc w:val="center"/>
              <w:rPr>
                <w:sz w:val="20"/>
              </w:rPr>
            </w:pPr>
            <w:r w:rsidRPr="003D5DAC">
              <w:t>30,169</w:t>
            </w:r>
          </w:p>
        </w:tc>
        <w:tc>
          <w:tcPr>
            <w:tcW w:w="3175" w:type="dxa"/>
            <w:tcBorders>
              <w:top w:val="double" w:sz="4" w:space="0" w:color="auto"/>
            </w:tcBorders>
            <w:vAlign w:val="center"/>
          </w:tcPr>
          <w:p w14:paraId="23C382B2" w14:textId="77777777" w:rsidR="00C20BC2" w:rsidRPr="00923150" w:rsidRDefault="00C20BC2" w:rsidP="00C20BC2">
            <w:pPr>
              <w:spacing w:before="60" w:after="60"/>
              <w:jc w:val="center"/>
              <w:rPr>
                <w:sz w:val="20"/>
              </w:rPr>
            </w:pPr>
            <w:r w:rsidRPr="003D5DAC">
              <w:t>43,523</w:t>
            </w:r>
          </w:p>
        </w:tc>
      </w:tr>
    </w:tbl>
    <w:p w14:paraId="2CC1181A" w14:textId="51C1B87C" w:rsidR="00C20BC2" w:rsidRPr="00464E9B" w:rsidRDefault="00C20BC2" w:rsidP="001542C6">
      <w:pPr>
        <w:pStyle w:val="ListParagraph"/>
        <w:numPr>
          <w:ilvl w:val="0"/>
          <w:numId w:val="23"/>
        </w:numPr>
        <w:spacing w:before="120" w:after="0" w:line="240" w:lineRule="auto"/>
        <w:contextualSpacing w:val="0"/>
        <w:jc w:val="both"/>
        <w:rPr>
          <w:rFonts w:ascii="Times New Roman" w:hAnsi="Times New Roman"/>
          <w:sz w:val="20"/>
          <w:szCs w:val="20"/>
        </w:rPr>
      </w:pPr>
      <w:r w:rsidRPr="00464E9B">
        <w:rPr>
          <w:rFonts w:ascii="Times New Roman" w:hAnsi="Times New Roman"/>
          <w:sz w:val="20"/>
          <w:szCs w:val="20"/>
        </w:rPr>
        <w:lastRenderedPageBreak/>
        <w:t>CFCs, now estimated to be less than 450 tonnes and rapidly declining, are included in HCFC</w:t>
      </w:r>
      <w:r w:rsidR="001542C6">
        <w:rPr>
          <w:rFonts w:ascii="Times New Roman" w:hAnsi="Times New Roman"/>
          <w:sz w:val="20"/>
          <w:szCs w:val="20"/>
        </w:rPr>
        <w:t>-22</w:t>
      </w:r>
      <w:r w:rsidRPr="00464E9B">
        <w:rPr>
          <w:rFonts w:ascii="Times New Roman" w:hAnsi="Times New Roman"/>
          <w:sz w:val="20"/>
          <w:szCs w:val="20"/>
        </w:rPr>
        <w:t xml:space="preserve"> estimates, and some HCFC blends used in air conditioning applications are counted as HCFC-22.</w:t>
      </w:r>
    </w:p>
    <w:p w14:paraId="27FB0F40" w14:textId="77777777" w:rsidR="00C20BC2" w:rsidRDefault="00C20BC2" w:rsidP="00C20BC2">
      <w:pPr>
        <w:rPr>
          <w:szCs w:val="22"/>
        </w:rPr>
      </w:pPr>
    </w:p>
    <w:p w14:paraId="3E34981A" w14:textId="68EB572A" w:rsidR="000226CB" w:rsidRDefault="00E95B66" w:rsidP="00E95B66">
      <w:pPr>
        <w:pStyle w:val="Heading3"/>
      </w:pPr>
      <w:bookmarkStart w:id="39" w:name="_Toc233084150"/>
      <w:r>
        <w:t>Stockpiles</w:t>
      </w:r>
      <w:bookmarkEnd w:id="39"/>
    </w:p>
    <w:p w14:paraId="2024AA6C" w14:textId="77777777" w:rsidR="002744A2" w:rsidRPr="002744A2" w:rsidRDefault="002744A2" w:rsidP="002744A2">
      <w:pPr>
        <w:rPr>
          <w:szCs w:val="22"/>
        </w:rPr>
      </w:pPr>
      <w:r w:rsidRPr="002744A2">
        <w:rPr>
          <w:szCs w:val="22"/>
        </w:rPr>
        <w:t xml:space="preserve">While it appears that the working bank of gas has stabilised in recent years, the announcements in mid-2011 of the impending introduction of the ECP resulted in a significant increase in bulk imports in 2012, and strong growth in stocks held by businesses throughout the supply chain. </w:t>
      </w:r>
    </w:p>
    <w:p w14:paraId="39AAC71A" w14:textId="77777777" w:rsidR="002744A2" w:rsidRPr="002744A2" w:rsidRDefault="002744A2" w:rsidP="002744A2">
      <w:pPr>
        <w:rPr>
          <w:szCs w:val="22"/>
        </w:rPr>
      </w:pPr>
      <w:r w:rsidRPr="002744A2">
        <w:rPr>
          <w:szCs w:val="22"/>
        </w:rPr>
        <w:t xml:space="preserve">DSEWPaC data indicates that total imports of all species of refrigerant gas in 2012 were equivalent to more than two and a half years of average supply of HCFCs and HFCs, or a total of more than 12,511 tonnes of HCFCs and HFCs. </w:t>
      </w:r>
    </w:p>
    <w:p w14:paraId="67A5106D" w14:textId="77777777" w:rsidR="002744A2" w:rsidRPr="002744A2" w:rsidRDefault="002744A2" w:rsidP="002744A2">
      <w:pPr>
        <w:rPr>
          <w:szCs w:val="22"/>
        </w:rPr>
      </w:pPr>
      <w:r w:rsidRPr="002744A2">
        <w:rPr>
          <w:szCs w:val="22"/>
        </w:rPr>
        <w:t>This was at a time when general activity in the sector was slower than previous years due to cool summers in 2010 and 2011, sluggish economic activity which led to reduced building and construction activity, and a slow-down in spending and investment during the 2011-12 financial year.</w:t>
      </w:r>
    </w:p>
    <w:p w14:paraId="42741996" w14:textId="5825BB7E" w:rsidR="002744A2" w:rsidRPr="002744A2" w:rsidRDefault="002744A2" w:rsidP="002744A2">
      <w:pPr>
        <w:rPr>
          <w:szCs w:val="22"/>
        </w:rPr>
      </w:pPr>
      <w:r w:rsidRPr="002744A2">
        <w:rPr>
          <w:szCs w:val="22"/>
        </w:rPr>
        <w:t xml:space="preserve">Total imports in 2012 were made up of 9,179 tonnes of bulk HFCs, 775 tonnes of bulk HCFCs, and 2,557 tonnes </w:t>
      </w:r>
      <w:r w:rsidR="00C243EF">
        <w:rPr>
          <w:szCs w:val="22"/>
        </w:rPr>
        <w:t xml:space="preserve">of refrigerant contained in </w:t>
      </w:r>
      <w:r w:rsidRPr="002744A2">
        <w:rPr>
          <w:szCs w:val="22"/>
        </w:rPr>
        <w:t>pre-charged equipment. The majority of HFC bulk imports were made up of 4,185 tonnes of HFC-134a, 2,155 tonnes of HFC-404A and 2,065 tonnes of HFC-410A.</w:t>
      </w:r>
      <w:r w:rsidR="00056ABF">
        <w:rPr>
          <w:rStyle w:val="FootnoteReference"/>
          <w:szCs w:val="22"/>
        </w:rPr>
        <w:footnoteReference w:id="17"/>
      </w:r>
      <w:r w:rsidRPr="002744A2">
        <w:rPr>
          <w:szCs w:val="22"/>
        </w:rPr>
        <w:t xml:space="preserve"> In the previous corresponding period only 3,152 tonnes of HFCs and 1,297 tonnes of HCFCs had been imported in bulk.</w:t>
      </w:r>
    </w:p>
    <w:p w14:paraId="7B067039" w14:textId="742F40B4" w:rsidR="002744A2" w:rsidRPr="002744A2" w:rsidRDefault="002744A2" w:rsidP="002744A2">
      <w:pPr>
        <w:rPr>
          <w:szCs w:val="22"/>
        </w:rPr>
      </w:pPr>
      <w:r w:rsidRPr="002744A2">
        <w:rPr>
          <w:szCs w:val="22"/>
        </w:rPr>
        <w:t>These additional stock piles of gas (equivalent to more than 25 per cent of the working bank) should see much lower than average imports for at least the 2012-13 and 2013-14 financial years, with a volume recovery likely during 2014-15. However to some extent that prediction depends on other trends in the industry including</w:t>
      </w:r>
      <w:r w:rsidR="00C243EF">
        <w:rPr>
          <w:szCs w:val="22"/>
        </w:rPr>
        <w:t xml:space="preserve"> the impact on losses of</w:t>
      </w:r>
      <w:r w:rsidRPr="002744A2">
        <w:rPr>
          <w:szCs w:val="22"/>
        </w:rPr>
        <w:t xml:space="preserve"> improved refrigerant containment, </w:t>
      </w:r>
      <w:r w:rsidR="00C243EF">
        <w:rPr>
          <w:szCs w:val="22"/>
        </w:rPr>
        <w:t xml:space="preserve">increase in </w:t>
      </w:r>
      <w:r w:rsidRPr="002744A2">
        <w:rPr>
          <w:szCs w:val="22"/>
        </w:rPr>
        <w:t>reuse</w:t>
      </w:r>
      <w:r w:rsidR="00C243EF">
        <w:rPr>
          <w:szCs w:val="22"/>
        </w:rPr>
        <w:t xml:space="preserve"> of gas recovered from EOL equipment and during routine equipment service,</w:t>
      </w:r>
      <w:r w:rsidRPr="002744A2">
        <w:rPr>
          <w:szCs w:val="22"/>
        </w:rPr>
        <w:t xml:space="preserve"> and the overall level of economic activity, building and construction work, and refurbishment and equipment replacement rates.</w:t>
      </w:r>
    </w:p>
    <w:p w14:paraId="3E8FA6B4" w14:textId="77777777" w:rsidR="00C20BC2" w:rsidRDefault="00C20BC2" w:rsidP="00C20BC2"/>
    <w:p w14:paraId="5BB7451E" w14:textId="7AA59D47" w:rsidR="00C20BC2" w:rsidRDefault="00C20BC2" w:rsidP="00241A71">
      <w:pPr>
        <w:pStyle w:val="Heading3"/>
      </w:pPr>
      <w:bookmarkStart w:id="40" w:name="_Toc233084151"/>
      <w:r w:rsidRPr="00C3211A">
        <w:t xml:space="preserve">The </w:t>
      </w:r>
      <w:r>
        <w:t>b</w:t>
      </w:r>
      <w:r w:rsidRPr="00C3211A">
        <w:t xml:space="preserve">ank </w:t>
      </w:r>
      <w:r>
        <w:t>e</w:t>
      </w:r>
      <w:r w:rsidRPr="00C3211A">
        <w:t>mployed</w:t>
      </w:r>
      <w:bookmarkEnd w:id="40"/>
    </w:p>
    <w:p w14:paraId="18800777" w14:textId="7E334313" w:rsidR="002744A2" w:rsidRPr="002744A2" w:rsidRDefault="002744A2" w:rsidP="002744A2">
      <w:pPr>
        <w:rPr>
          <w:szCs w:val="22"/>
        </w:rPr>
      </w:pPr>
      <w:r w:rsidRPr="002744A2">
        <w:rPr>
          <w:szCs w:val="22"/>
        </w:rPr>
        <w:t>The period of extreme</w:t>
      </w:r>
      <w:r w:rsidR="006333AB">
        <w:rPr>
          <w:szCs w:val="22"/>
        </w:rPr>
        <w:t>ly</w:t>
      </w:r>
      <w:r w:rsidRPr="002744A2">
        <w:rPr>
          <w:szCs w:val="22"/>
        </w:rPr>
        <w:t xml:space="preserve"> rapid growth in the bank corresponds with the latter stages of a decade long </w:t>
      </w:r>
      <w:r w:rsidR="006333AB">
        <w:rPr>
          <w:szCs w:val="22"/>
        </w:rPr>
        <w:t>boom</w:t>
      </w:r>
      <w:r w:rsidRPr="002744A2">
        <w:rPr>
          <w:szCs w:val="22"/>
        </w:rPr>
        <w:t xml:space="preserve"> in installation </w:t>
      </w:r>
      <w:r w:rsidR="006333AB">
        <w:rPr>
          <w:szCs w:val="22"/>
        </w:rPr>
        <w:t>of</w:t>
      </w:r>
      <w:r w:rsidRPr="002744A2">
        <w:rPr>
          <w:szCs w:val="22"/>
        </w:rPr>
        <w:t xml:space="preserve"> smaller commercial and domestic air conditioning systems, </w:t>
      </w:r>
      <w:r w:rsidR="006333AB">
        <w:rPr>
          <w:szCs w:val="22"/>
        </w:rPr>
        <w:t>and</w:t>
      </w:r>
      <w:r w:rsidRPr="002744A2">
        <w:rPr>
          <w:szCs w:val="22"/>
        </w:rPr>
        <w:t xml:space="preserve"> a continued roll out of air conditioning across other areas of the economy </w:t>
      </w:r>
      <w:r w:rsidR="006333AB">
        <w:rPr>
          <w:szCs w:val="22"/>
        </w:rPr>
        <w:t>such as</w:t>
      </w:r>
      <w:r w:rsidRPr="002744A2">
        <w:rPr>
          <w:szCs w:val="22"/>
        </w:rPr>
        <w:t xml:space="preserve"> in schools and universities, public and community buildings and in retail </w:t>
      </w:r>
      <w:r w:rsidR="006333AB">
        <w:rPr>
          <w:szCs w:val="22"/>
        </w:rPr>
        <w:t xml:space="preserve">and industrial </w:t>
      </w:r>
      <w:r w:rsidRPr="002744A2">
        <w:rPr>
          <w:szCs w:val="22"/>
        </w:rPr>
        <w:t xml:space="preserve">environments. </w:t>
      </w:r>
    </w:p>
    <w:p w14:paraId="02AB1762" w14:textId="6E41C264" w:rsidR="002744A2" w:rsidRPr="002744A2" w:rsidRDefault="002744A2" w:rsidP="002744A2">
      <w:pPr>
        <w:rPr>
          <w:szCs w:val="22"/>
        </w:rPr>
      </w:pPr>
      <w:r w:rsidRPr="002744A2">
        <w:rPr>
          <w:szCs w:val="22"/>
        </w:rPr>
        <w:t xml:space="preserve">Overall demand for air conditioning increased at a rate much faster than the economy for most of the past decade with imports of pre-charged air conditioning equipment averaging around a million new air conditioning units each year in Australia for the past decade. </w:t>
      </w:r>
      <w:r w:rsidR="006333AB">
        <w:rPr>
          <w:szCs w:val="22"/>
        </w:rPr>
        <w:t xml:space="preserve">This compares with average imports of only a couple of hundred thousand units per annum during most off the 90s. </w:t>
      </w:r>
      <w:r w:rsidRPr="002744A2">
        <w:rPr>
          <w:szCs w:val="22"/>
        </w:rPr>
        <w:t xml:space="preserve">The effect of the demand for new air conditioning services can be viewed in </w:t>
      </w:r>
      <w:r w:rsidRPr="0002173B">
        <w:rPr>
          <w:i/>
          <w:szCs w:val="22"/>
        </w:rPr>
        <w:t>Figure 3</w:t>
      </w:r>
      <w:r w:rsidRPr="002744A2">
        <w:rPr>
          <w:szCs w:val="22"/>
        </w:rPr>
        <w:t xml:space="preserve"> which illustrates the employment of the bank in the various major classes of technology.</w:t>
      </w:r>
    </w:p>
    <w:p w14:paraId="20E36FCF" w14:textId="160A5426" w:rsidR="00C20BC2" w:rsidRDefault="002744A2" w:rsidP="00C20BC2">
      <w:r w:rsidRPr="002744A2">
        <w:rPr>
          <w:szCs w:val="22"/>
        </w:rPr>
        <w:t>This distribution of the bank o</w:t>
      </w:r>
      <w:r w:rsidR="00D078A3">
        <w:rPr>
          <w:szCs w:val="22"/>
        </w:rPr>
        <w:t>f</w:t>
      </w:r>
      <w:r w:rsidRPr="002744A2">
        <w:rPr>
          <w:szCs w:val="22"/>
        </w:rPr>
        <w:t xml:space="preserve"> working gases across the major classes of equipment has changed dramatically since 2006, almost entirely because of the near doubling in the proportion of </w:t>
      </w:r>
      <w:r w:rsidR="00D078A3">
        <w:rPr>
          <w:szCs w:val="22"/>
        </w:rPr>
        <w:t>the bank</w:t>
      </w:r>
      <w:r w:rsidRPr="002744A2">
        <w:rPr>
          <w:szCs w:val="22"/>
        </w:rPr>
        <w:t xml:space="preserve"> contained in stationary air conditioning systems, </w:t>
      </w:r>
      <w:r w:rsidR="00D078A3">
        <w:rPr>
          <w:szCs w:val="22"/>
        </w:rPr>
        <w:t xml:space="preserve">rising </w:t>
      </w:r>
      <w:r w:rsidRPr="002744A2">
        <w:rPr>
          <w:szCs w:val="22"/>
        </w:rPr>
        <w:t>from around 37 per cent of the bank previously to an estimated 63 per cent in 2012.</w:t>
      </w:r>
    </w:p>
    <w:p w14:paraId="79D34CA4" w14:textId="77777777" w:rsidR="00C3211A" w:rsidRDefault="00C3211A" w:rsidP="00C3211A"/>
    <w:p w14:paraId="759D6D32" w14:textId="77777777" w:rsidR="00CE1EF2" w:rsidRDefault="00CE1EF2" w:rsidP="00C3211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C3211A" w:rsidRPr="005D159D" w14:paraId="645B4C33" w14:textId="77777777" w:rsidTr="00C3211A">
        <w:tc>
          <w:tcPr>
            <w:tcW w:w="9639" w:type="dxa"/>
            <w:vAlign w:val="center"/>
          </w:tcPr>
          <w:p w14:paraId="3A30272A" w14:textId="7DB00E80" w:rsidR="00C3211A" w:rsidRPr="005D159D" w:rsidRDefault="00C3211A" w:rsidP="00C3211A">
            <w:pPr>
              <w:spacing w:after="120"/>
              <w:jc w:val="center"/>
              <w:rPr>
                <w:b/>
                <w:sz w:val="24"/>
              </w:rPr>
            </w:pPr>
            <w:r w:rsidRPr="005D159D">
              <w:rPr>
                <w:b/>
                <w:sz w:val="24"/>
              </w:rPr>
              <w:lastRenderedPageBreak/>
              <w:br w:type="page"/>
            </w:r>
            <w:r>
              <w:rPr>
                <w:b/>
                <w:sz w:val="24"/>
              </w:rPr>
              <w:t xml:space="preserve">2012 </w:t>
            </w:r>
            <w:r w:rsidRPr="005D159D">
              <w:rPr>
                <w:b/>
                <w:sz w:val="24"/>
              </w:rPr>
              <w:t xml:space="preserve">bank </w:t>
            </w:r>
            <w:r>
              <w:rPr>
                <w:b/>
                <w:sz w:val="24"/>
              </w:rPr>
              <w:t>by major segment</w:t>
            </w:r>
            <w:r w:rsidRPr="005D159D">
              <w:rPr>
                <w:b/>
                <w:sz w:val="24"/>
              </w:rPr>
              <w:t xml:space="preserve"> </w:t>
            </w:r>
          </w:p>
        </w:tc>
      </w:tr>
      <w:tr w:rsidR="00C3211A" w:rsidRPr="00BD20BC" w14:paraId="5B0F02EB" w14:textId="77777777" w:rsidTr="00C3211A">
        <w:tc>
          <w:tcPr>
            <w:tcW w:w="9639" w:type="dxa"/>
            <w:vAlign w:val="center"/>
          </w:tcPr>
          <w:p w14:paraId="27A4098C" w14:textId="06839C3D" w:rsidR="00C3211A" w:rsidRPr="00BD20BC" w:rsidRDefault="00CE1EF2" w:rsidP="00CE1EF2">
            <w:pPr>
              <w:jc w:val="center"/>
              <w:rPr>
                <w:sz w:val="16"/>
                <w:szCs w:val="16"/>
              </w:rPr>
            </w:pPr>
            <w:r>
              <w:rPr>
                <w:noProof/>
                <w:lang w:val="en-US"/>
              </w:rPr>
              <w:drawing>
                <wp:inline distT="0" distB="0" distL="0" distR="0" wp14:anchorId="1BE2CA8F" wp14:editId="155918CE">
                  <wp:extent cx="5486400" cy="3874770"/>
                  <wp:effectExtent l="0" t="0" r="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C3211A" w:rsidRPr="00042727" w14:paraId="329822A8" w14:textId="77777777" w:rsidTr="00C3211A">
        <w:tc>
          <w:tcPr>
            <w:tcW w:w="9639" w:type="dxa"/>
            <w:vAlign w:val="center"/>
          </w:tcPr>
          <w:p w14:paraId="69EFE103" w14:textId="469C489C" w:rsidR="00C3211A" w:rsidRPr="005D159D" w:rsidRDefault="00C3211A" w:rsidP="00C3211A">
            <w:pPr>
              <w:spacing w:before="60" w:after="60"/>
              <w:rPr>
                <w:i/>
              </w:rPr>
            </w:pPr>
            <w:bookmarkStart w:id="41" w:name="_Toc233083979"/>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3</w:t>
            </w:r>
            <w:r w:rsidRPr="005D159D">
              <w:rPr>
                <w:i/>
                <w:sz w:val="20"/>
              </w:rPr>
              <w:fldChar w:fldCharType="end"/>
            </w:r>
            <w:r w:rsidRPr="005D159D">
              <w:rPr>
                <w:i/>
                <w:sz w:val="20"/>
              </w:rPr>
              <w:t xml:space="preserve">: Bank of </w:t>
            </w:r>
            <w:r>
              <w:rPr>
                <w:i/>
                <w:sz w:val="20"/>
              </w:rPr>
              <w:t>refrigerants by major segment</w:t>
            </w:r>
            <w:r w:rsidRPr="005D159D">
              <w:rPr>
                <w:i/>
                <w:sz w:val="20"/>
              </w:rPr>
              <w:t xml:space="preserve"> 20</w:t>
            </w:r>
            <w:r>
              <w:rPr>
                <w:i/>
                <w:sz w:val="20"/>
              </w:rPr>
              <w:t>12</w:t>
            </w:r>
            <w:bookmarkEnd w:id="41"/>
          </w:p>
        </w:tc>
      </w:tr>
    </w:tbl>
    <w:p w14:paraId="30B6C74C" w14:textId="3D5C5290" w:rsidR="005F51BB" w:rsidRPr="005F51BB" w:rsidRDefault="005F51BB" w:rsidP="005F51BB">
      <w:pPr>
        <w:spacing w:before="0"/>
        <w:rPr>
          <w:sz w:val="20"/>
          <w:szCs w:val="20"/>
        </w:rPr>
      </w:pPr>
      <w:r w:rsidRPr="005F51BB">
        <w:rPr>
          <w:sz w:val="20"/>
          <w:szCs w:val="20"/>
        </w:rPr>
        <w:t xml:space="preserve">(Source: </w:t>
      </w:r>
      <w:r w:rsidR="00AC0F6F">
        <w:rPr>
          <w:sz w:val="20"/>
          <w:szCs w:val="20"/>
        </w:rPr>
        <w:t>CHF2 stock</w:t>
      </w:r>
      <w:r w:rsidRPr="005F51BB">
        <w:rPr>
          <w:sz w:val="20"/>
          <w:szCs w:val="20"/>
        </w:rPr>
        <w:t xml:space="preserve"> model)</w:t>
      </w:r>
    </w:p>
    <w:p w14:paraId="540E1799" w14:textId="5A483731" w:rsidR="002744A2" w:rsidRPr="002744A2" w:rsidRDefault="002744A2" w:rsidP="0002173B">
      <w:pPr>
        <w:spacing w:before="240"/>
        <w:rPr>
          <w:szCs w:val="22"/>
        </w:rPr>
      </w:pPr>
      <w:r w:rsidRPr="002744A2">
        <w:rPr>
          <w:szCs w:val="22"/>
        </w:rPr>
        <w:t>The second largest portion of the bank is mobile air conditioning, comprising approximately 21 per cent of the total in 2012. This gas is predominantly contained in a rolling stock of around 1</w:t>
      </w:r>
      <w:r w:rsidR="00C37DCD">
        <w:rPr>
          <w:szCs w:val="22"/>
        </w:rPr>
        <w:t>6</w:t>
      </w:r>
      <w:r w:rsidRPr="002744A2">
        <w:rPr>
          <w:szCs w:val="22"/>
        </w:rPr>
        <w:t xml:space="preserve"> million registered vehicles of all types containing HFC-134a (ABS 9309.0, 2012; ABS 9314.0, 2012). </w:t>
      </w:r>
    </w:p>
    <w:p w14:paraId="3BAC1A8E" w14:textId="1FF463ED" w:rsidR="002744A2" w:rsidRPr="002744A2" w:rsidRDefault="002744A2" w:rsidP="002744A2">
      <w:pPr>
        <w:rPr>
          <w:szCs w:val="22"/>
        </w:rPr>
      </w:pPr>
      <w:r w:rsidRPr="002744A2">
        <w:rPr>
          <w:szCs w:val="22"/>
        </w:rPr>
        <w:t>Local manufacturing of mobile air conditioning systems is estimated to consume 160 tonnes of gas, a level of demand which has declined by around 50 to 60 tonnes per annum since the closure of the Mitsubishi factory in Adelaide in 2008</w:t>
      </w:r>
      <w:r w:rsidR="00D078A3">
        <w:rPr>
          <w:szCs w:val="22"/>
        </w:rPr>
        <w:t>,</w:t>
      </w:r>
      <w:r w:rsidR="00E73CB7">
        <w:rPr>
          <w:szCs w:val="22"/>
        </w:rPr>
        <w:t xml:space="preserve"> and is expected to decline further with the imminent closure of Ford Motor Company manufacturing operations</w:t>
      </w:r>
      <w:r w:rsidR="00E52F3E">
        <w:rPr>
          <w:szCs w:val="22"/>
        </w:rPr>
        <w:t xml:space="preserve"> in 2016</w:t>
      </w:r>
      <w:r w:rsidRPr="002744A2">
        <w:rPr>
          <w:szCs w:val="22"/>
        </w:rPr>
        <w:t>.</w:t>
      </w:r>
      <w:r>
        <w:rPr>
          <w:rStyle w:val="FootnoteReference"/>
          <w:szCs w:val="22"/>
        </w:rPr>
        <w:footnoteReference w:id="18"/>
      </w:r>
      <w:r w:rsidRPr="002744A2">
        <w:rPr>
          <w:szCs w:val="22"/>
        </w:rPr>
        <w:t xml:space="preserve"> </w:t>
      </w:r>
      <w:r w:rsidR="00E73CB7">
        <w:rPr>
          <w:szCs w:val="22"/>
        </w:rPr>
        <w:t xml:space="preserve"> </w:t>
      </w:r>
      <w:r w:rsidRPr="002744A2">
        <w:rPr>
          <w:szCs w:val="22"/>
        </w:rPr>
        <w:t>The larger use of gas (~80 per cent) in this sector was consumed servicing air conditioning systems in existing vehicles, which have an estimated leak rate of 10 per cent per annum, plus in replacement of gas lost from vehicles that had some form of collision or compressor failure.</w:t>
      </w:r>
    </w:p>
    <w:p w14:paraId="5483887C" w14:textId="77777777" w:rsidR="002744A2" w:rsidRPr="002744A2" w:rsidRDefault="002744A2" w:rsidP="002744A2">
      <w:pPr>
        <w:rPr>
          <w:szCs w:val="22"/>
        </w:rPr>
      </w:pPr>
      <w:r w:rsidRPr="002744A2">
        <w:rPr>
          <w:szCs w:val="22"/>
        </w:rPr>
        <w:t>The refrigerated cold food chain accounts for just 11 per cent of the total refrigerant bank, with domestic refrigerators and freezers containing a further 5 per cent. Thus all the refrigeration equipment essential in the transport and maintenance of food supplies and food quality, employ only 16 per cent of the total bank of gas.</w:t>
      </w:r>
    </w:p>
    <w:p w14:paraId="35880C63" w14:textId="77777777" w:rsidR="00C3211A" w:rsidRDefault="00C3211A" w:rsidP="00C3211A">
      <w:pPr>
        <w:rPr>
          <w:szCs w:val="22"/>
        </w:rPr>
      </w:pPr>
    </w:p>
    <w:p w14:paraId="28A641E3" w14:textId="77777777" w:rsidR="00C3211A" w:rsidRDefault="00C3211A" w:rsidP="00E95B66">
      <w:pPr>
        <w:pStyle w:val="Heading3"/>
      </w:pPr>
      <w:bookmarkStart w:id="42" w:name="_Toc233084152"/>
      <w:r>
        <w:lastRenderedPageBreak/>
        <w:t>Bulk gas imports</w:t>
      </w:r>
      <w:bookmarkEnd w:id="42"/>
    </w:p>
    <w:p w14:paraId="4ED98237" w14:textId="77777777" w:rsidR="007F3EA8" w:rsidRPr="007F3EA8" w:rsidRDefault="007F3EA8" w:rsidP="007F3EA8">
      <w:pPr>
        <w:rPr>
          <w:szCs w:val="22"/>
        </w:rPr>
      </w:pPr>
      <w:r w:rsidRPr="007F3EA8">
        <w:rPr>
          <w:szCs w:val="22"/>
        </w:rPr>
        <w:t>One of the two sources of growth in the bank is via the import of bulk refrigerant gases. Yet a surprising proportion of bulk imports do not add to the working bank, but are instead consumed replacing gas lost through leaks and during equipment service.</w:t>
      </w:r>
    </w:p>
    <w:p w14:paraId="09655C77" w14:textId="0ED8C15C" w:rsidR="007F3EA8" w:rsidRPr="007F3EA8" w:rsidRDefault="007F3EA8" w:rsidP="007F3EA8">
      <w:pPr>
        <w:rPr>
          <w:szCs w:val="22"/>
        </w:rPr>
      </w:pPr>
      <w:r w:rsidRPr="007F3EA8">
        <w:rPr>
          <w:szCs w:val="22"/>
        </w:rPr>
        <w:t xml:space="preserve">On average around 4,500 tonnes of both HCFCs and HFCs bulk gas were imported per annum from 2006 to 2011, of which it is estimated that around 70 per cent (~3,150 tonnes) was consumed to maintain the existing stock of equipment. In other words </w:t>
      </w:r>
      <w:r w:rsidR="00D078A3">
        <w:rPr>
          <w:szCs w:val="22"/>
        </w:rPr>
        <w:t>more than</w:t>
      </w:r>
      <w:r w:rsidRPr="007F3EA8">
        <w:rPr>
          <w:szCs w:val="22"/>
        </w:rPr>
        <w:t xml:space="preserve"> two thirds of annual bulk imports are being used to replace gas that is lost to air from working equipment every year. </w:t>
      </w:r>
    </w:p>
    <w:p w14:paraId="1098E49A" w14:textId="3692A566" w:rsidR="007F3EA8" w:rsidRPr="007F3EA8" w:rsidRDefault="007F3EA8" w:rsidP="007F3EA8">
      <w:pPr>
        <w:rPr>
          <w:szCs w:val="22"/>
        </w:rPr>
      </w:pPr>
      <w:r w:rsidRPr="007F3EA8">
        <w:rPr>
          <w:szCs w:val="22"/>
        </w:rPr>
        <w:t xml:space="preserve">The rest of the annual bulk imports (around 30 per cent) is used </w:t>
      </w:r>
      <w:r w:rsidR="00D078A3">
        <w:rPr>
          <w:szCs w:val="22"/>
        </w:rPr>
        <w:t>to</w:t>
      </w:r>
      <w:r w:rsidRPr="007F3EA8">
        <w:rPr>
          <w:szCs w:val="22"/>
        </w:rPr>
        <w:t xml:space="preserve"> charg</w:t>
      </w:r>
      <w:r w:rsidR="00D078A3">
        <w:rPr>
          <w:szCs w:val="22"/>
        </w:rPr>
        <w:t>e</w:t>
      </w:r>
      <w:r w:rsidRPr="007F3EA8">
        <w:rPr>
          <w:szCs w:val="22"/>
        </w:rPr>
        <w:t xml:space="preserve"> new equipment manufactured in Australia, </w:t>
      </w:r>
      <w:r w:rsidR="00D078A3">
        <w:rPr>
          <w:szCs w:val="22"/>
        </w:rPr>
        <w:t xml:space="preserve">to charge </w:t>
      </w:r>
      <w:r w:rsidRPr="007F3EA8">
        <w:rPr>
          <w:szCs w:val="22"/>
        </w:rPr>
        <w:t xml:space="preserve">equipment </w:t>
      </w:r>
      <w:r w:rsidR="00D078A3">
        <w:rPr>
          <w:szCs w:val="22"/>
        </w:rPr>
        <w:t xml:space="preserve">imported </w:t>
      </w:r>
      <w:r w:rsidRPr="007F3EA8">
        <w:rPr>
          <w:szCs w:val="22"/>
        </w:rPr>
        <w:t>without a charge of working gas (i</w:t>
      </w:r>
      <w:r w:rsidR="00E73CB7">
        <w:rPr>
          <w:szCs w:val="22"/>
        </w:rPr>
        <w:t>.e. pre-charged with nitrogen), or consumed in other applications such as foam blowing, fire protection and aerosols</w:t>
      </w:r>
      <w:r w:rsidR="00D078A3">
        <w:rPr>
          <w:szCs w:val="22"/>
        </w:rPr>
        <w:t>. A small proportion, (~</w:t>
      </w:r>
      <w:r w:rsidR="00917AC2">
        <w:rPr>
          <w:szCs w:val="22"/>
        </w:rPr>
        <w:t>20 to 30</w:t>
      </w:r>
      <w:r w:rsidR="00D078A3">
        <w:rPr>
          <w:szCs w:val="22"/>
        </w:rPr>
        <w:t xml:space="preserve"> tonnes) is</w:t>
      </w:r>
      <w:r w:rsidR="00E73CB7">
        <w:rPr>
          <w:szCs w:val="22"/>
        </w:rPr>
        <w:t xml:space="preserve"> re-exported for servicing shipping vessels and supplying wholesalers located in the Pacific Islands.</w:t>
      </w:r>
    </w:p>
    <w:p w14:paraId="5486913B" w14:textId="75B08A31" w:rsidR="007F3EA8" w:rsidRPr="007F3EA8" w:rsidRDefault="007F3EA8" w:rsidP="007F3EA8">
      <w:pPr>
        <w:rPr>
          <w:szCs w:val="22"/>
        </w:rPr>
      </w:pPr>
      <w:r w:rsidRPr="007F3EA8">
        <w:rPr>
          <w:szCs w:val="22"/>
        </w:rPr>
        <w:t>Stationary air conditioning is the single largest end-use for bulk imported gas. Servicing air conditioning</w:t>
      </w:r>
      <w:r w:rsidR="001C3D4D">
        <w:rPr>
          <w:szCs w:val="22"/>
        </w:rPr>
        <w:t xml:space="preserve"> and </w:t>
      </w:r>
      <w:r w:rsidRPr="007F3EA8">
        <w:rPr>
          <w:szCs w:val="22"/>
        </w:rPr>
        <w:t xml:space="preserve">replacing </w:t>
      </w:r>
      <w:r w:rsidR="001C3D4D">
        <w:rPr>
          <w:szCs w:val="22"/>
        </w:rPr>
        <w:t>gas</w:t>
      </w:r>
      <w:r w:rsidRPr="007F3EA8">
        <w:rPr>
          <w:szCs w:val="22"/>
        </w:rPr>
        <w:t xml:space="preserve"> that has been lost through leaks, and charging new air conditioning equipment</w:t>
      </w:r>
      <w:r w:rsidR="001C3D4D">
        <w:rPr>
          <w:szCs w:val="22"/>
        </w:rPr>
        <w:t>,</w:t>
      </w:r>
      <w:r w:rsidRPr="007F3EA8">
        <w:rPr>
          <w:szCs w:val="22"/>
        </w:rPr>
        <w:t xml:space="preserve"> is estimated to account for approximately 1,470 tonnes, or 35 per cent of all bulk import</w:t>
      </w:r>
      <w:r w:rsidR="001C3D4D">
        <w:rPr>
          <w:szCs w:val="22"/>
        </w:rPr>
        <w:t>s</w:t>
      </w:r>
      <w:r w:rsidRPr="007F3EA8">
        <w:rPr>
          <w:szCs w:val="22"/>
        </w:rPr>
        <w:t xml:space="preserve"> in 2012.</w:t>
      </w:r>
    </w:p>
    <w:p w14:paraId="3E37D386" w14:textId="2D8A9134" w:rsidR="00A1466E" w:rsidRPr="007F3EA8" w:rsidRDefault="007F3EA8" w:rsidP="00A1466E">
      <w:pPr>
        <w:rPr>
          <w:szCs w:val="22"/>
        </w:rPr>
      </w:pPr>
      <w:r w:rsidRPr="007F3EA8">
        <w:rPr>
          <w:i/>
          <w:szCs w:val="22"/>
        </w:rPr>
        <w:t>Figure 4</w:t>
      </w:r>
      <w:r w:rsidRPr="007F3EA8">
        <w:rPr>
          <w:szCs w:val="22"/>
        </w:rPr>
        <w:t xml:space="preserve"> illustrates the actual mix of HFC species imported in bulk (this chart does not in</w:t>
      </w:r>
      <w:r>
        <w:rPr>
          <w:szCs w:val="22"/>
        </w:rPr>
        <w:t>clude</w:t>
      </w:r>
      <w:r w:rsidR="001C3D4D">
        <w:rPr>
          <w:szCs w:val="22"/>
        </w:rPr>
        <w:t xml:space="preserve"> imports of</w:t>
      </w:r>
      <w:r>
        <w:rPr>
          <w:szCs w:val="22"/>
        </w:rPr>
        <w:t xml:space="preserve"> HCFCs).</w:t>
      </w:r>
      <w:r w:rsidR="00A1466E">
        <w:rPr>
          <w:szCs w:val="22"/>
        </w:rPr>
        <w:t xml:space="preserve"> </w:t>
      </w:r>
      <w:r w:rsidR="00A1466E" w:rsidRPr="007F3EA8">
        <w:rPr>
          <w:i/>
          <w:szCs w:val="22"/>
        </w:rPr>
        <w:t>Figure 5</w:t>
      </w:r>
      <w:r w:rsidR="00A1466E" w:rsidRPr="007F3EA8">
        <w:rPr>
          <w:szCs w:val="22"/>
        </w:rPr>
        <w:t xml:space="preserve"> provides a six year trend of imports of HFCs in kilo</w:t>
      </w:r>
      <w:r w:rsidR="00870F76">
        <w:rPr>
          <w:szCs w:val="22"/>
        </w:rPr>
        <w:t xml:space="preserve"> </w:t>
      </w:r>
      <w:r w:rsidR="00A1466E" w:rsidRPr="007F3EA8">
        <w:rPr>
          <w:szCs w:val="22"/>
        </w:rPr>
        <w:t>tonnes of CO</w:t>
      </w:r>
      <w:r w:rsidR="00A1466E" w:rsidRPr="007F3EA8">
        <w:rPr>
          <w:szCs w:val="22"/>
          <w:vertAlign w:val="subscript"/>
        </w:rPr>
        <w:t>2</w:t>
      </w:r>
      <w:r w:rsidR="00A1466E" w:rsidRPr="007F3EA8">
        <w:rPr>
          <w:szCs w:val="22"/>
        </w:rPr>
        <w:t>-e</w:t>
      </w:r>
      <w:r w:rsidR="00A1466E">
        <w:rPr>
          <w:szCs w:val="22"/>
        </w:rPr>
        <w:t>.</w:t>
      </w:r>
    </w:p>
    <w:p w14:paraId="2C256269" w14:textId="2DC6C9C8" w:rsidR="00C3211A" w:rsidRDefault="00C3211A" w:rsidP="007F3E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C3211A" w:rsidRPr="005D159D" w14:paraId="03F5A9D4" w14:textId="77777777" w:rsidTr="00A1466E">
        <w:tc>
          <w:tcPr>
            <w:tcW w:w="9605" w:type="dxa"/>
            <w:vAlign w:val="center"/>
          </w:tcPr>
          <w:p w14:paraId="1291F1CB" w14:textId="6227ABC8" w:rsidR="00C3211A" w:rsidRPr="005D159D" w:rsidRDefault="00C3211A" w:rsidP="00C3211A">
            <w:pPr>
              <w:spacing w:after="120"/>
              <w:jc w:val="center"/>
              <w:rPr>
                <w:b/>
                <w:sz w:val="24"/>
              </w:rPr>
            </w:pPr>
            <w:r w:rsidRPr="005D159D">
              <w:rPr>
                <w:b/>
                <w:sz w:val="24"/>
              </w:rPr>
              <w:br w:type="page"/>
            </w:r>
            <w:r>
              <w:rPr>
                <w:b/>
                <w:sz w:val="24"/>
              </w:rPr>
              <w:t>2012 HFC bulk imports by species</w:t>
            </w:r>
            <w:r w:rsidRPr="005D159D">
              <w:rPr>
                <w:b/>
                <w:sz w:val="24"/>
              </w:rPr>
              <w:t xml:space="preserve"> </w:t>
            </w:r>
          </w:p>
        </w:tc>
      </w:tr>
      <w:tr w:rsidR="00C3211A" w:rsidRPr="00BD20BC" w14:paraId="5BB6036D" w14:textId="77777777" w:rsidTr="00A1466E">
        <w:tc>
          <w:tcPr>
            <w:tcW w:w="9605" w:type="dxa"/>
            <w:vAlign w:val="center"/>
          </w:tcPr>
          <w:p w14:paraId="4AF332FD" w14:textId="77777777" w:rsidR="00C3211A" w:rsidRDefault="00B65D8D" w:rsidP="00B65D8D">
            <w:pPr>
              <w:jc w:val="center"/>
              <w:rPr>
                <w:sz w:val="16"/>
                <w:szCs w:val="16"/>
              </w:rPr>
            </w:pPr>
            <w:r>
              <w:rPr>
                <w:noProof/>
                <w:lang w:val="en-US"/>
              </w:rPr>
              <w:drawing>
                <wp:inline distT="0" distB="0" distL="0" distR="0" wp14:anchorId="095A9837" wp14:editId="179C6330">
                  <wp:extent cx="5486400" cy="384048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F71A3B" w14:textId="3D604663" w:rsidR="00B65D8D" w:rsidRPr="00BD20BC" w:rsidRDefault="00B65D8D" w:rsidP="00B65D8D">
            <w:pPr>
              <w:jc w:val="center"/>
              <w:rPr>
                <w:sz w:val="16"/>
                <w:szCs w:val="16"/>
              </w:rPr>
            </w:pPr>
          </w:p>
        </w:tc>
      </w:tr>
      <w:tr w:rsidR="00C3211A" w:rsidRPr="00042727" w14:paraId="6C35214D" w14:textId="77777777" w:rsidTr="00A1466E">
        <w:tc>
          <w:tcPr>
            <w:tcW w:w="9605" w:type="dxa"/>
            <w:vAlign w:val="center"/>
          </w:tcPr>
          <w:p w14:paraId="70AE5D10" w14:textId="57F9359C" w:rsidR="00C3211A" w:rsidRPr="005D159D" w:rsidRDefault="00C3211A" w:rsidP="00E95B66">
            <w:pPr>
              <w:spacing w:before="60" w:after="60"/>
              <w:rPr>
                <w:i/>
              </w:rPr>
            </w:pPr>
            <w:bookmarkStart w:id="43" w:name="_Toc233083980"/>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4</w:t>
            </w:r>
            <w:r w:rsidRPr="005D159D">
              <w:rPr>
                <w:i/>
                <w:sz w:val="20"/>
              </w:rPr>
              <w:fldChar w:fldCharType="end"/>
            </w:r>
            <w:r w:rsidRPr="005D159D">
              <w:rPr>
                <w:i/>
                <w:sz w:val="20"/>
              </w:rPr>
              <w:t xml:space="preserve">: </w:t>
            </w:r>
            <w:r>
              <w:rPr>
                <w:i/>
                <w:sz w:val="20"/>
              </w:rPr>
              <w:t xml:space="preserve">Actual 2012 HFC bulk gas imports </w:t>
            </w:r>
            <w:r w:rsidR="00E95B66">
              <w:rPr>
                <w:i/>
                <w:sz w:val="20"/>
              </w:rPr>
              <w:t>by species based on mass</w:t>
            </w:r>
            <w:r w:rsidR="00C42604">
              <w:rPr>
                <w:i/>
                <w:sz w:val="20"/>
              </w:rPr>
              <w:t xml:space="preserve"> in tonnes</w:t>
            </w:r>
            <w:bookmarkEnd w:id="43"/>
          </w:p>
        </w:tc>
      </w:tr>
    </w:tbl>
    <w:p w14:paraId="0F3965F0" w14:textId="13E64B9C" w:rsidR="003F776D" w:rsidRDefault="003F776D" w:rsidP="003F776D">
      <w:pPr>
        <w:spacing w:before="0"/>
        <w:rPr>
          <w:szCs w:val="22"/>
        </w:rPr>
      </w:pPr>
      <w:r w:rsidRPr="00116557">
        <w:rPr>
          <w:sz w:val="20"/>
          <w:szCs w:val="20"/>
        </w:rPr>
        <w:t xml:space="preserve">(Sources: </w:t>
      </w:r>
      <w:r>
        <w:rPr>
          <w:sz w:val="20"/>
          <w:szCs w:val="20"/>
        </w:rPr>
        <w:t>DSEWPaC 2013a)</w:t>
      </w:r>
    </w:p>
    <w:p w14:paraId="243E080F" w14:textId="77777777" w:rsidR="005A0B3B" w:rsidRDefault="005A0B3B" w:rsidP="007F3EA8">
      <w:pPr>
        <w:rPr>
          <w:szCs w:val="22"/>
        </w:rPr>
      </w:pPr>
    </w:p>
    <w:p w14:paraId="08D96ED1" w14:textId="47E985ED" w:rsidR="00A1466E" w:rsidRDefault="00A1466E">
      <w:pPr>
        <w:spacing w:before="0"/>
        <w:jc w:val="left"/>
      </w:pPr>
      <w:r>
        <w:br w:type="page"/>
      </w:r>
    </w:p>
    <w:p w14:paraId="64C3B168" w14:textId="77777777" w:rsidR="00241A71" w:rsidRDefault="00241A71" w:rsidP="00241A71"/>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241A71" w:rsidRPr="005D159D" w14:paraId="03493C1F" w14:textId="77777777" w:rsidTr="00241A71">
        <w:tc>
          <w:tcPr>
            <w:tcW w:w="9639" w:type="dxa"/>
            <w:vAlign w:val="center"/>
          </w:tcPr>
          <w:p w14:paraId="4963588F" w14:textId="4051A059" w:rsidR="00241A71" w:rsidRPr="005D159D" w:rsidRDefault="00241A71" w:rsidP="00241A71">
            <w:pPr>
              <w:spacing w:after="120"/>
              <w:jc w:val="center"/>
              <w:rPr>
                <w:b/>
                <w:sz w:val="24"/>
              </w:rPr>
            </w:pPr>
            <w:r w:rsidRPr="005D159D">
              <w:rPr>
                <w:b/>
                <w:sz w:val="24"/>
              </w:rPr>
              <w:br w:type="page"/>
            </w:r>
            <w:r w:rsidRPr="006F0C7A">
              <w:rPr>
                <w:b/>
                <w:sz w:val="24"/>
              </w:rPr>
              <w:t xml:space="preserve">Trend of </w:t>
            </w:r>
            <w:r>
              <w:rPr>
                <w:b/>
                <w:sz w:val="24"/>
              </w:rPr>
              <w:t xml:space="preserve">HFC </w:t>
            </w:r>
            <w:r w:rsidRPr="006F0C7A">
              <w:rPr>
                <w:b/>
                <w:sz w:val="24"/>
              </w:rPr>
              <w:t>bulk imports in kt CO</w:t>
            </w:r>
            <w:r w:rsidRPr="006F0C7A">
              <w:rPr>
                <w:b/>
                <w:sz w:val="24"/>
                <w:vertAlign w:val="subscript"/>
              </w:rPr>
              <w:t>2</w:t>
            </w:r>
            <w:r w:rsidRPr="006F0C7A">
              <w:rPr>
                <w:b/>
                <w:sz w:val="24"/>
              </w:rPr>
              <w:t>-e</w:t>
            </w:r>
          </w:p>
        </w:tc>
      </w:tr>
      <w:tr w:rsidR="00241A71" w:rsidRPr="00BD20BC" w14:paraId="54B4E7FA" w14:textId="77777777" w:rsidTr="00241A71">
        <w:tc>
          <w:tcPr>
            <w:tcW w:w="9639" w:type="dxa"/>
            <w:vAlign w:val="center"/>
          </w:tcPr>
          <w:p w14:paraId="2B942065" w14:textId="77777777" w:rsidR="00241A71" w:rsidRDefault="00241A71" w:rsidP="00241A71">
            <w:pPr>
              <w:jc w:val="center"/>
              <w:rPr>
                <w:sz w:val="16"/>
                <w:szCs w:val="16"/>
              </w:rPr>
            </w:pPr>
          </w:p>
          <w:p w14:paraId="6CAB7FD5" w14:textId="6240EA7D" w:rsidR="00241A71" w:rsidRDefault="005C7185" w:rsidP="00241A71">
            <w:pPr>
              <w:jc w:val="center"/>
              <w:rPr>
                <w:sz w:val="16"/>
                <w:szCs w:val="16"/>
              </w:rPr>
            </w:pPr>
            <w:r w:rsidRPr="005C7185">
              <w:rPr>
                <w:sz w:val="16"/>
                <w:szCs w:val="16"/>
              </w:rPr>
              <w:t>Landscape image</w:t>
            </w:r>
          </w:p>
          <w:p w14:paraId="0A54079E" w14:textId="77777777" w:rsidR="00241A71" w:rsidRPr="00BD20BC" w:rsidRDefault="00241A71" w:rsidP="00241A71">
            <w:pPr>
              <w:jc w:val="center"/>
              <w:rPr>
                <w:sz w:val="16"/>
                <w:szCs w:val="16"/>
              </w:rPr>
            </w:pPr>
          </w:p>
        </w:tc>
      </w:tr>
      <w:tr w:rsidR="00241A71" w:rsidRPr="00042727" w14:paraId="484A9AE5" w14:textId="77777777" w:rsidTr="00241A71">
        <w:tc>
          <w:tcPr>
            <w:tcW w:w="9639" w:type="dxa"/>
            <w:vAlign w:val="center"/>
          </w:tcPr>
          <w:p w14:paraId="774FB7C9" w14:textId="58892AA8" w:rsidR="00241A71" w:rsidRPr="005D159D" w:rsidRDefault="00241A71" w:rsidP="004D1CF8">
            <w:pPr>
              <w:spacing w:before="60" w:after="60"/>
              <w:rPr>
                <w:i/>
                <w:sz w:val="20"/>
              </w:rPr>
            </w:pPr>
            <w:bookmarkStart w:id="44" w:name="_Toc233083981"/>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5</w:t>
            </w:r>
            <w:r w:rsidRPr="005D159D">
              <w:rPr>
                <w:i/>
                <w:sz w:val="20"/>
              </w:rPr>
              <w:fldChar w:fldCharType="end"/>
            </w:r>
            <w:r w:rsidRPr="005D159D">
              <w:rPr>
                <w:i/>
                <w:sz w:val="20"/>
              </w:rPr>
              <w:t xml:space="preserve">: </w:t>
            </w:r>
            <w:r w:rsidR="004D1CF8" w:rsidRPr="004D1CF8">
              <w:rPr>
                <w:i/>
                <w:sz w:val="20"/>
              </w:rPr>
              <w:t xml:space="preserve">Six year trend of HFC bulk imports as reported in major </w:t>
            </w:r>
            <w:r w:rsidR="004D1CF8">
              <w:rPr>
                <w:i/>
                <w:sz w:val="20"/>
              </w:rPr>
              <w:t xml:space="preserve">SGG </w:t>
            </w:r>
            <w:r w:rsidR="004D1CF8" w:rsidRPr="004D1CF8">
              <w:rPr>
                <w:i/>
                <w:sz w:val="20"/>
              </w:rPr>
              <w:t>categories in kt CO</w:t>
            </w:r>
            <w:r w:rsidR="004D1CF8" w:rsidRPr="004D1CF8">
              <w:rPr>
                <w:i/>
                <w:sz w:val="20"/>
                <w:vertAlign w:val="subscript"/>
              </w:rPr>
              <w:t>2</w:t>
            </w:r>
            <w:r w:rsidR="004D1CF8" w:rsidRPr="004D1CF8">
              <w:rPr>
                <w:i/>
                <w:sz w:val="20"/>
              </w:rPr>
              <w:t>-e</w:t>
            </w:r>
            <w:bookmarkEnd w:id="44"/>
          </w:p>
        </w:tc>
      </w:tr>
      <w:tr w:rsidR="00241A71" w:rsidRPr="00042727" w14:paraId="5FD89D6F" w14:textId="77777777" w:rsidTr="00241A71">
        <w:tc>
          <w:tcPr>
            <w:tcW w:w="9639" w:type="dxa"/>
            <w:vAlign w:val="center"/>
          </w:tcPr>
          <w:p w14:paraId="3B3448C6" w14:textId="6B03C057" w:rsidR="00241A71" w:rsidRPr="005D159D" w:rsidRDefault="00241A71" w:rsidP="00241A71">
            <w:pPr>
              <w:spacing w:before="60" w:after="60"/>
              <w:rPr>
                <w:i/>
              </w:rPr>
            </w:pPr>
            <w:r w:rsidRPr="00FA279D">
              <w:rPr>
                <w:noProof/>
                <w:sz w:val="20"/>
                <w:szCs w:val="20"/>
                <w:lang w:eastAsia="en-AU"/>
              </w:rPr>
              <w:t>Note: 2011 estimated based on 6 months data as bulk import reporting format changed mid way through 2011</w:t>
            </w:r>
            <w:r w:rsidR="004D1CF8">
              <w:rPr>
                <w:noProof/>
                <w:sz w:val="20"/>
                <w:szCs w:val="20"/>
                <w:lang w:eastAsia="en-AU"/>
              </w:rPr>
              <w:t>, and kt CO</w:t>
            </w:r>
            <w:r w:rsidR="004D1CF8" w:rsidRPr="004D1CF8">
              <w:rPr>
                <w:noProof/>
                <w:sz w:val="20"/>
                <w:szCs w:val="20"/>
                <w:vertAlign w:val="subscript"/>
                <w:lang w:eastAsia="en-AU"/>
              </w:rPr>
              <w:t>2</w:t>
            </w:r>
            <w:r w:rsidR="004D1CF8">
              <w:rPr>
                <w:noProof/>
                <w:sz w:val="20"/>
                <w:szCs w:val="20"/>
                <w:lang w:eastAsia="en-AU"/>
              </w:rPr>
              <w:t>-e calculated based on AR2 GWP values.</w:t>
            </w:r>
          </w:p>
        </w:tc>
      </w:tr>
    </w:tbl>
    <w:p w14:paraId="62DACA05" w14:textId="77777777" w:rsidR="003F776D" w:rsidRDefault="003F776D" w:rsidP="003F776D">
      <w:pPr>
        <w:spacing w:before="0"/>
        <w:rPr>
          <w:szCs w:val="22"/>
        </w:rPr>
      </w:pPr>
      <w:r w:rsidRPr="00116557">
        <w:rPr>
          <w:sz w:val="20"/>
          <w:szCs w:val="20"/>
        </w:rPr>
        <w:t xml:space="preserve">(Sources: </w:t>
      </w:r>
      <w:r>
        <w:rPr>
          <w:sz w:val="20"/>
          <w:szCs w:val="20"/>
        </w:rPr>
        <w:t>DSEWPaC 2013a)</w:t>
      </w:r>
    </w:p>
    <w:p w14:paraId="016EE2C9" w14:textId="77777777" w:rsidR="00A1466E" w:rsidRDefault="00A1466E">
      <w:pPr>
        <w:spacing w:before="0"/>
        <w:jc w:val="left"/>
        <w:rPr>
          <w:szCs w:val="22"/>
        </w:rPr>
      </w:pPr>
      <w:r>
        <w:rPr>
          <w:szCs w:val="22"/>
        </w:rPr>
        <w:br w:type="page"/>
      </w:r>
    </w:p>
    <w:p w14:paraId="57C3BDB4" w14:textId="074BC91C" w:rsidR="00A1466E" w:rsidRPr="007F3EA8" w:rsidRDefault="00A1466E" w:rsidP="00A1466E">
      <w:pPr>
        <w:rPr>
          <w:szCs w:val="22"/>
        </w:rPr>
      </w:pPr>
      <w:r w:rsidRPr="007F3EA8">
        <w:rPr>
          <w:szCs w:val="22"/>
        </w:rPr>
        <w:lastRenderedPageBreak/>
        <w:t>Bulk imports of refrigerants occur in tanks containing as much as 18 tonnes each. Bulk imports are bought into the country by only 17 licensed importers who decant the gases into smaller tanks, ranging from 5 tonne mobile road tankers, to 12 kg cylinders used by tradesmen and technicians.</w:t>
      </w:r>
      <w:r>
        <w:rPr>
          <w:rStyle w:val="FootnoteReference"/>
          <w:szCs w:val="22"/>
        </w:rPr>
        <w:footnoteReference w:id="19"/>
      </w:r>
    </w:p>
    <w:p w14:paraId="0B517CFC" w14:textId="00297F43" w:rsidR="00A1466E" w:rsidRPr="007F3EA8" w:rsidRDefault="00A1466E" w:rsidP="00A1466E">
      <w:pPr>
        <w:rPr>
          <w:szCs w:val="22"/>
        </w:rPr>
      </w:pPr>
      <w:r w:rsidRPr="007F3EA8">
        <w:rPr>
          <w:szCs w:val="22"/>
        </w:rPr>
        <w:t>A controlled substances licence is required to import bulk HCFCs and HFCs</w:t>
      </w:r>
      <w:r>
        <w:rPr>
          <w:szCs w:val="22"/>
        </w:rPr>
        <w:t>,</w:t>
      </w:r>
      <w:r w:rsidRPr="007F3EA8">
        <w:rPr>
          <w:szCs w:val="22"/>
        </w:rPr>
        <w:t xml:space="preserve"> and holders of these licences are required to report all imports. </w:t>
      </w:r>
    </w:p>
    <w:p w14:paraId="3DD306DE" w14:textId="4D30AB70" w:rsidR="007F3EA8" w:rsidRPr="007F3EA8" w:rsidRDefault="007F3EA8" w:rsidP="007F3EA8">
      <w:pPr>
        <w:spacing w:before="240"/>
        <w:rPr>
          <w:szCs w:val="22"/>
        </w:rPr>
      </w:pPr>
      <w:r w:rsidRPr="007F3EA8">
        <w:rPr>
          <w:szCs w:val="22"/>
        </w:rPr>
        <w:t xml:space="preserve">HFC bulk imports have grown from an estimated 2,660 tonne in 2006 to 3,150 tonne in 2011 (an 18 per cent increase in volumes but down from the peak in 2009). Changes in the mix of HFC substances imported in bulk between 2006 and 2010 illustrate some of the changes in the underlying bank. A significant rise in imports of HFC-410A, and a steady increase in imports of HFC-404A, is testament to the effect of restrictions on HCFC-22 imports (widely used in stationary air conditioning equipment) and the migration of some other technology segments away from HCFCs to the non-ozone depleting HFC gases. (The phase out of HCFCs is discussed in more detail in </w:t>
      </w:r>
      <w:r w:rsidR="00297430">
        <w:rPr>
          <w:i/>
          <w:szCs w:val="22"/>
        </w:rPr>
        <w:t>Chapter</w:t>
      </w:r>
      <w:r w:rsidRPr="00275269">
        <w:rPr>
          <w:i/>
          <w:szCs w:val="22"/>
        </w:rPr>
        <w:t xml:space="preserve"> 5.3.6</w:t>
      </w:r>
      <w:r w:rsidRPr="00275269">
        <w:rPr>
          <w:szCs w:val="22"/>
        </w:rPr>
        <w:t>)</w:t>
      </w:r>
      <w:r w:rsidR="005A0B3B" w:rsidRPr="00275269">
        <w:rPr>
          <w:szCs w:val="22"/>
        </w:rPr>
        <w:t>.</w:t>
      </w:r>
    </w:p>
    <w:p w14:paraId="63BB363B" w14:textId="01F248FC" w:rsidR="007F3EA8" w:rsidRPr="007F3EA8" w:rsidRDefault="007F3EA8" w:rsidP="007F3EA8">
      <w:pPr>
        <w:rPr>
          <w:szCs w:val="22"/>
        </w:rPr>
      </w:pPr>
      <w:r w:rsidRPr="007F3EA8">
        <w:rPr>
          <w:szCs w:val="22"/>
        </w:rPr>
        <w:t>During this period the import of HFC-134a, by far the most commonly used HFC, maintained a steady trend over the period, growing at approximately 3 per cent per annum. Various economic and technological trends capped demand for bulk HFC-134a imports, including the closing down of some Australian vehicle manufacturing capacity, and the closure, or move off-shore, of more than half of the domestic refrigeration and commercial manufacturing capacity that existed at the beginning of the century. At the same time, some uses of HFC-134a have also been migrated to alternative working gases, such as the use of hydrocarbon refrigerants in the majority of domestic refrigeration and in some retrofitting of as much as 8 per cent of registered vehicles with mobile air conditioning.</w:t>
      </w:r>
    </w:p>
    <w:p w14:paraId="201C6F7E" w14:textId="77777777" w:rsidR="007F3EA8" w:rsidRPr="007F3EA8" w:rsidRDefault="007F3EA8" w:rsidP="007F3EA8">
      <w:pPr>
        <w:rPr>
          <w:szCs w:val="22"/>
        </w:rPr>
      </w:pPr>
      <w:r w:rsidRPr="007F3EA8">
        <w:rPr>
          <w:szCs w:val="22"/>
        </w:rPr>
        <w:t xml:space="preserve">Bulk imports of refrigerants by species are illustrated in </w:t>
      </w:r>
      <w:r w:rsidRPr="007F3EA8">
        <w:rPr>
          <w:i/>
          <w:szCs w:val="22"/>
        </w:rPr>
        <w:t>Figure 6</w:t>
      </w:r>
      <w:r w:rsidRPr="007F3EA8">
        <w:rPr>
          <w:szCs w:val="22"/>
        </w:rPr>
        <w:t xml:space="preserve"> for 2006, 2010 and 2012 in tonnes. ‘HFC Mix’ comprises HFCs with smaller consumption volumes typically used in foam applications (HFC-365mfc, HFC-245fa and HFC-227ea), fire protection (HFC-227ea) and as HCFC drop-in refrigerant replacements (HFC-427A, HFC- 422A, HFC-422D and HFC-417A).</w:t>
      </w:r>
    </w:p>
    <w:p w14:paraId="36385D39" w14:textId="120B6505" w:rsidR="00140F2C" w:rsidRDefault="00140F2C">
      <w:pPr>
        <w:spacing w:before="0"/>
        <w:jc w:val="left"/>
      </w:pPr>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241A71" w:rsidRPr="005D159D" w14:paraId="3052E96A" w14:textId="77777777" w:rsidTr="00140F2C">
        <w:tc>
          <w:tcPr>
            <w:tcW w:w="9605" w:type="dxa"/>
            <w:vAlign w:val="center"/>
          </w:tcPr>
          <w:p w14:paraId="2B5D2B4D" w14:textId="131AC48D" w:rsidR="00241A71" w:rsidRPr="005D159D" w:rsidRDefault="00241A71" w:rsidP="009C48DA">
            <w:pPr>
              <w:spacing w:after="120"/>
              <w:jc w:val="center"/>
              <w:rPr>
                <w:b/>
                <w:sz w:val="24"/>
              </w:rPr>
            </w:pPr>
            <w:r w:rsidRPr="005D159D">
              <w:rPr>
                <w:b/>
                <w:sz w:val="24"/>
              </w:rPr>
              <w:lastRenderedPageBreak/>
              <w:br w:type="page"/>
            </w:r>
            <w:r w:rsidR="009C48DA">
              <w:rPr>
                <w:b/>
                <w:sz w:val="24"/>
              </w:rPr>
              <w:t>HFC consumption in 2006, 2010 and 2012</w:t>
            </w:r>
            <w:r w:rsidRPr="005D159D">
              <w:rPr>
                <w:b/>
                <w:sz w:val="24"/>
              </w:rPr>
              <w:t xml:space="preserve"> </w:t>
            </w:r>
          </w:p>
        </w:tc>
      </w:tr>
      <w:tr w:rsidR="00241A71" w:rsidRPr="00BD20BC" w14:paraId="7543D829" w14:textId="77777777" w:rsidTr="00140F2C">
        <w:tc>
          <w:tcPr>
            <w:tcW w:w="9605" w:type="dxa"/>
            <w:vAlign w:val="center"/>
          </w:tcPr>
          <w:p w14:paraId="77D14313" w14:textId="77777777" w:rsidR="00241A71" w:rsidRDefault="00241A71" w:rsidP="00241A71">
            <w:pPr>
              <w:jc w:val="center"/>
              <w:rPr>
                <w:sz w:val="16"/>
                <w:szCs w:val="16"/>
              </w:rPr>
            </w:pPr>
          </w:p>
          <w:p w14:paraId="32071941" w14:textId="51DF2973" w:rsidR="00241A71" w:rsidRDefault="00AC2DEA" w:rsidP="00241A71">
            <w:pPr>
              <w:jc w:val="center"/>
              <w:rPr>
                <w:sz w:val="16"/>
                <w:szCs w:val="16"/>
              </w:rPr>
            </w:pPr>
            <w:r>
              <w:rPr>
                <w:noProof/>
                <w:lang w:val="en-US"/>
              </w:rPr>
              <w:drawing>
                <wp:inline distT="0" distB="0" distL="0" distR="0" wp14:anchorId="7945EF00" wp14:editId="0AEEC51F">
                  <wp:extent cx="5486400" cy="4005580"/>
                  <wp:effectExtent l="0" t="0" r="0"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5609513" w14:textId="77777777" w:rsidR="00241A71" w:rsidRPr="00BD20BC" w:rsidRDefault="00241A71" w:rsidP="00241A71">
            <w:pPr>
              <w:jc w:val="center"/>
              <w:rPr>
                <w:sz w:val="16"/>
                <w:szCs w:val="16"/>
              </w:rPr>
            </w:pPr>
          </w:p>
        </w:tc>
      </w:tr>
      <w:tr w:rsidR="00F84336" w:rsidRPr="00042727" w14:paraId="76D59BA3" w14:textId="77777777" w:rsidTr="00140F2C">
        <w:tc>
          <w:tcPr>
            <w:tcW w:w="9605" w:type="dxa"/>
            <w:vAlign w:val="center"/>
          </w:tcPr>
          <w:p w14:paraId="54DE7FB1" w14:textId="4BA7A8E8" w:rsidR="00F84336" w:rsidRPr="005D159D" w:rsidRDefault="00F84336" w:rsidP="009C48DA">
            <w:pPr>
              <w:spacing w:before="60" w:after="60"/>
              <w:rPr>
                <w:i/>
                <w:sz w:val="20"/>
              </w:rPr>
            </w:pPr>
            <w:bookmarkStart w:id="45" w:name="_Toc233083982"/>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6</w:t>
            </w:r>
            <w:r w:rsidRPr="005D159D">
              <w:rPr>
                <w:i/>
                <w:sz w:val="20"/>
              </w:rPr>
              <w:fldChar w:fldCharType="end"/>
            </w:r>
            <w:r w:rsidRPr="005D159D">
              <w:rPr>
                <w:i/>
                <w:sz w:val="20"/>
              </w:rPr>
              <w:t xml:space="preserve">: </w:t>
            </w:r>
            <w:r>
              <w:rPr>
                <w:i/>
                <w:sz w:val="20"/>
              </w:rPr>
              <w:t xml:space="preserve">Estimated HFC consumption in </w:t>
            </w:r>
            <w:r w:rsidRPr="009C48DA">
              <w:rPr>
                <w:i/>
                <w:sz w:val="20"/>
              </w:rPr>
              <w:t>2006, 2010</w:t>
            </w:r>
            <w:r>
              <w:rPr>
                <w:i/>
                <w:sz w:val="20"/>
              </w:rPr>
              <w:t xml:space="preserve"> and </w:t>
            </w:r>
            <w:r w:rsidRPr="009C48DA">
              <w:rPr>
                <w:i/>
                <w:sz w:val="20"/>
              </w:rPr>
              <w:t>201</w:t>
            </w:r>
            <w:r>
              <w:rPr>
                <w:i/>
                <w:sz w:val="20"/>
              </w:rPr>
              <w:t>2 based on mass</w:t>
            </w:r>
            <w:r w:rsidR="00C42604">
              <w:rPr>
                <w:i/>
                <w:sz w:val="20"/>
              </w:rPr>
              <w:t xml:space="preserve"> in tonnes</w:t>
            </w:r>
            <w:bookmarkEnd w:id="45"/>
          </w:p>
        </w:tc>
      </w:tr>
      <w:tr w:rsidR="00241A71" w:rsidRPr="00042727" w14:paraId="16657AAE" w14:textId="77777777" w:rsidTr="00140F2C">
        <w:tc>
          <w:tcPr>
            <w:tcW w:w="9605" w:type="dxa"/>
            <w:vAlign w:val="center"/>
          </w:tcPr>
          <w:p w14:paraId="46C88A11" w14:textId="73AEF844" w:rsidR="00241A71" w:rsidRPr="005D159D" w:rsidRDefault="00F84336" w:rsidP="00F84336">
            <w:pPr>
              <w:spacing w:before="60" w:after="60"/>
              <w:rPr>
                <w:i/>
              </w:rPr>
            </w:pPr>
            <w:r w:rsidRPr="00FA279D">
              <w:rPr>
                <w:noProof/>
                <w:sz w:val="20"/>
                <w:szCs w:val="20"/>
                <w:lang w:eastAsia="en-AU"/>
              </w:rPr>
              <w:t xml:space="preserve">Note: </w:t>
            </w:r>
            <w:r>
              <w:rPr>
                <w:noProof/>
                <w:sz w:val="20"/>
                <w:szCs w:val="20"/>
                <w:lang w:eastAsia="en-AU"/>
              </w:rPr>
              <w:t>Consumption estimates are based on top down (imports) versus bottom up (stock model) reconcilled except for 2012 where top down consuption was derived from 2011 imports adjusted to account for industry changes in behaviour (i.e. transition to other refrigerants, recycling, improved containment, etc.).</w:t>
            </w:r>
          </w:p>
        </w:tc>
      </w:tr>
    </w:tbl>
    <w:p w14:paraId="073AE70A" w14:textId="77777777" w:rsidR="007F3EA8" w:rsidRPr="007F3EA8" w:rsidRDefault="007F3EA8" w:rsidP="007F3EA8">
      <w:pPr>
        <w:spacing w:before="240"/>
        <w:rPr>
          <w:szCs w:val="22"/>
        </w:rPr>
      </w:pPr>
      <w:r w:rsidRPr="007F3EA8">
        <w:rPr>
          <w:szCs w:val="22"/>
        </w:rPr>
        <w:t xml:space="preserve">The bulk imports of HFC-410A seen here, even if running at the higher rate of more than 500 tonnes per year for the years 2007, 2008 and 2009, provide only a small part of the more than 10,000 tonne growth of the bank of HFC-410A in the period. This demonstrates how much of the dramatic growth in the bank of HFC-410A was driven by imports of equipment pre-charged with HFC-410A. </w:t>
      </w:r>
    </w:p>
    <w:p w14:paraId="79BE1DE1" w14:textId="77777777" w:rsidR="007F3EA8" w:rsidRPr="007F3EA8" w:rsidRDefault="007F3EA8" w:rsidP="007F3EA8">
      <w:pPr>
        <w:rPr>
          <w:szCs w:val="22"/>
        </w:rPr>
      </w:pPr>
      <w:r w:rsidRPr="007F3EA8">
        <w:rPr>
          <w:szCs w:val="22"/>
        </w:rPr>
        <w:t>This PCE driven addition to the bank of HFC-410A is almost entirely as a result of imports of pre-charged air conditioning systems, as the market moved away from the previously large imports of HCFC pre-charged air conditioning equipment, during a period when Australia saw an average of 1.1 million domestic and small commercial air conditioning systems imported every year.</w:t>
      </w:r>
    </w:p>
    <w:p w14:paraId="0D8D4A3C" w14:textId="368A498F" w:rsidR="007F3EA8" w:rsidRPr="007F3EA8" w:rsidRDefault="007F3EA8" w:rsidP="007F3EA8">
      <w:pPr>
        <w:rPr>
          <w:szCs w:val="22"/>
        </w:rPr>
      </w:pPr>
      <w:r w:rsidRPr="007F3EA8">
        <w:rPr>
          <w:szCs w:val="22"/>
        </w:rPr>
        <w:t xml:space="preserve">Around 6 per cent of bulk imports are consumed in applications that are not for refrigeration or air conditioning and do not form part of the working bank, such as for foam blowing (manufacture of insulating ‘styrofoam’ blocks), </w:t>
      </w:r>
      <w:r w:rsidR="007355A8">
        <w:rPr>
          <w:szCs w:val="22"/>
        </w:rPr>
        <w:t xml:space="preserve">in </w:t>
      </w:r>
      <w:r w:rsidRPr="007F3EA8">
        <w:rPr>
          <w:szCs w:val="22"/>
        </w:rPr>
        <w:t xml:space="preserve">fire protection systems and </w:t>
      </w:r>
      <w:r w:rsidR="007355A8">
        <w:rPr>
          <w:szCs w:val="22"/>
        </w:rPr>
        <w:t xml:space="preserve">in </w:t>
      </w:r>
      <w:r w:rsidRPr="007F3EA8">
        <w:rPr>
          <w:szCs w:val="22"/>
        </w:rPr>
        <w:t>aerosols. Additionally it is estimated that around 100 to 120</w:t>
      </w:r>
      <w:r w:rsidR="007355A8">
        <w:rPr>
          <w:szCs w:val="22"/>
        </w:rPr>
        <w:t xml:space="preserve"> tonnes</w:t>
      </w:r>
      <w:r w:rsidRPr="007F3EA8">
        <w:rPr>
          <w:szCs w:val="22"/>
        </w:rPr>
        <w:t xml:space="preserve"> of HFCs are exported, mostly in shipping vessels and in pre-charged equipment (i.e. 53 tonnes in 87,156 motor vehicles in 2012).</w:t>
      </w:r>
    </w:p>
    <w:p w14:paraId="15547041" w14:textId="1621D0DD" w:rsidR="00C3211A" w:rsidRPr="00C3211A" w:rsidRDefault="007F3EA8" w:rsidP="00C3211A">
      <w:pPr>
        <w:rPr>
          <w:szCs w:val="22"/>
        </w:rPr>
      </w:pPr>
      <w:r w:rsidRPr="007F3EA8">
        <w:rPr>
          <w:i/>
          <w:szCs w:val="22"/>
        </w:rPr>
        <w:t>Figure 7</w:t>
      </w:r>
      <w:r w:rsidRPr="007F3EA8">
        <w:rPr>
          <w:szCs w:val="22"/>
        </w:rPr>
        <w:t xml:space="preserve"> illustrates the dissection of HFC consumption and the refrigerant bank for 201</w:t>
      </w:r>
      <w:r w:rsidR="00381E08">
        <w:rPr>
          <w:szCs w:val="22"/>
        </w:rPr>
        <w:t>2</w:t>
      </w:r>
      <w:r w:rsidRPr="007F3EA8">
        <w:rPr>
          <w:szCs w:val="22"/>
        </w:rPr>
        <w:t xml:space="preserve"> by application in tonnes, and </w:t>
      </w:r>
      <w:r w:rsidRPr="007F3EA8">
        <w:rPr>
          <w:i/>
          <w:szCs w:val="22"/>
        </w:rPr>
        <w:t>Table 17</w:t>
      </w:r>
      <w:r w:rsidRPr="007F3EA8">
        <w:rPr>
          <w:szCs w:val="22"/>
        </w:rPr>
        <w:t xml:space="preserve"> provides a summary of estimated </w:t>
      </w:r>
      <w:r w:rsidR="00381E08">
        <w:rPr>
          <w:szCs w:val="22"/>
        </w:rPr>
        <w:t xml:space="preserve">consumption </w:t>
      </w:r>
      <w:r w:rsidRPr="007F3EA8">
        <w:rPr>
          <w:szCs w:val="22"/>
        </w:rPr>
        <w:t>volumes</w:t>
      </w:r>
      <w:r w:rsidR="00381E08">
        <w:rPr>
          <w:szCs w:val="22"/>
        </w:rPr>
        <w:t xml:space="preserve"> to service leaks</w:t>
      </w:r>
      <w:r w:rsidRPr="007F3EA8">
        <w:rPr>
          <w:szCs w:val="22"/>
        </w:rPr>
        <w:t>.</w:t>
      </w:r>
    </w:p>
    <w:p w14:paraId="5D527B00" w14:textId="77777777" w:rsidR="009C48DA" w:rsidRDefault="009C48DA" w:rsidP="009C48D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9C48DA" w:rsidRPr="005D159D" w14:paraId="49F24B7F" w14:textId="77777777" w:rsidTr="009C48DA">
        <w:tc>
          <w:tcPr>
            <w:tcW w:w="9639" w:type="dxa"/>
            <w:vAlign w:val="center"/>
          </w:tcPr>
          <w:p w14:paraId="40459F05" w14:textId="5117EB75" w:rsidR="009C48DA" w:rsidRPr="005D159D" w:rsidRDefault="009C48DA" w:rsidP="00807CA8">
            <w:pPr>
              <w:spacing w:after="120"/>
              <w:jc w:val="center"/>
              <w:rPr>
                <w:b/>
                <w:sz w:val="24"/>
              </w:rPr>
            </w:pPr>
            <w:r w:rsidRPr="005D159D">
              <w:rPr>
                <w:b/>
                <w:sz w:val="24"/>
              </w:rPr>
              <w:lastRenderedPageBreak/>
              <w:br w:type="page"/>
            </w:r>
            <w:r>
              <w:rPr>
                <w:b/>
                <w:sz w:val="24"/>
              </w:rPr>
              <w:t xml:space="preserve">HFC consumption in 2012 by </w:t>
            </w:r>
            <w:r w:rsidR="00807CA8">
              <w:rPr>
                <w:b/>
                <w:sz w:val="24"/>
              </w:rPr>
              <w:t>major class</w:t>
            </w:r>
            <w:r w:rsidRPr="005D159D">
              <w:rPr>
                <w:b/>
                <w:sz w:val="24"/>
              </w:rPr>
              <w:t xml:space="preserve"> </w:t>
            </w:r>
          </w:p>
        </w:tc>
      </w:tr>
      <w:tr w:rsidR="009C48DA" w:rsidRPr="00BD20BC" w14:paraId="3D98E45B" w14:textId="77777777" w:rsidTr="009C48DA">
        <w:tc>
          <w:tcPr>
            <w:tcW w:w="9639" w:type="dxa"/>
            <w:vAlign w:val="center"/>
          </w:tcPr>
          <w:p w14:paraId="17E29BD2" w14:textId="18B187C8" w:rsidR="009C48DA" w:rsidRDefault="00AC2DEA" w:rsidP="009C48DA">
            <w:pPr>
              <w:jc w:val="center"/>
              <w:rPr>
                <w:sz w:val="16"/>
                <w:szCs w:val="16"/>
              </w:rPr>
            </w:pPr>
            <w:r>
              <w:rPr>
                <w:noProof/>
                <w:lang w:val="en-US"/>
              </w:rPr>
              <w:drawing>
                <wp:inline distT="0" distB="0" distL="0" distR="0" wp14:anchorId="6DB2B8C7" wp14:editId="1F6D73FE">
                  <wp:extent cx="5486400" cy="384048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808C72" w14:textId="77777777" w:rsidR="009C48DA" w:rsidRPr="00BD20BC" w:rsidRDefault="009C48DA" w:rsidP="009C48DA">
            <w:pPr>
              <w:jc w:val="center"/>
              <w:rPr>
                <w:sz w:val="16"/>
                <w:szCs w:val="16"/>
              </w:rPr>
            </w:pPr>
          </w:p>
        </w:tc>
      </w:tr>
      <w:tr w:rsidR="00E837D8" w:rsidRPr="00042727" w14:paraId="1BDFB90B" w14:textId="77777777" w:rsidTr="009C48DA">
        <w:tc>
          <w:tcPr>
            <w:tcW w:w="9639" w:type="dxa"/>
            <w:vAlign w:val="center"/>
          </w:tcPr>
          <w:p w14:paraId="15849F4B" w14:textId="5D99849C" w:rsidR="00E837D8" w:rsidRPr="005D159D" w:rsidRDefault="00E837D8" w:rsidP="00807CA8">
            <w:pPr>
              <w:spacing w:before="60" w:after="60"/>
              <w:rPr>
                <w:i/>
                <w:sz w:val="20"/>
              </w:rPr>
            </w:pPr>
            <w:bookmarkStart w:id="46" w:name="_Toc233083983"/>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7</w:t>
            </w:r>
            <w:r w:rsidRPr="005D159D">
              <w:rPr>
                <w:i/>
                <w:sz w:val="20"/>
              </w:rPr>
              <w:fldChar w:fldCharType="end"/>
            </w:r>
            <w:r w:rsidRPr="005D159D">
              <w:rPr>
                <w:i/>
                <w:sz w:val="20"/>
              </w:rPr>
              <w:t xml:space="preserve">: </w:t>
            </w:r>
            <w:r>
              <w:rPr>
                <w:i/>
                <w:sz w:val="20"/>
              </w:rPr>
              <w:t xml:space="preserve">Estimated HFC consumption in 2012 </w:t>
            </w:r>
            <w:r w:rsidRPr="009C48DA">
              <w:rPr>
                <w:i/>
                <w:sz w:val="20"/>
              </w:rPr>
              <w:t xml:space="preserve">by </w:t>
            </w:r>
            <w:r>
              <w:rPr>
                <w:i/>
                <w:sz w:val="20"/>
              </w:rPr>
              <w:t>major class</w:t>
            </w:r>
            <w:r w:rsidRPr="009C48DA">
              <w:rPr>
                <w:i/>
                <w:sz w:val="20"/>
              </w:rPr>
              <w:t xml:space="preserve"> </w:t>
            </w:r>
            <w:r>
              <w:rPr>
                <w:i/>
                <w:sz w:val="20"/>
              </w:rPr>
              <w:t>based on mass</w:t>
            </w:r>
            <w:bookmarkEnd w:id="46"/>
          </w:p>
        </w:tc>
      </w:tr>
    </w:tbl>
    <w:p w14:paraId="783C87E8" w14:textId="5AAB5505" w:rsidR="003B0686" w:rsidRPr="005F51BB" w:rsidRDefault="003B0686" w:rsidP="003B0686">
      <w:pPr>
        <w:spacing w:before="0"/>
        <w:rPr>
          <w:sz w:val="20"/>
          <w:szCs w:val="20"/>
        </w:rPr>
      </w:pPr>
      <w:r w:rsidRPr="005F51BB">
        <w:rPr>
          <w:sz w:val="20"/>
          <w:szCs w:val="20"/>
        </w:rPr>
        <w:t xml:space="preserve">(Source: </w:t>
      </w:r>
      <w:r w:rsidR="00AC0F6F">
        <w:rPr>
          <w:sz w:val="20"/>
          <w:szCs w:val="20"/>
        </w:rPr>
        <w:t>CHF2 stock</w:t>
      </w:r>
      <w:r w:rsidRPr="005F51BB">
        <w:rPr>
          <w:sz w:val="20"/>
          <w:szCs w:val="20"/>
        </w:rPr>
        <w:t xml:space="preserve"> model)</w:t>
      </w:r>
    </w:p>
    <w:p w14:paraId="547ECDC6" w14:textId="77777777" w:rsidR="008047D5" w:rsidRDefault="008047D5" w:rsidP="00A9129A">
      <w:pPr>
        <w:pStyle w:val="Heading2"/>
        <w:numPr>
          <w:ilvl w:val="0"/>
          <w:numId w:val="0"/>
        </w:numPr>
        <w:spacing w:after="0"/>
        <w:rPr>
          <w:rFonts w:ascii="Times New Roman" w:eastAsiaTheme="minorEastAsia" w:hAnsi="Times New Roman" w:cstheme="minorBidi"/>
          <w:b w:val="0"/>
          <w:bCs w:val="0"/>
          <w:i w:val="0"/>
          <w:iCs w:val="0"/>
          <w:sz w:val="22"/>
          <w:szCs w:val="22"/>
          <w:lang w:val="en-GB"/>
        </w:rPr>
      </w:pPr>
    </w:p>
    <w:p w14:paraId="1FA8F541" w14:textId="1F527186" w:rsidR="008047D5" w:rsidRPr="005D159D" w:rsidRDefault="008047D5" w:rsidP="008047D5">
      <w:pPr>
        <w:rPr>
          <w:i/>
          <w:szCs w:val="22"/>
        </w:rPr>
      </w:pPr>
      <w:bookmarkStart w:id="47" w:name="_Toc233084060"/>
      <w:r w:rsidRPr="005D159D">
        <w:rPr>
          <w:i/>
          <w:szCs w:val="22"/>
        </w:rPr>
        <w:t xml:space="preserve">Table </w:t>
      </w:r>
      <w:r w:rsidRPr="005D159D">
        <w:rPr>
          <w:i/>
          <w:szCs w:val="22"/>
        </w:rPr>
        <w:fldChar w:fldCharType="begin"/>
      </w:r>
      <w:r w:rsidRPr="005D159D">
        <w:rPr>
          <w:i/>
          <w:szCs w:val="22"/>
        </w:rPr>
        <w:instrText xml:space="preserve"> SEQ Table \* ARABIC </w:instrText>
      </w:r>
      <w:r w:rsidRPr="005D159D">
        <w:rPr>
          <w:i/>
          <w:szCs w:val="22"/>
        </w:rPr>
        <w:fldChar w:fldCharType="separate"/>
      </w:r>
      <w:r w:rsidR="00196462">
        <w:rPr>
          <w:i/>
          <w:noProof/>
          <w:szCs w:val="22"/>
        </w:rPr>
        <w:t>16</w:t>
      </w:r>
      <w:r w:rsidRPr="005D159D">
        <w:rPr>
          <w:i/>
          <w:szCs w:val="22"/>
        </w:rPr>
        <w:fldChar w:fldCharType="end"/>
      </w:r>
      <w:r w:rsidRPr="005D159D">
        <w:rPr>
          <w:i/>
          <w:szCs w:val="22"/>
        </w:rPr>
        <w:t xml:space="preserve">: </w:t>
      </w:r>
      <w:r w:rsidRPr="008047D5">
        <w:rPr>
          <w:i/>
          <w:szCs w:val="22"/>
        </w:rPr>
        <w:t xml:space="preserve">Estimates of 2012 HCFC and HFC gas consumption and refrigerant bank by major </w:t>
      </w:r>
      <w:r w:rsidR="00807CA8">
        <w:rPr>
          <w:i/>
          <w:szCs w:val="22"/>
        </w:rPr>
        <w:t>class</w:t>
      </w:r>
      <w:bookmarkEnd w:id="4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79"/>
        <w:gridCol w:w="2685"/>
        <w:gridCol w:w="2541"/>
      </w:tblGrid>
      <w:tr w:rsidR="00865893" w:rsidRPr="00923150" w14:paraId="6122B8AA" w14:textId="77777777" w:rsidTr="00230E2E">
        <w:trPr>
          <w:trHeight w:val="684"/>
        </w:trPr>
        <w:tc>
          <w:tcPr>
            <w:tcW w:w="4395" w:type="dxa"/>
            <w:tcBorders>
              <w:top w:val="single" w:sz="8" w:space="0" w:color="auto"/>
              <w:left w:val="single" w:sz="8" w:space="0" w:color="auto"/>
              <w:bottom w:val="single" w:sz="8" w:space="0" w:color="auto"/>
              <w:right w:val="single" w:sz="4" w:space="0" w:color="FFFFFF"/>
            </w:tcBorders>
            <w:shd w:val="clear" w:color="auto" w:fill="000000"/>
            <w:vAlign w:val="center"/>
          </w:tcPr>
          <w:p w14:paraId="2FD58DAA" w14:textId="284B3633" w:rsidR="008047D5" w:rsidRPr="00923150" w:rsidRDefault="008047D5" w:rsidP="008047D5">
            <w:pPr>
              <w:spacing w:after="120"/>
              <w:ind w:left="284"/>
            </w:pPr>
            <w:r>
              <w:t>End-use</w:t>
            </w:r>
          </w:p>
        </w:tc>
        <w:tc>
          <w:tcPr>
            <w:tcW w:w="2693" w:type="dxa"/>
            <w:tcBorders>
              <w:top w:val="single" w:sz="8" w:space="0" w:color="auto"/>
              <w:left w:val="single" w:sz="4" w:space="0" w:color="FFFFFF"/>
              <w:bottom w:val="single" w:sz="8" w:space="0" w:color="auto"/>
              <w:right w:val="single" w:sz="4" w:space="0" w:color="FFFFFF"/>
            </w:tcBorders>
            <w:shd w:val="clear" w:color="auto" w:fill="000000"/>
            <w:vAlign w:val="center"/>
          </w:tcPr>
          <w:p w14:paraId="2EA87E70" w14:textId="75D744EB" w:rsidR="008047D5" w:rsidRPr="00923150" w:rsidRDefault="008047D5" w:rsidP="008047D5">
            <w:pPr>
              <w:spacing w:after="120"/>
              <w:jc w:val="center"/>
            </w:pPr>
            <w:r>
              <w:t>2012 Consumption (t)</w:t>
            </w:r>
          </w:p>
        </w:tc>
        <w:tc>
          <w:tcPr>
            <w:tcW w:w="2551" w:type="dxa"/>
            <w:tcBorders>
              <w:top w:val="single" w:sz="8" w:space="0" w:color="auto"/>
              <w:left w:val="single" w:sz="4" w:space="0" w:color="FFFFFF"/>
              <w:bottom w:val="single" w:sz="8" w:space="0" w:color="auto"/>
              <w:right w:val="single" w:sz="8" w:space="0" w:color="auto"/>
            </w:tcBorders>
            <w:shd w:val="clear" w:color="auto" w:fill="000000"/>
            <w:vAlign w:val="center"/>
          </w:tcPr>
          <w:p w14:paraId="110753B3" w14:textId="5E7BF277" w:rsidR="008047D5" w:rsidRPr="00923150" w:rsidRDefault="008047D5" w:rsidP="008047D5">
            <w:pPr>
              <w:spacing w:after="120"/>
              <w:jc w:val="center"/>
            </w:pPr>
            <w:r>
              <w:t>2012 Bank (t)</w:t>
            </w:r>
          </w:p>
        </w:tc>
      </w:tr>
      <w:tr w:rsidR="00865893" w:rsidRPr="00923150" w14:paraId="45B035FF" w14:textId="77777777" w:rsidTr="00865893">
        <w:trPr>
          <w:trHeight w:val="456"/>
        </w:trPr>
        <w:tc>
          <w:tcPr>
            <w:tcW w:w="4395" w:type="dxa"/>
            <w:tcBorders>
              <w:top w:val="single" w:sz="8" w:space="0" w:color="auto"/>
            </w:tcBorders>
            <w:vAlign w:val="center"/>
          </w:tcPr>
          <w:p w14:paraId="0C134C45" w14:textId="7BC5E328" w:rsidR="008047D5" w:rsidRPr="00923150" w:rsidRDefault="008047D5" w:rsidP="008047D5">
            <w:pPr>
              <w:spacing w:before="60" w:after="60"/>
              <w:ind w:left="284"/>
              <w:rPr>
                <w:sz w:val="20"/>
              </w:rPr>
            </w:pPr>
            <w:r w:rsidRPr="009C4F38">
              <w:t>Domestic refrigeration</w:t>
            </w:r>
          </w:p>
        </w:tc>
        <w:tc>
          <w:tcPr>
            <w:tcW w:w="2693" w:type="dxa"/>
            <w:tcBorders>
              <w:top w:val="single" w:sz="8" w:space="0" w:color="auto"/>
            </w:tcBorders>
            <w:vAlign w:val="center"/>
          </w:tcPr>
          <w:p w14:paraId="5B61A5DE" w14:textId="6510122F" w:rsidR="008047D5" w:rsidRPr="008343EF" w:rsidRDefault="008047D5" w:rsidP="008047D5">
            <w:pPr>
              <w:spacing w:before="60" w:after="60"/>
              <w:jc w:val="center"/>
              <w:rPr>
                <w:sz w:val="20"/>
              </w:rPr>
            </w:pPr>
            <w:r w:rsidRPr="009C4F38">
              <w:t>30</w:t>
            </w:r>
          </w:p>
        </w:tc>
        <w:tc>
          <w:tcPr>
            <w:tcW w:w="2551" w:type="dxa"/>
            <w:tcBorders>
              <w:top w:val="single" w:sz="8" w:space="0" w:color="auto"/>
            </w:tcBorders>
            <w:vAlign w:val="center"/>
          </w:tcPr>
          <w:p w14:paraId="4C251555" w14:textId="0A915407" w:rsidR="008047D5" w:rsidRPr="00923150" w:rsidRDefault="008047D5" w:rsidP="008047D5">
            <w:pPr>
              <w:spacing w:before="60" w:after="60"/>
              <w:jc w:val="center"/>
              <w:rPr>
                <w:sz w:val="20"/>
              </w:rPr>
            </w:pPr>
            <w:r w:rsidRPr="009C4F38">
              <w:t>2,200</w:t>
            </w:r>
          </w:p>
        </w:tc>
      </w:tr>
      <w:tr w:rsidR="00865893" w:rsidRPr="00923150" w14:paraId="66297A6D" w14:textId="77777777" w:rsidTr="00865893">
        <w:trPr>
          <w:trHeight w:val="456"/>
        </w:trPr>
        <w:tc>
          <w:tcPr>
            <w:tcW w:w="4395" w:type="dxa"/>
            <w:vAlign w:val="center"/>
          </w:tcPr>
          <w:p w14:paraId="1414427E" w14:textId="7CABDC1B" w:rsidR="008047D5" w:rsidRDefault="00B948FC" w:rsidP="008047D5">
            <w:pPr>
              <w:spacing w:before="60" w:after="60"/>
              <w:ind w:left="284"/>
              <w:rPr>
                <w:sz w:val="20"/>
              </w:rPr>
            </w:pPr>
            <w:r>
              <w:t>Refrigerated cold food chain</w:t>
            </w:r>
            <w:r w:rsidR="008047D5" w:rsidRPr="009C4F38">
              <w:t xml:space="preserve"> </w:t>
            </w:r>
          </w:p>
        </w:tc>
        <w:tc>
          <w:tcPr>
            <w:tcW w:w="2693" w:type="dxa"/>
            <w:vAlign w:val="center"/>
          </w:tcPr>
          <w:p w14:paraId="6847A0DB" w14:textId="0181E446" w:rsidR="008047D5" w:rsidRDefault="008047D5" w:rsidP="008047D5">
            <w:pPr>
              <w:spacing w:before="60" w:after="60"/>
              <w:jc w:val="center"/>
              <w:rPr>
                <w:sz w:val="20"/>
              </w:rPr>
            </w:pPr>
            <w:r w:rsidRPr="009C4F38">
              <w:t>955</w:t>
            </w:r>
          </w:p>
        </w:tc>
        <w:tc>
          <w:tcPr>
            <w:tcW w:w="2551" w:type="dxa"/>
            <w:vAlign w:val="center"/>
          </w:tcPr>
          <w:p w14:paraId="1EF2DD88" w14:textId="13B5CDD6" w:rsidR="008047D5" w:rsidRDefault="008047D5" w:rsidP="008047D5">
            <w:pPr>
              <w:spacing w:before="60" w:after="60"/>
              <w:jc w:val="center"/>
              <w:rPr>
                <w:sz w:val="20"/>
              </w:rPr>
            </w:pPr>
            <w:r w:rsidRPr="009C4F38">
              <w:t>5,000</w:t>
            </w:r>
          </w:p>
        </w:tc>
      </w:tr>
      <w:tr w:rsidR="00865893" w:rsidRPr="00923150" w14:paraId="678069CA" w14:textId="77777777" w:rsidTr="00865893">
        <w:trPr>
          <w:trHeight w:val="456"/>
        </w:trPr>
        <w:tc>
          <w:tcPr>
            <w:tcW w:w="4395" w:type="dxa"/>
            <w:vAlign w:val="center"/>
          </w:tcPr>
          <w:p w14:paraId="604AA780" w14:textId="479EDA22" w:rsidR="008047D5" w:rsidRDefault="008047D5" w:rsidP="008047D5">
            <w:pPr>
              <w:spacing w:before="60" w:after="60"/>
              <w:ind w:left="284"/>
              <w:rPr>
                <w:sz w:val="20"/>
              </w:rPr>
            </w:pPr>
            <w:r w:rsidRPr="009C4F38">
              <w:t>Stationary air conditioning</w:t>
            </w:r>
          </w:p>
        </w:tc>
        <w:tc>
          <w:tcPr>
            <w:tcW w:w="2693" w:type="dxa"/>
            <w:vAlign w:val="center"/>
          </w:tcPr>
          <w:p w14:paraId="2B08B5AA" w14:textId="424A47D2" w:rsidR="008047D5" w:rsidRDefault="008047D5" w:rsidP="008047D5">
            <w:pPr>
              <w:spacing w:before="60" w:after="60"/>
              <w:jc w:val="center"/>
              <w:rPr>
                <w:sz w:val="20"/>
              </w:rPr>
            </w:pPr>
            <w:r w:rsidRPr="009C4F38">
              <w:t>1,769</w:t>
            </w:r>
          </w:p>
        </w:tc>
        <w:tc>
          <w:tcPr>
            <w:tcW w:w="2551" w:type="dxa"/>
            <w:vAlign w:val="center"/>
          </w:tcPr>
          <w:p w14:paraId="082DFE46" w14:textId="67AD2855" w:rsidR="008047D5" w:rsidRDefault="008047D5" w:rsidP="008047D5">
            <w:pPr>
              <w:spacing w:before="60" w:after="60"/>
              <w:jc w:val="center"/>
              <w:rPr>
                <w:sz w:val="20"/>
              </w:rPr>
            </w:pPr>
            <w:r w:rsidRPr="009C4F38">
              <w:t>27,200</w:t>
            </w:r>
          </w:p>
        </w:tc>
      </w:tr>
      <w:tr w:rsidR="00865893" w:rsidRPr="00923150" w14:paraId="59198087" w14:textId="77777777" w:rsidTr="00865893">
        <w:trPr>
          <w:trHeight w:val="456"/>
        </w:trPr>
        <w:tc>
          <w:tcPr>
            <w:tcW w:w="4395" w:type="dxa"/>
            <w:vAlign w:val="center"/>
          </w:tcPr>
          <w:p w14:paraId="44676A96" w14:textId="5AD189DA" w:rsidR="008047D5" w:rsidRDefault="008047D5" w:rsidP="008047D5">
            <w:pPr>
              <w:spacing w:before="60" w:after="60"/>
              <w:ind w:left="284"/>
              <w:rPr>
                <w:sz w:val="20"/>
              </w:rPr>
            </w:pPr>
            <w:r w:rsidRPr="009C4F38">
              <w:t>Mobile air conditioning</w:t>
            </w:r>
          </w:p>
        </w:tc>
        <w:tc>
          <w:tcPr>
            <w:tcW w:w="2693" w:type="dxa"/>
            <w:vAlign w:val="center"/>
          </w:tcPr>
          <w:p w14:paraId="4E70CE2A" w14:textId="759CFA51" w:rsidR="008047D5" w:rsidRDefault="008047D5" w:rsidP="008047D5">
            <w:pPr>
              <w:spacing w:before="60" w:after="60"/>
              <w:jc w:val="center"/>
              <w:rPr>
                <w:sz w:val="20"/>
              </w:rPr>
            </w:pPr>
            <w:r w:rsidRPr="009C4F38">
              <w:t>1,214</w:t>
            </w:r>
          </w:p>
        </w:tc>
        <w:tc>
          <w:tcPr>
            <w:tcW w:w="2551" w:type="dxa"/>
            <w:vAlign w:val="center"/>
          </w:tcPr>
          <w:p w14:paraId="58A1FAA5" w14:textId="6E87D30C" w:rsidR="008047D5" w:rsidRDefault="008047D5" w:rsidP="008047D5">
            <w:pPr>
              <w:spacing w:before="60" w:after="60"/>
              <w:jc w:val="center"/>
              <w:rPr>
                <w:sz w:val="20"/>
              </w:rPr>
            </w:pPr>
            <w:r w:rsidRPr="009C4F38">
              <w:t>9,100</w:t>
            </w:r>
          </w:p>
        </w:tc>
      </w:tr>
      <w:tr w:rsidR="00865893" w:rsidRPr="00923150" w14:paraId="77173746" w14:textId="77777777" w:rsidTr="00865893">
        <w:trPr>
          <w:trHeight w:val="456"/>
        </w:trPr>
        <w:tc>
          <w:tcPr>
            <w:tcW w:w="4395" w:type="dxa"/>
            <w:vAlign w:val="center"/>
          </w:tcPr>
          <w:p w14:paraId="68EE7CE2" w14:textId="6BB8640D" w:rsidR="008047D5" w:rsidRPr="003D5DAC" w:rsidRDefault="008047D5" w:rsidP="008047D5">
            <w:pPr>
              <w:spacing w:before="60" w:after="60"/>
              <w:ind w:left="284"/>
            </w:pPr>
            <w:r w:rsidRPr="009C4F38">
              <w:t>Foams</w:t>
            </w:r>
          </w:p>
        </w:tc>
        <w:tc>
          <w:tcPr>
            <w:tcW w:w="2693" w:type="dxa"/>
            <w:vAlign w:val="center"/>
          </w:tcPr>
          <w:p w14:paraId="2039D4F4" w14:textId="1BE327C2" w:rsidR="008047D5" w:rsidRPr="003D5DAC" w:rsidRDefault="008047D5" w:rsidP="008047D5">
            <w:pPr>
              <w:spacing w:before="60" w:after="60"/>
              <w:jc w:val="center"/>
            </w:pPr>
            <w:r w:rsidRPr="009C4F38">
              <w:t>150</w:t>
            </w:r>
          </w:p>
        </w:tc>
        <w:tc>
          <w:tcPr>
            <w:tcW w:w="2551" w:type="dxa"/>
            <w:vAlign w:val="center"/>
          </w:tcPr>
          <w:p w14:paraId="65AB48DD" w14:textId="7478F9A4" w:rsidR="008047D5" w:rsidRPr="003D5DAC" w:rsidRDefault="008047D5" w:rsidP="008047D5">
            <w:pPr>
              <w:spacing w:before="60" w:after="60"/>
              <w:jc w:val="center"/>
            </w:pPr>
            <w:r w:rsidRPr="009C4F38">
              <w:t>-</w:t>
            </w:r>
          </w:p>
        </w:tc>
      </w:tr>
      <w:tr w:rsidR="00865893" w:rsidRPr="00923150" w14:paraId="067D6155" w14:textId="77777777" w:rsidTr="00865893">
        <w:trPr>
          <w:trHeight w:val="456"/>
        </w:trPr>
        <w:tc>
          <w:tcPr>
            <w:tcW w:w="4395" w:type="dxa"/>
            <w:vAlign w:val="center"/>
          </w:tcPr>
          <w:p w14:paraId="0E6B0660" w14:textId="600E034F" w:rsidR="008047D5" w:rsidRPr="003D5DAC" w:rsidRDefault="008047D5" w:rsidP="008047D5">
            <w:pPr>
              <w:spacing w:before="60" w:after="60"/>
              <w:ind w:left="284"/>
            </w:pPr>
            <w:r w:rsidRPr="009C4F38">
              <w:t>Fire protection</w:t>
            </w:r>
          </w:p>
        </w:tc>
        <w:tc>
          <w:tcPr>
            <w:tcW w:w="2693" w:type="dxa"/>
            <w:vAlign w:val="center"/>
          </w:tcPr>
          <w:p w14:paraId="3AE057AF" w14:textId="14A1DBEC" w:rsidR="008047D5" w:rsidRPr="003D5DAC" w:rsidRDefault="008047D5" w:rsidP="008047D5">
            <w:pPr>
              <w:spacing w:before="60" w:after="60"/>
              <w:jc w:val="center"/>
            </w:pPr>
            <w:r w:rsidRPr="009C4F38">
              <w:t>50</w:t>
            </w:r>
          </w:p>
        </w:tc>
        <w:tc>
          <w:tcPr>
            <w:tcW w:w="2551" w:type="dxa"/>
            <w:vAlign w:val="center"/>
          </w:tcPr>
          <w:p w14:paraId="4B90A100" w14:textId="207EA7A1" w:rsidR="008047D5" w:rsidRPr="003D5DAC" w:rsidRDefault="008047D5" w:rsidP="008047D5">
            <w:pPr>
              <w:spacing w:before="60" w:after="60"/>
              <w:jc w:val="center"/>
            </w:pPr>
            <w:r w:rsidRPr="009C4F38">
              <w:t>-</w:t>
            </w:r>
          </w:p>
        </w:tc>
      </w:tr>
      <w:tr w:rsidR="00865893" w:rsidRPr="00923150" w14:paraId="57DAF2AB" w14:textId="77777777" w:rsidTr="00865893">
        <w:trPr>
          <w:trHeight w:val="456"/>
        </w:trPr>
        <w:tc>
          <w:tcPr>
            <w:tcW w:w="4395" w:type="dxa"/>
            <w:vAlign w:val="center"/>
          </w:tcPr>
          <w:p w14:paraId="72DCC779" w14:textId="35F19C7D" w:rsidR="008047D5" w:rsidRPr="003D5DAC" w:rsidRDefault="008047D5" w:rsidP="008047D5">
            <w:pPr>
              <w:spacing w:before="60" w:after="60"/>
              <w:ind w:left="284"/>
            </w:pPr>
            <w:r w:rsidRPr="009C4F38">
              <w:t>Other (incl. aerosols, R&amp;D, direct export)</w:t>
            </w:r>
          </w:p>
        </w:tc>
        <w:tc>
          <w:tcPr>
            <w:tcW w:w="2693" w:type="dxa"/>
            <w:vAlign w:val="center"/>
          </w:tcPr>
          <w:p w14:paraId="1ADD4F31" w14:textId="110D2873" w:rsidR="008047D5" w:rsidRPr="003D5DAC" w:rsidRDefault="008047D5" w:rsidP="008047D5">
            <w:pPr>
              <w:spacing w:before="60" w:after="60"/>
              <w:jc w:val="center"/>
            </w:pPr>
            <w:r w:rsidRPr="009C4F38">
              <w:t>72</w:t>
            </w:r>
          </w:p>
        </w:tc>
        <w:tc>
          <w:tcPr>
            <w:tcW w:w="2551" w:type="dxa"/>
            <w:vAlign w:val="center"/>
          </w:tcPr>
          <w:p w14:paraId="3733C35F" w14:textId="40D590BB" w:rsidR="008047D5" w:rsidRPr="003D5DAC" w:rsidRDefault="008047D5" w:rsidP="008047D5">
            <w:pPr>
              <w:spacing w:before="60" w:after="60"/>
              <w:jc w:val="center"/>
            </w:pPr>
            <w:r w:rsidRPr="009C4F38">
              <w:t>-</w:t>
            </w:r>
          </w:p>
        </w:tc>
      </w:tr>
      <w:tr w:rsidR="00865893" w:rsidRPr="00923150" w14:paraId="5E65D883" w14:textId="77777777" w:rsidTr="00865893">
        <w:trPr>
          <w:trHeight w:val="456"/>
        </w:trPr>
        <w:tc>
          <w:tcPr>
            <w:tcW w:w="4395" w:type="dxa"/>
            <w:tcBorders>
              <w:top w:val="double" w:sz="4" w:space="0" w:color="auto"/>
            </w:tcBorders>
            <w:vAlign w:val="center"/>
          </w:tcPr>
          <w:p w14:paraId="5F9CC0D5" w14:textId="04F4EDC6" w:rsidR="008047D5" w:rsidRPr="00923150" w:rsidRDefault="008047D5" w:rsidP="008047D5">
            <w:pPr>
              <w:spacing w:before="60" w:after="60"/>
              <w:ind w:left="284"/>
              <w:rPr>
                <w:sz w:val="20"/>
              </w:rPr>
            </w:pPr>
            <w:r w:rsidRPr="00B61AA0">
              <w:t>Total</w:t>
            </w:r>
          </w:p>
        </w:tc>
        <w:tc>
          <w:tcPr>
            <w:tcW w:w="2693" w:type="dxa"/>
            <w:tcBorders>
              <w:top w:val="double" w:sz="4" w:space="0" w:color="auto"/>
            </w:tcBorders>
            <w:vAlign w:val="center"/>
          </w:tcPr>
          <w:p w14:paraId="1B9EA18B" w14:textId="4B63DC2A" w:rsidR="008047D5" w:rsidRPr="008343EF" w:rsidRDefault="008047D5" w:rsidP="008047D5">
            <w:pPr>
              <w:spacing w:before="60" w:after="60"/>
              <w:jc w:val="center"/>
              <w:rPr>
                <w:sz w:val="20"/>
              </w:rPr>
            </w:pPr>
            <w:r w:rsidRPr="00B61AA0">
              <w:t>4,240</w:t>
            </w:r>
          </w:p>
        </w:tc>
        <w:tc>
          <w:tcPr>
            <w:tcW w:w="2551" w:type="dxa"/>
            <w:tcBorders>
              <w:top w:val="double" w:sz="4" w:space="0" w:color="auto"/>
            </w:tcBorders>
            <w:vAlign w:val="center"/>
          </w:tcPr>
          <w:p w14:paraId="2FA81622" w14:textId="5665489E" w:rsidR="008047D5" w:rsidRPr="00923150" w:rsidRDefault="008047D5" w:rsidP="008047D5">
            <w:pPr>
              <w:spacing w:before="60" w:after="60"/>
              <w:jc w:val="center"/>
              <w:rPr>
                <w:sz w:val="20"/>
              </w:rPr>
            </w:pPr>
            <w:r w:rsidRPr="00B61AA0">
              <w:t>43,500</w:t>
            </w:r>
          </w:p>
        </w:tc>
      </w:tr>
    </w:tbl>
    <w:p w14:paraId="3B1A2661" w14:textId="65580695" w:rsidR="003B0686" w:rsidRPr="005F51BB" w:rsidRDefault="003B0686" w:rsidP="003B0686">
      <w:pPr>
        <w:spacing w:before="0"/>
        <w:rPr>
          <w:sz w:val="20"/>
          <w:szCs w:val="20"/>
        </w:rPr>
      </w:pPr>
      <w:r w:rsidRPr="005F51BB">
        <w:rPr>
          <w:sz w:val="20"/>
          <w:szCs w:val="20"/>
        </w:rPr>
        <w:t xml:space="preserve">(Source: </w:t>
      </w:r>
      <w:r w:rsidR="00AC0F6F">
        <w:rPr>
          <w:sz w:val="20"/>
          <w:szCs w:val="20"/>
        </w:rPr>
        <w:t>CHF2 stock</w:t>
      </w:r>
      <w:r w:rsidRPr="005F51BB">
        <w:rPr>
          <w:sz w:val="20"/>
          <w:szCs w:val="20"/>
        </w:rPr>
        <w:t xml:space="preserve"> model)</w:t>
      </w:r>
    </w:p>
    <w:p w14:paraId="13389D99" w14:textId="361A332A" w:rsidR="00865893" w:rsidRPr="00865893" w:rsidRDefault="00865893" w:rsidP="00865893">
      <w:pPr>
        <w:pStyle w:val="Heading3"/>
        <w:rPr>
          <w:rFonts w:eastAsiaTheme="minorEastAsia"/>
        </w:rPr>
      </w:pPr>
      <w:bookmarkStart w:id="48" w:name="_Toc233084153"/>
      <w:r>
        <w:lastRenderedPageBreak/>
        <w:t>Pre-</w:t>
      </w:r>
      <w:r w:rsidR="00C87AB0">
        <w:t>c</w:t>
      </w:r>
      <w:r>
        <w:t xml:space="preserve">harged </w:t>
      </w:r>
      <w:r w:rsidR="00C87AB0">
        <w:t>e</w:t>
      </w:r>
      <w:r>
        <w:t>quipment (PCE) imports</w:t>
      </w:r>
      <w:bookmarkEnd w:id="48"/>
    </w:p>
    <w:p w14:paraId="6AC93CAD" w14:textId="014AAEDB" w:rsidR="00CB3BC3" w:rsidRPr="00CB3BC3" w:rsidRDefault="00CB3BC3" w:rsidP="00CB3BC3">
      <w:pPr>
        <w:rPr>
          <w:szCs w:val="22"/>
        </w:rPr>
      </w:pPr>
      <w:r w:rsidRPr="00CB3BC3">
        <w:rPr>
          <w:szCs w:val="22"/>
        </w:rPr>
        <w:t xml:space="preserve">The second means by which the bank of refrigerant gas grows is through the import of ‘pre-charged’ equipment (PCE). Imports of PCE have been running at historically high levels for the last decade, almost entirely as a result of the demand that occurred for small wall hung split air conditioning systems. This growth in demand was driven by </w:t>
      </w:r>
      <w:r w:rsidR="00391135">
        <w:rPr>
          <w:szCs w:val="22"/>
        </w:rPr>
        <w:t>dramatical</w:t>
      </w:r>
      <w:r w:rsidRPr="00CB3BC3">
        <w:rPr>
          <w:szCs w:val="22"/>
        </w:rPr>
        <w:t>ly lower prices</w:t>
      </w:r>
      <w:r w:rsidR="00391135">
        <w:rPr>
          <w:szCs w:val="22"/>
        </w:rPr>
        <w:t xml:space="preserve"> for small split air conditioning systems</w:t>
      </w:r>
      <w:r w:rsidRPr="00CB3BC3">
        <w:rPr>
          <w:szCs w:val="22"/>
        </w:rPr>
        <w:t xml:space="preserve"> as a result of new manufacturing capacity coming on line, largely in China and Thailand</w:t>
      </w:r>
      <w:r w:rsidR="00391135">
        <w:rPr>
          <w:szCs w:val="22"/>
        </w:rPr>
        <w:t>.</w:t>
      </w:r>
    </w:p>
    <w:p w14:paraId="4529A412" w14:textId="4978EED0" w:rsidR="00CB3BC3" w:rsidRPr="00CB3BC3" w:rsidRDefault="00CB3BC3" w:rsidP="00CB3BC3">
      <w:pPr>
        <w:rPr>
          <w:szCs w:val="22"/>
        </w:rPr>
      </w:pPr>
      <w:r w:rsidRPr="00CB3BC3">
        <w:rPr>
          <w:szCs w:val="22"/>
        </w:rPr>
        <w:t>In total, in 2012, there were more than 3 million devices pre-charged with HFCs or HCFCs imported into Australia and containing, in aggregate, a total of around 2,5</w:t>
      </w:r>
      <w:r w:rsidR="006370BC">
        <w:rPr>
          <w:szCs w:val="22"/>
        </w:rPr>
        <w:t>57</w:t>
      </w:r>
      <w:r w:rsidRPr="00CB3BC3">
        <w:rPr>
          <w:szCs w:val="22"/>
        </w:rPr>
        <w:t xml:space="preserve"> tonnes of working gases.</w:t>
      </w:r>
      <w:r>
        <w:rPr>
          <w:rStyle w:val="FootnoteReference"/>
          <w:szCs w:val="22"/>
        </w:rPr>
        <w:footnoteReference w:id="20"/>
      </w:r>
      <w:r w:rsidRPr="00CB3BC3">
        <w:rPr>
          <w:szCs w:val="22"/>
        </w:rPr>
        <w:t xml:space="preserve">  </w:t>
      </w:r>
    </w:p>
    <w:p w14:paraId="69881DAE" w14:textId="0ABE63A9" w:rsidR="00CB3BC3" w:rsidRPr="00CB3BC3" w:rsidRDefault="00CB3BC3" w:rsidP="00CB3BC3">
      <w:pPr>
        <w:rPr>
          <w:szCs w:val="22"/>
        </w:rPr>
      </w:pPr>
      <w:r w:rsidRPr="00CB3BC3">
        <w:rPr>
          <w:szCs w:val="22"/>
        </w:rPr>
        <w:t>There were well over a million stationary air conditioning devices imported in 2012, accounting for more than 6</w:t>
      </w:r>
      <w:r w:rsidR="00746972">
        <w:rPr>
          <w:szCs w:val="22"/>
        </w:rPr>
        <w:t>4</w:t>
      </w:r>
      <w:r w:rsidRPr="00CB3BC3">
        <w:rPr>
          <w:szCs w:val="22"/>
        </w:rPr>
        <w:t xml:space="preserve"> per cent of imported refrigerant contained in equipment in that year. </w:t>
      </w:r>
    </w:p>
    <w:p w14:paraId="25E77F91" w14:textId="01848EAE" w:rsidR="00CB3BC3" w:rsidRPr="00CB3BC3" w:rsidRDefault="00391135" w:rsidP="00CB3BC3">
      <w:pPr>
        <w:rPr>
          <w:szCs w:val="22"/>
        </w:rPr>
      </w:pPr>
      <w:r>
        <w:rPr>
          <w:szCs w:val="22"/>
        </w:rPr>
        <w:t>Unfortunately a change in the system of collecting data on pre charged equipment in</w:t>
      </w:r>
      <w:r w:rsidR="00CB3BC3" w:rsidRPr="00CB3BC3">
        <w:rPr>
          <w:szCs w:val="22"/>
        </w:rPr>
        <w:t xml:space="preserve"> 201</w:t>
      </w:r>
      <w:r w:rsidR="00746972">
        <w:rPr>
          <w:szCs w:val="22"/>
        </w:rPr>
        <w:t>2</w:t>
      </w:r>
      <w:r>
        <w:rPr>
          <w:szCs w:val="22"/>
        </w:rPr>
        <w:t xml:space="preserve"> has now made it impossible to compare imports of equipment types from prior to 201</w:t>
      </w:r>
      <w:r w:rsidR="00746972">
        <w:rPr>
          <w:szCs w:val="22"/>
        </w:rPr>
        <w:t>2</w:t>
      </w:r>
      <w:r>
        <w:rPr>
          <w:szCs w:val="22"/>
        </w:rPr>
        <w:t>, with later imports.</w:t>
      </w:r>
      <w:r w:rsidR="00CB3BC3" w:rsidRPr="00CB3BC3">
        <w:rPr>
          <w:szCs w:val="22"/>
        </w:rPr>
        <w:t xml:space="preserve"> </w:t>
      </w:r>
      <w:r>
        <w:rPr>
          <w:szCs w:val="22"/>
        </w:rPr>
        <w:t xml:space="preserve">Equipment </w:t>
      </w:r>
      <w:r w:rsidR="00CB3BC3" w:rsidRPr="00CB3BC3">
        <w:rPr>
          <w:szCs w:val="22"/>
        </w:rPr>
        <w:t>reporting categories were aggregate</w:t>
      </w:r>
      <w:r w:rsidR="005F20DB">
        <w:rPr>
          <w:szCs w:val="22"/>
        </w:rPr>
        <w:t>d</w:t>
      </w:r>
      <w:r w:rsidR="00CB3BC3" w:rsidRPr="00CB3BC3">
        <w:rPr>
          <w:szCs w:val="22"/>
        </w:rPr>
        <w:t xml:space="preserve">, so much of the detail is not available. A detailed breakdown of </w:t>
      </w:r>
      <w:r w:rsidR="00CE428E">
        <w:rPr>
          <w:szCs w:val="22"/>
        </w:rPr>
        <w:t xml:space="preserve">pre-charged air conditioning equipment </w:t>
      </w:r>
      <w:r w:rsidR="00CB3BC3" w:rsidRPr="00CB3BC3">
        <w:rPr>
          <w:szCs w:val="22"/>
        </w:rPr>
        <w:t xml:space="preserve">from 2005 to 2011 is presented in </w:t>
      </w:r>
      <w:r w:rsidR="00CB3BC3" w:rsidRPr="00CB3BC3">
        <w:rPr>
          <w:i/>
          <w:szCs w:val="22"/>
        </w:rPr>
        <w:t>Table 1</w:t>
      </w:r>
      <w:r w:rsidR="00CE428E">
        <w:rPr>
          <w:i/>
          <w:szCs w:val="22"/>
        </w:rPr>
        <w:t>7</w:t>
      </w:r>
      <w:r w:rsidR="00CB3BC3" w:rsidRPr="00CB3BC3">
        <w:rPr>
          <w:szCs w:val="22"/>
        </w:rPr>
        <w:t>. This information demonstrates the scale of stationary air conditioning imports and de</w:t>
      </w:r>
      <w:r w:rsidR="00CE428E">
        <w:rPr>
          <w:szCs w:val="22"/>
        </w:rPr>
        <w:t xml:space="preserve">tails of other devices imported for 2012 is provided in </w:t>
      </w:r>
      <w:r w:rsidR="00CE428E" w:rsidRPr="00CE428E">
        <w:rPr>
          <w:i/>
          <w:szCs w:val="22"/>
        </w:rPr>
        <w:t>Figures</w:t>
      </w:r>
      <w:r w:rsidR="00CE428E">
        <w:rPr>
          <w:szCs w:val="22"/>
        </w:rPr>
        <w:t xml:space="preserve"> </w:t>
      </w:r>
      <w:r w:rsidR="00CE428E" w:rsidRPr="00CE428E">
        <w:rPr>
          <w:i/>
          <w:szCs w:val="22"/>
        </w:rPr>
        <w:t>8</w:t>
      </w:r>
      <w:r w:rsidR="00CE428E">
        <w:rPr>
          <w:szCs w:val="22"/>
        </w:rPr>
        <w:t xml:space="preserve"> and </w:t>
      </w:r>
      <w:r w:rsidR="00CE428E" w:rsidRPr="00CE428E">
        <w:rPr>
          <w:i/>
          <w:szCs w:val="22"/>
        </w:rPr>
        <w:t>9</w:t>
      </w:r>
      <w:r w:rsidR="00CE428E">
        <w:rPr>
          <w:szCs w:val="22"/>
        </w:rPr>
        <w:t>.</w:t>
      </w:r>
    </w:p>
    <w:p w14:paraId="3D15B1F8" w14:textId="77777777" w:rsidR="00CB3BC3" w:rsidRPr="00CB3BC3" w:rsidRDefault="00CB3BC3" w:rsidP="00CB3BC3">
      <w:pPr>
        <w:rPr>
          <w:szCs w:val="22"/>
        </w:rPr>
      </w:pPr>
      <w:r w:rsidRPr="00CB3BC3">
        <w:rPr>
          <w:szCs w:val="22"/>
        </w:rPr>
        <w:t xml:space="preserve">Split system air conditioners made up 64 per cent of all air conditioning devices, with single indoor units containing an average charge of 1.7 kilograms, resulting in the import of more than 1,080 tonnes of HFCs in total. </w:t>
      </w:r>
    </w:p>
    <w:p w14:paraId="04595E33" w14:textId="33F9BA54" w:rsidR="00CB3BC3" w:rsidRPr="00CB3BC3" w:rsidRDefault="00CB3BC3" w:rsidP="00CB3BC3">
      <w:pPr>
        <w:rPr>
          <w:szCs w:val="22"/>
        </w:rPr>
      </w:pPr>
      <w:r w:rsidRPr="00CB3BC3">
        <w:rPr>
          <w:szCs w:val="22"/>
        </w:rPr>
        <w:t xml:space="preserve">Almost 32,000 multi head units with an average charge of 4.9 kilograms collectively contained more than 156 tonnes of HFCs at import. Air conditioning chillers accounted for less than 4 per cent of refrigerant imported in equipment, as </w:t>
      </w:r>
      <w:r w:rsidR="005F20DB">
        <w:rPr>
          <w:szCs w:val="22"/>
        </w:rPr>
        <w:t>many</w:t>
      </w:r>
      <w:r w:rsidRPr="00CB3BC3">
        <w:rPr>
          <w:szCs w:val="22"/>
        </w:rPr>
        <w:t xml:space="preserve"> units are charged on site from bulk refrigerant imports. </w:t>
      </w:r>
    </w:p>
    <w:p w14:paraId="737F7B9A" w14:textId="77777777" w:rsidR="00CB3BC3" w:rsidRPr="00CB3BC3" w:rsidRDefault="00CB3BC3" w:rsidP="00CB3BC3">
      <w:pPr>
        <w:rPr>
          <w:szCs w:val="22"/>
        </w:rPr>
      </w:pPr>
      <w:r w:rsidRPr="00CB3BC3">
        <w:rPr>
          <w:szCs w:val="22"/>
        </w:rPr>
        <w:t>There were more than 132,000 window/wall air conditioning units imported in 2010 with an average charge of 720 grams, accounting for around 3 per cent of the total refrigerant imported in equipment. Sales of this product category have declined to around 70,000 in 2012.</w:t>
      </w:r>
    </w:p>
    <w:p w14:paraId="7CB5C22C" w14:textId="77777777" w:rsidR="00CB3BC3" w:rsidRPr="00CB3BC3" w:rsidRDefault="00CB3BC3" w:rsidP="00CB3BC3">
      <w:pPr>
        <w:rPr>
          <w:szCs w:val="22"/>
        </w:rPr>
      </w:pPr>
      <w:r w:rsidRPr="00CB3BC3">
        <w:rPr>
          <w:szCs w:val="22"/>
        </w:rPr>
        <w:t xml:space="preserve">Portable air conditioners contained only 2 per cent of refrigerant imported in equipment, mostly due to the relatively small charge in each device, typically around 600 grams. Although imports of portable air conditioning grew strongly to more than 130,000 in 2009, sales in 2011 have declined equally, with total units imported down by more than half to 48,810. </w:t>
      </w:r>
    </w:p>
    <w:p w14:paraId="63E6FC4E" w14:textId="77777777" w:rsidR="00CB3BC3" w:rsidRDefault="00CB3BC3" w:rsidP="00CB3BC3">
      <w:pPr>
        <w:rPr>
          <w:szCs w:val="22"/>
        </w:rPr>
      </w:pPr>
      <w:r w:rsidRPr="00CB3BC3">
        <w:rPr>
          <w:szCs w:val="22"/>
        </w:rPr>
        <w:t>Window/wall and portable air conditioning devices imported in 2010 contained slightly more than 166 tonnes in total, mostly with HFC-410A and some HFC-407C.</w:t>
      </w:r>
    </w:p>
    <w:p w14:paraId="4D374B98" w14:textId="77777777" w:rsidR="00CB3BC3" w:rsidRPr="00CB3BC3" w:rsidRDefault="00CB3BC3" w:rsidP="00CB3BC3">
      <w:pPr>
        <w:rPr>
          <w:szCs w:val="22"/>
        </w:rPr>
      </w:pPr>
    </w:p>
    <w:p w14:paraId="5B67E82A" w14:textId="77777777" w:rsidR="00291F2D" w:rsidRDefault="00291F2D">
      <w:pPr>
        <w:spacing w:before="0"/>
        <w:jc w:val="left"/>
        <w:rPr>
          <w:i/>
          <w:szCs w:val="22"/>
        </w:rPr>
      </w:pPr>
      <w:r>
        <w:rPr>
          <w:i/>
          <w:szCs w:val="22"/>
        </w:rPr>
        <w:br w:type="page"/>
      </w:r>
    </w:p>
    <w:p w14:paraId="299206CC" w14:textId="475678DF" w:rsidR="00865893" w:rsidRPr="005D159D" w:rsidRDefault="00865893" w:rsidP="00865893">
      <w:pPr>
        <w:rPr>
          <w:i/>
          <w:szCs w:val="22"/>
        </w:rPr>
      </w:pPr>
      <w:bookmarkStart w:id="49" w:name="_Toc233084061"/>
      <w:r w:rsidRPr="005D159D">
        <w:rPr>
          <w:i/>
          <w:szCs w:val="22"/>
        </w:rPr>
        <w:lastRenderedPageBreak/>
        <w:t xml:space="preserve">Table </w:t>
      </w:r>
      <w:r w:rsidRPr="005D159D">
        <w:rPr>
          <w:i/>
          <w:szCs w:val="22"/>
        </w:rPr>
        <w:fldChar w:fldCharType="begin"/>
      </w:r>
      <w:r w:rsidRPr="005D159D">
        <w:rPr>
          <w:i/>
          <w:szCs w:val="22"/>
        </w:rPr>
        <w:instrText xml:space="preserve"> SEQ Table \* ARABIC </w:instrText>
      </w:r>
      <w:r w:rsidRPr="005D159D">
        <w:rPr>
          <w:i/>
          <w:szCs w:val="22"/>
        </w:rPr>
        <w:fldChar w:fldCharType="separate"/>
      </w:r>
      <w:r w:rsidR="00196462">
        <w:rPr>
          <w:i/>
          <w:noProof/>
          <w:szCs w:val="22"/>
        </w:rPr>
        <w:t>17</w:t>
      </w:r>
      <w:r w:rsidRPr="005D159D">
        <w:rPr>
          <w:i/>
          <w:szCs w:val="22"/>
        </w:rPr>
        <w:fldChar w:fldCharType="end"/>
      </w:r>
      <w:r w:rsidRPr="005D159D">
        <w:rPr>
          <w:i/>
          <w:szCs w:val="22"/>
        </w:rPr>
        <w:t xml:space="preserve">: </w:t>
      </w:r>
      <w:r w:rsidR="008B096C">
        <w:rPr>
          <w:i/>
          <w:szCs w:val="22"/>
        </w:rPr>
        <w:t xml:space="preserve">Stationary </w:t>
      </w:r>
      <w:r>
        <w:rPr>
          <w:i/>
          <w:szCs w:val="22"/>
        </w:rPr>
        <w:t xml:space="preserve">air conditioning </w:t>
      </w:r>
      <w:r w:rsidR="00C87AB0">
        <w:rPr>
          <w:i/>
          <w:szCs w:val="22"/>
        </w:rPr>
        <w:t>p</w:t>
      </w:r>
      <w:r w:rsidR="008B096C" w:rsidRPr="00865893">
        <w:rPr>
          <w:i/>
          <w:szCs w:val="22"/>
        </w:rPr>
        <w:t>re-</w:t>
      </w:r>
      <w:r w:rsidR="00C87AB0">
        <w:rPr>
          <w:i/>
          <w:szCs w:val="22"/>
        </w:rPr>
        <w:t>c</w:t>
      </w:r>
      <w:r w:rsidR="008B096C" w:rsidRPr="00865893">
        <w:rPr>
          <w:i/>
          <w:szCs w:val="22"/>
        </w:rPr>
        <w:t xml:space="preserve">harged </w:t>
      </w:r>
      <w:r w:rsidR="00C87AB0">
        <w:rPr>
          <w:i/>
          <w:szCs w:val="22"/>
        </w:rPr>
        <w:t>e</w:t>
      </w:r>
      <w:r w:rsidR="008B096C" w:rsidRPr="00865893">
        <w:rPr>
          <w:i/>
          <w:szCs w:val="22"/>
        </w:rPr>
        <w:t xml:space="preserve">quipment </w:t>
      </w:r>
      <w:r>
        <w:rPr>
          <w:i/>
          <w:szCs w:val="22"/>
        </w:rPr>
        <w:t>i</w:t>
      </w:r>
      <w:r w:rsidRPr="00865893">
        <w:rPr>
          <w:i/>
          <w:szCs w:val="22"/>
        </w:rPr>
        <w:t>mports in Australia 2005 to 201</w:t>
      </w:r>
      <w:r w:rsidR="005043CB">
        <w:rPr>
          <w:i/>
          <w:szCs w:val="22"/>
        </w:rPr>
        <w:t>1</w:t>
      </w:r>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134"/>
        <w:gridCol w:w="1134"/>
        <w:gridCol w:w="1134"/>
        <w:gridCol w:w="1134"/>
        <w:gridCol w:w="1134"/>
        <w:gridCol w:w="1134"/>
        <w:gridCol w:w="1134"/>
      </w:tblGrid>
      <w:tr w:rsidR="00865893" w:rsidRPr="00923150" w14:paraId="146F9C19" w14:textId="77777777" w:rsidTr="00230E2E">
        <w:trPr>
          <w:trHeight w:val="684"/>
        </w:trPr>
        <w:tc>
          <w:tcPr>
            <w:tcW w:w="1701" w:type="dxa"/>
            <w:tcBorders>
              <w:top w:val="single" w:sz="8" w:space="0" w:color="auto"/>
              <w:left w:val="single" w:sz="8" w:space="0" w:color="auto"/>
              <w:bottom w:val="single" w:sz="4" w:space="0" w:color="000000"/>
              <w:right w:val="single" w:sz="4" w:space="0" w:color="FFFFFF"/>
            </w:tcBorders>
            <w:shd w:val="clear" w:color="auto" w:fill="000000"/>
            <w:vAlign w:val="center"/>
          </w:tcPr>
          <w:p w14:paraId="19B902BF" w14:textId="4033B936" w:rsidR="00865893" w:rsidRPr="00923150" w:rsidRDefault="00865893" w:rsidP="008B096C">
            <w:pPr>
              <w:spacing w:after="120"/>
              <w:ind w:left="34"/>
            </w:pPr>
            <w:r>
              <w:t>PCE type</w:t>
            </w:r>
          </w:p>
        </w:tc>
        <w:tc>
          <w:tcPr>
            <w:tcW w:w="1134" w:type="dxa"/>
            <w:tcBorders>
              <w:top w:val="single" w:sz="8" w:space="0" w:color="auto"/>
              <w:left w:val="single" w:sz="4" w:space="0" w:color="FFFFFF"/>
              <w:bottom w:val="single" w:sz="4" w:space="0" w:color="000000"/>
              <w:right w:val="single" w:sz="4" w:space="0" w:color="FFFFFF"/>
            </w:tcBorders>
            <w:shd w:val="clear" w:color="auto" w:fill="000000"/>
            <w:vAlign w:val="center"/>
          </w:tcPr>
          <w:p w14:paraId="4418353E" w14:textId="589F17D2" w:rsidR="00865893" w:rsidRPr="008B096C" w:rsidRDefault="00865893" w:rsidP="00865893">
            <w:pPr>
              <w:spacing w:after="120"/>
              <w:jc w:val="center"/>
              <w:rPr>
                <w:sz w:val="20"/>
                <w:szCs w:val="20"/>
              </w:rPr>
            </w:pPr>
            <w:r w:rsidRPr="008B096C">
              <w:rPr>
                <w:sz w:val="20"/>
                <w:szCs w:val="20"/>
              </w:rPr>
              <w:t>2005</w:t>
            </w:r>
          </w:p>
        </w:tc>
        <w:tc>
          <w:tcPr>
            <w:tcW w:w="1134" w:type="dxa"/>
            <w:tcBorders>
              <w:top w:val="single" w:sz="8" w:space="0" w:color="auto"/>
              <w:left w:val="single" w:sz="4" w:space="0" w:color="FFFFFF"/>
              <w:bottom w:val="single" w:sz="4" w:space="0" w:color="000000"/>
              <w:right w:val="single" w:sz="4" w:space="0" w:color="FFFFFF"/>
            </w:tcBorders>
            <w:shd w:val="clear" w:color="auto" w:fill="000000"/>
            <w:vAlign w:val="center"/>
          </w:tcPr>
          <w:p w14:paraId="127BA59E" w14:textId="6A61C7A7" w:rsidR="00865893" w:rsidRPr="008B096C" w:rsidRDefault="00865893" w:rsidP="00865893">
            <w:pPr>
              <w:spacing w:after="120"/>
              <w:jc w:val="center"/>
              <w:rPr>
                <w:sz w:val="20"/>
                <w:szCs w:val="20"/>
              </w:rPr>
            </w:pPr>
            <w:r w:rsidRPr="008B096C">
              <w:rPr>
                <w:sz w:val="20"/>
                <w:szCs w:val="20"/>
              </w:rPr>
              <w:t>2006</w:t>
            </w:r>
          </w:p>
        </w:tc>
        <w:tc>
          <w:tcPr>
            <w:tcW w:w="1134" w:type="dxa"/>
            <w:tcBorders>
              <w:top w:val="single" w:sz="8" w:space="0" w:color="auto"/>
              <w:left w:val="single" w:sz="4" w:space="0" w:color="FFFFFF"/>
              <w:bottom w:val="single" w:sz="4" w:space="0" w:color="000000"/>
              <w:right w:val="single" w:sz="4" w:space="0" w:color="FFFFFF"/>
            </w:tcBorders>
            <w:shd w:val="clear" w:color="auto" w:fill="000000"/>
            <w:vAlign w:val="center"/>
          </w:tcPr>
          <w:p w14:paraId="34E8F39A" w14:textId="44352EE1" w:rsidR="00865893" w:rsidRPr="008B096C" w:rsidRDefault="00865893" w:rsidP="00865893">
            <w:pPr>
              <w:spacing w:after="120"/>
              <w:jc w:val="center"/>
              <w:rPr>
                <w:sz w:val="20"/>
                <w:szCs w:val="20"/>
              </w:rPr>
            </w:pPr>
            <w:r w:rsidRPr="008B096C">
              <w:rPr>
                <w:sz w:val="20"/>
                <w:szCs w:val="20"/>
              </w:rPr>
              <w:t>2007</w:t>
            </w:r>
          </w:p>
        </w:tc>
        <w:tc>
          <w:tcPr>
            <w:tcW w:w="1134" w:type="dxa"/>
            <w:tcBorders>
              <w:top w:val="single" w:sz="8" w:space="0" w:color="auto"/>
              <w:left w:val="single" w:sz="4" w:space="0" w:color="FFFFFF"/>
              <w:bottom w:val="single" w:sz="4" w:space="0" w:color="000000"/>
              <w:right w:val="single" w:sz="4" w:space="0" w:color="FFFFFF"/>
            </w:tcBorders>
            <w:shd w:val="clear" w:color="auto" w:fill="000000"/>
            <w:vAlign w:val="center"/>
          </w:tcPr>
          <w:p w14:paraId="4A1F6725" w14:textId="47544614" w:rsidR="00865893" w:rsidRPr="008B096C" w:rsidRDefault="00865893" w:rsidP="00865893">
            <w:pPr>
              <w:spacing w:after="120"/>
              <w:jc w:val="center"/>
              <w:rPr>
                <w:sz w:val="20"/>
                <w:szCs w:val="20"/>
              </w:rPr>
            </w:pPr>
            <w:r w:rsidRPr="008B096C">
              <w:rPr>
                <w:sz w:val="20"/>
                <w:szCs w:val="20"/>
              </w:rPr>
              <w:t>2008</w:t>
            </w:r>
          </w:p>
        </w:tc>
        <w:tc>
          <w:tcPr>
            <w:tcW w:w="1134" w:type="dxa"/>
            <w:tcBorders>
              <w:top w:val="single" w:sz="8" w:space="0" w:color="auto"/>
              <w:left w:val="single" w:sz="4" w:space="0" w:color="FFFFFF"/>
              <w:bottom w:val="single" w:sz="4" w:space="0" w:color="000000"/>
              <w:right w:val="single" w:sz="4" w:space="0" w:color="FFFFFF"/>
            </w:tcBorders>
            <w:shd w:val="clear" w:color="auto" w:fill="000000"/>
            <w:vAlign w:val="center"/>
          </w:tcPr>
          <w:p w14:paraId="1F78887F" w14:textId="07114D07" w:rsidR="00865893" w:rsidRPr="008B096C" w:rsidRDefault="00865893" w:rsidP="00865893">
            <w:pPr>
              <w:spacing w:after="120"/>
              <w:jc w:val="center"/>
              <w:rPr>
                <w:sz w:val="20"/>
                <w:szCs w:val="20"/>
              </w:rPr>
            </w:pPr>
            <w:r w:rsidRPr="008B096C">
              <w:rPr>
                <w:sz w:val="20"/>
                <w:szCs w:val="20"/>
              </w:rPr>
              <w:t>2009</w:t>
            </w:r>
          </w:p>
        </w:tc>
        <w:tc>
          <w:tcPr>
            <w:tcW w:w="1134" w:type="dxa"/>
            <w:tcBorders>
              <w:top w:val="single" w:sz="8" w:space="0" w:color="auto"/>
              <w:left w:val="single" w:sz="4" w:space="0" w:color="FFFFFF"/>
              <w:bottom w:val="single" w:sz="4" w:space="0" w:color="000000"/>
              <w:right w:val="single" w:sz="4" w:space="0" w:color="FFFFFF"/>
            </w:tcBorders>
            <w:shd w:val="clear" w:color="auto" w:fill="000000"/>
            <w:vAlign w:val="center"/>
          </w:tcPr>
          <w:p w14:paraId="69AB2A88" w14:textId="3FC3FD70" w:rsidR="00865893" w:rsidRPr="008B096C" w:rsidRDefault="00865893" w:rsidP="00865893">
            <w:pPr>
              <w:spacing w:after="120"/>
              <w:jc w:val="center"/>
              <w:rPr>
                <w:sz w:val="20"/>
                <w:szCs w:val="20"/>
              </w:rPr>
            </w:pPr>
            <w:r w:rsidRPr="008B096C">
              <w:rPr>
                <w:sz w:val="20"/>
                <w:szCs w:val="20"/>
              </w:rPr>
              <w:t>2010</w:t>
            </w:r>
          </w:p>
        </w:tc>
        <w:tc>
          <w:tcPr>
            <w:tcW w:w="1134" w:type="dxa"/>
            <w:tcBorders>
              <w:top w:val="single" w:sz="8" w:space="0" w:color="auto"/>
              <w:left w:val="single" w:sz="4" w:space="0" w:color="FFFFFF"/>
              <w:bottom w:val="single" w:sz="4" w:space="0" w:color="000000"/>
              <w:right w:val="single" w:sz="8" w:space="0" w:color="auto"/>
            </w:tcBorders>
            <w:shd w:val="clear" w:color="auto" w:fill="000000"/>
            <w:vAlign w:val="center"/>
          </w:tcPr>
          <w:p w14:paraId="668B98BE" w14:textId="5D8DAEE4" w:rsidR="00865893" w:rsidRPr="008B096C" w:rsidRDefault="00865893" w:rsidP="00865893">
            <w:pPr>
              <w:spacing w:after="120"/>
              <w:jc w:val="center"/>
              <w:rPr>
                <w:sz w:val="20"/>
                <w:szCs w:val="20"/>
              </w:rPr>
            </w:pPr>
            <w:r w:rsidRPr="008B096C">
              <w:rPr>
                <w:sz w:val="20"/>
                <w:szCs w:val="20"/>
              </w:rPr>
              <w:t>2011</w:t>
            </w:r>
          </w:p>
        </w:tc>
      </w:tr>
      <w:tr w:rsidR="008B096C" w:rsidRPr="00923150" w14:paraId="26E516FF" w14:textId="77777777" w:rsidTr="008B096C">
        <w:trPr>
          <w:trHeight w:val="456"/>
        </w:trPr>
        <w:tc>
          <w:tcPr>
            <w:tcW w:w="1701" w:type="dxa"/>
            <w:tcBorders>
              <w:top w:val="single" w:sz="4" w:space="0" w:color="000000"/>
            </w:tcBorders>
            <w:vAlign w:val="center"/>
          </w:tcPr>
          <w:p w14:paraId="18C43437" w14:textId="3B52892E" w:rsidR="008B096C" w:rsidRPr="00923150" w:rsidRDefault="008B096C" w:rsidP="008B096C">
            <w:pPr>
              <w:spacing w:before="60" w:after="60"/>
              <w:ind w:left="34"/>
              <w:jc w:val="left"/>
              <w:rPr>
                <w:sz w:val="20"/>
              </w:rPr>
            </w:pPr>
            <w:r w:rsidRPr="0083268E">
              <w:t>Chillers</w:t>
            </w:r>
          </w:p>
        </w:tc>
        <w:tc>
          <w:tcPr>
            <w:tcW w:w="1134" w:type="dxa"/>
            <w:tcBorders>
              <w:top w:val="single" w:sz="4" w:space="0" w:color="000000"/>
            </w:tcBorders>
            <w:vAlign w:val="center"/>
          </w:tcPr>
          <w:p w14:paraId="1DDF841B" w14:textId="53D93FE1" w:rsidR="008B096C" w:rsidRPr="008B096C" w:rsidRDefault="008B096C" w:rsidP="008B096C">
            <w:pPr>
              <w:spacing w:before="60" w:after="60"/>
              <w:jc w:val="center"/>
              <w:rPr>
                <w:sz w:val="20"/>
                <w:szCs w:val="20"/>
              </w:rPr>
            </w:pPr>
            <w:r w:rsidRPr="008B096C">
              <w:rPr>
                <w:sz w:val="20"/>
                <w:szCs w:val="20"/>
              </w:rPr>
              <w:t>1,291</w:t>
            </w:r>
          </w:p>
        </w:tc>
        <w:tc>
          <w:tcPr>
            <w:tcW w:w="1134" w:type="dxa"/>
            <w:tcBorders>
              <w:top w:val="single" w:sz="4" w:space="0" w:color="000000"/>
            </w:tcBorders>
            <w:vAlign w:val="center"/>
          </w:tcPr>
          <w:p w14:paraId="431520DC" w14:textId="1EE580B9" w:rsidR="008B096C" w:rsidRPr="008B096C" w:rsidRDefault="008B096C" w:rsidP="008B096C">
            <w:pPr>
              <w:spacing w:before="60" w:after="60"/>
              <w:jc w:val="center"/>
              <w:rPr>
                <w:sz w:val="20"/>
                <w:szCs w:val="20"/>
              </w:rPr>
            </w:pPr>
            <w:r w:rsidRPr="008B096C">
              <w:rPr>
                <w:sz w:val="20"/>
                <w:szCs w:val="20"/>
              </w:rPr>
              <w:t>504</w:t>
            </w:r>
          </w:p>
        </w:tc>
        <w:tc>
          <w:tcPr>
            <w:tcW w:w="1134" w:type="dxa"/>
            <w:tcBorders>
              <w:top w:val="single" w:sz="4" w:space="0" w:color="000000"/>
            </w:tcBorders>
            <w:vAlign w:val="center"/>
          </w:tcPr>
          <w:p w14:paraId="1CD115EE" w14:textId="2EC5B6C0" w:rsidR="008B096C" w:rsidRPr="008B096C" w:rsidRDefault="008B096C" w:rsidP="008B096C">
            <w:pPr>
              <w:spacing w:before="60" w:after="60"/>
              <w:jc w:val="center"/>
              <w:rPr>
                <w:sz w:val="20"/>
                <w:szCs w:val="20"/>
              </w:rPr>
            </w:pPr>
            <w:r w:rsidRPr="008B096C">
              <w:rPr>
                <w:sz w:val="20"/>
                <w:szCs w:val="20"/>
              </w:rPr>
              <w:t>804</w:t>
            </w:r>
          </w:p>
        </w:tc>
        <w:tc>
          <w:tcPr>
            <w:tcW w:w="1134" w:type="dxa"/>
            <w:tcBorders>
              <w:top w:val="single" w:sz="4" w:space="0" w:color="000000"/>
            </w:tcBorders>
            <w:vAlign w:val="center"/>
          </w:tcPr>
          <w:p w14:paraId="649A014B" w14:textId="1FC40F0F" w:rsidR="008B096C" w:rsidRPr="008B096C" w:rsidRDefault="008B096C" w:rsidP="008B096C">
            <w:pPr>
              <w:spacing w:before="60" w:after="60"/>
              <w:jc w:val="center"/>
              <w:rPr>
                <w:sz w:val="20"/>
                <w:szCs w:val="20"/>
              </w:rPr>
            </w:pPr>
            <w:r w:rsidRPr="008B096C">
              <w:rPr>
                <w:sz w:val="20"/>
                <w:szCs w:val="20"/>
              </w:rPr>
              <w:t>1,169</w:t>
            </w:r>
          </w:p>
        </w:tc>
        <w:tc>
          <w:tcPr>
            <w:tcW w:w="1134" w:type="dxa"/>
            <w:tcBorders>
              <w:top w:val="single" w:sz="4" w:space="0" w:color="000000"/>
            </w:tcBorders>
            <w:vAlign w:val="center"/>
          </w:tcPr>
          <w:p w14:paraId="57639997" w14:textId="09C378CE" w:rsidR="008B096C" w:rsidRPr="008B096C" w:rsidRDefault="008B096C" w:rsidP="008B096C">
            <w:pPr>
              <w:spacing w:before="60" w:after="60"/>
              <w:jc w:val="center"/>
              <w:rPr>
                <w:sz w:val="20"/>
                <w:szCs w:val="20"/>
              </w:rPr>
            </w:pPr>
            <w:r w:rsidRPr="008B096C">
              <w:rPr>
                <w:sz w:val="20"/>
                <w:szCs w:val="20"/>
              </w:rPr>
              <w:t>722</w:t>
            </w:r>
          </w:p>
        </w:tc>
        <w:tc>
          <w:tcPr>
            <w:tcW w:w="1134" w:type="dxa"/>
            <w:tcBorders>
              <w:top w:val="single" w:sz="4" w:space="0" w:color="000000"/>
            </w:tcBorders>
            <w:vAlign w:val="center"/>
          </w:tcPr>
          <w:p w14:paraId="3A13E03F" w14:textId="75E33720" w:rsidR="008B096C" w:rsidRPr="008B096C" w:rsidRDefault="008B096C" w:rsidP="008B096C">
            <w:pPr>
              <w:spacing w:before="60" w:after="60"/>
              <w:jc w:val="center"/>
              <w:rPr>
                <w:sz w:val="20"/>
                <w:szCs w:val="20"/>
              </w:rPr>
            </w:pPr>
            <w:r w:rsidRPr="008B096C">
              <w:rPr>
                <w:sz w:val="20"/>
                <w:szCs w:val="20"/>
              </w:rPr>
              <w:t>1,476</w:t>
            </w:r>
          </w:p>
        </w:tc>
        <w:tc>
          <w:tcPr>
            <w:tcW w:w="1134" w:type="dxa"/>
            <w:tcBorders>
              <w:top w:val="single" w:sz="4" w:space="0" w:color="000000"/>
            </w:tcBorders>
            <w:vAlign w:val="center"/>
          </w:tcPr>
          <w:p w14:paraId="278EA88E" w14:textId="6B289762" w:rsidR="008B096C" w:rsidRPr="008B096C" w:rsidRDefault="008B096C" w:rsidP="008B096C">
            <w:pPr>
              <w:spacing w:before="60" w:after="60"/>
              <w:jc w:val="center"/>
              <w:rPr>
                <w:sz w:val="20"/>
                <w:szCs w:val="20"/>
              </w:rPr>
            </w:pPr>
            <w:r w:rsidRPr="008B096C">
              <w:rPr>
                <w:sz w:val="20"/>
                <w:szCs w:val="20"/>
              </w:rPr>
              <w:t>1,096</w:t>
            </w:r>
          </w:p>
        </w:tc>
      </w:tr>
      <w:tr w:rsidR="008B096C" w:rsidRPr="00923150" w14:paraId="25B1F4F5" w14:textId="77777777" w:rsidTr="008B096C">
        <w:trPr>
          <w:trHeight w:val="456"/>
        </w:trPr>
        <w:tc>
          <w:tcPr>
            <w:tcW w:w="1701" w:type="dxa"/>
            <w:tcBorders>
              <w:top w:val="single" w:sz="4" w:space="0" w:color="000000"/>
            </w:tcBorders>
            <w:vAlign w:val="center"/>
          </w:tcPr>
          <w:p w14:paraId="20B93BB2" w14:textId="47583F73" w:rsidR="008B096C" w:rsidRPr="00923150" w:rsidRDefault="008B096C" w:rsidP="008B096C">
            <w:pPr>
              <w:spacing w:before="60" w:after="60"/>
              <w:ind w:left="34"/>
              <w:jc w:val="left"/>
              <w:rPr>
                <w:sz w:val="20"/>
              </w:rPr>
            </w:pPr>
            <w:r w:rsidRPr="0083268E">
              <w:t>Packaged</w:t>
            </w:r>
          </w:p>
        </w:tc>
        <w:tc>
          <w:tcPr>
            <w:tcW w:w="1134" w:type="dxa"/>
            <w:tcBorders>
              <w:top w:val="single" w:sz="4" w:space="0" w:color="000000"/>
            </w:tcBorders>
            <w:vAlign w:val="center"/>
          </w:tcPr>
          <w:p w14:paraId="7D33F08E" w14:textId="31C15941" w:rsidR="008B096C" w:rsidRPr="008B096C" w:rsidRDefault="008B096C" w:rsidP="008B096C">
            <w:pPr>
              <w:spacing w:before="60" w:after="60"/>
              <w:jc w:val="center"/>
              <w:rPr>
                <w:sz w:val="20"/>
                <w:szCs w:val="20"/>
              </w:rPr>
            </w:pPr>
            <w:r w:rsidRPr="008B096C">
              <w:rPr>
                <w:sz w:val="20"/>
                <w:szCs w:val="20"/>
              </w:rPr>
              <w:t>21,042</w:t>
            </w:r>
          </w:p>
        </w:tc>
        <w:tc>
          <w:tcPr>
            <w:tcW w:w="1134" w:type="dxa"/>
            <w:tcBorders>
              <w:top w:val="single" w:sz="4" w:space="0" w:color="000000"/>
            </w:tcBorders>
            <w:vAlign w:val="center"/>
          </w:tcPr>
          <w:p w14:paraId="4CA07012" w14:textId="02387BB7" w:rsidR="008B096C" w:rsidRPr="008B096C" w:rsidRDefault="008B096C" w:rsidP="008B096C">
            <w:pPr>
              <w:spacing w:before="60" w:after="60"/>
              <w:jc w:val="center"/>
              <w:rPr>
                <w:sz w:val="20"/>
                <w:szCs w:val="20"/>
              </w:rPr>
            </w:pPr>
            <w:r w:rsidRPr="008B096C">
              <w:rPr>
                <w:sz w:val="20"/>
                <w:szCs w:val="20"/>
              </w:rPr>
              <w:t>16,900</w:t>
            </w:r>
          </w:p>
        </w:tc>
        <w:tc>
          <w:tcPr>
            <w:tcW w:w="1134" w:type="dxa"/>
            <w:tcBorders>
              <w:top w:val="single" w:sz="4" w:space="0" w:color="000000"/>
            </w:tcBorders>
            <w:vAlign w:val="center"/>
          </w:tcPr>
          <w:p w14:paraId="41F83F60" w14:textId="22C8A737" w:rsidR="008B096C" w:rsidRPr="008B096C" w:rsidRDefault="008B096C" w:rsidP="008B096C">
            <w:pPr>
              <w:spacing w:before="60" w:after="60"/>
              <w:jc w:val="center"/>
              <w:rPr>
                <w:sz w:val="20"/>
                <w:szCs w:val="20"/>
              </w:rPr>
            </w:pPr>
            <w:r w:rsidRPr="008B096C">
              <w:rPr>
                <w:sz w:val="20"/>
                <w:szCs w:val="20"/>
              </w:rPr>
              <w:t>19,785</w:t>
            </w:r>
          </w:p>
        </w:tc>
        <w:tc>
          <w:tcPr>
            <w:tcW w:w="1134" w:type="dxa"/>
            <w:tcBorders>
              <w:top w:val="single" w:sz="4" w:space="0" w:color="000000"/>
            </w:tcBorders>
            <w:vAlign w:val="center"/>
          </w:tcPr>
          <w:p w14:paraId="6BA421BC" w14:textId="1D3B794D" w:rsidR="008B096C" w:rsidRPr="008B096C" w:rsidRDefault="008B096C" w:rsidP="008B096C">
            <w:pPr>
              <w:spacing w:before="60" w:after="60"/>
              <w:jc w:val="center"/>
              <w:rPr>
                <w:sz w:val="20"/>
                <w:szCs w:val="20"/>
              </w:rPr>
            </w:pPr>
            <w:r w:rsidRPr="008B096C">
              <w:rPr>
                <w:sz w:val="20"/>
                <w:szCs w:val="20"/>
              </w:rPr>
              <w:t>18,631</w:t>
            </w:r>
          </w:p>
        </w:tc>
        <w:tc>
          <w:tcPr>
            <w:tcW w:w="1134" w:type="dxa"/>
            <w:tcBorders>
              <w:top w:val="single" w:sz="4" w:space="0" w:color="000000"/>
            </w:tcBorders>
            <w:vAlign w:val="center"/>
          </w:tcPr>
          <w:p w14:paraId="12AF1DAA" w14:textId="331A683F" w:rsidR="008B096C" w:rsidRPr="008B096C" w:rsidRDefault="008B096C" w:rsidP="008B096C">
            <w:pPr>
              <w:spacing w:before="60" w:after="60"/>
              <w:jc w:val="center"/>
              <w:rPr>
                <w:sz w:val="20"/>
                <w:szCs w:val="20"/>
              </w:rPr>
            </w:pPr>
            <w:r w:rsidRPr="008B096C">
              <w:rPr>
                <w:sz w:val="20"/>
                <w:szCs w:val="20"/>
              </w:rPr>
              <w:t>16,217</w:t>
            </w:r>
          </w:p>
        </w:tc>
        <w:tc>
          <w:tcPr>
            <w:tcW w:w="1134" w:type="dxa"/>
            <w:tcBorders>
              <w:top w:val="single" w:sz="4" w:space="0" w:color="000000"/>
            </w:tcBorders>
            <w:vAlign w:val="center"/>
          </w:tcPr>
          <w:p w14:paraId="6311B9AE" w14:textId="767C69DA" w:rsidR="008B096C" w:rsidRPr="008B096C" w:rsidRDefault="008B096C" w:rsidP="008B096C">
            <w:pPr>
              <w:spacing w:before="60" w:after="60"/>
              <w:jc w:val="center"/>
              <w:rPr>
                <w:sz w:val="20"/>
                <w:szCs w:val="20"/>
              </w:rPr>
            </w:pPr>
            <w:r w:rsidRPr="008B096C">
              <w:rPr>
                <w:sz w:val="20"/>
                <w:szCs w:val="20"/>
              </w:rPr>
              <w:t>20,485</w:t>
            </w:r>
          </w:p>
        </w:tc>
        <w:tc>
          <w:tcPr>
            <w:tcW w:w="1134" w:type="dxa"/>
            <w:tcBorders>
              <w:top w:val="single" w:sz="4" w:space="0" w:color="000000"/>
            </w:tcBorders>
            <w:vAlign w:val="center"/>
          </w:tcPr>
          <w:p w14:paraId="3A0D2785" w14:textId="7B038251" w:rsidR="008B096C" w:rsidRPr="008B096C" w:rsidRDefault="008B096C" w:rsidP="008B096C">
            <w:pPr>
              <w:spacing w:before="60" w:after="60"/>
              <w:jc w:val="center"/>
              <w:rPr>
                <w:sz w:val="20"/>
                <w:szCs w:val="20"/>
              </w:rPr>
            </w:pPr>
            <w:r w:rsidRPr="008B096C">
              <w:rPr>
                <w:sz w:val="20"/>
                <w:szCs w:val="20"/>
              </w:rPr>
              <w:t>19,907</w:t>
            </w:r>
          </w:p>
        </w:tc>
      </w:tr>
      <w:tr w:rsidR="008B096C" w:rsidRPr="00923150" w14:paraId="52A706EA" w14:textId="77777777" w:rsidTr="008B096C">
        <w:trPr>
          <w:trHeight w:val="456"/>
        </w:trPr>
        <w:tc>
          <w:tcPr>
            <w:tcW w:w="1701" w:type="dxa"/>
            <w:vAlign w:val="center"/>
          </w:tcPr>
          <w:p w14:paraId="3DAFEC16" w14:textId="6D2DC104" w:rsidR="008B096C" w:rsidRPr="00865893" w:rsidRDefault="008B096C" w:rsidP="008B096C">
            <w:pPr>
              <w:spacing w:before="60" w:after="60"/>
              <w:ind w:left="34"/>
              <w:jc w:val="left"/>
            </w:pPr>
            <w:r w:rsidRPr="0083268E">
              <w:t>Packaged: window/wall</w:t>
            </w:r>
          </w:p>
        </w:tc>
        <w:tc>
          <w:tcPr>
            <w:tcW w:w="1134" w:type="dxa"/>
            <w:vAlign w:val="center"/>
          </w:tcPr>
          <w:p w14:paraId="61DB84CB" w14:textId="2098E91D" w:rsidR="008B096C" w:rsidRPr="008B096C" w:rsidRDefault="008B096C" w:rsidP="008B096C">
            <w:pPr>
              <w:spacing w:before="60" w:after="60"/>
              <w:jc w:val="center"/>
              <w:rPr>
                <w:sz w:val="20"/>
                <w:szCs w:val="20"/>
              </w:rPr>
            </w:pPr>
            <w:r w:rsidRPr="008B096C">
              <w:rPr>
                <w:sz w:val="20"/>
                <w:szCs w:val="20"/>
              </w:rPr>
              <w:t>147,987</w:t>
            </w:r>
          </w:p>
        </w:tc>
        <w:tc>
          <w:tcPr>
            <w:tcW w:w="1134" w:type="dxa"/>
            <w:vAlign w:val="center"/>
          </w:tcPr>
          <w:p w14:paraId="6BC61A9D" w14:textId="2533BDE7" w:rsidR="008B096C" w:rsidRPr="008B096C" w:rsidRDefault="008B096C" w:rsidP="008B096C">
            <w:pPr>
              <w:spacing w:before="60" w:after="60"/>
              <w:jc w:val="center"/>
              <w:rPr>
                <w:sz w:val="20"/>
                <w:szCs w:val="20"/>
              </w:rPr>
            </w:pPr>
            <w:r w:rsidRPr="008B096C">
              <w:rPr>
                <w:sz w:val="20"/>
                <w:szCs w:val="20"/>
              </w:rPr>
              <w:t>176,850</w:t>
            </w:r>
          </w:p>
        </w:tc>
        <w:tc>
          <w:tcPr>
            <w:tcW w:w="1134" w:type="dxa"/>
            <w:vAlign w:val="center"/>
          </w:tcPr>
          <w:p w14:paraId="54A7C76A" w14:textId="4D08FB84" w:rsidR="008B096C" w:rsidRPr="008B096C" w:rsidRDefault="008B096C" w:rsidP="008B096C">
            <w:pPr>
              <w:spacing w:before="60" w:after="60"/>
              <w:jc w:val="center"/>
              <w:rPr>
                <w:sz w:val="20"/>
                <w:szCs w:val="20"/>
              </w:rPr>
            </w:pPr>
            <w:r w:rsidRPr="008B096C">
              <w:rPr>
                <w:sz w:val="20"/>
                <w:szCs w:val="20"/>
              </w:rPr>
              <w:t>107,257</w:t>
            </w:r>
          </w:p>
        </w:tc>
        <w:tc>
          <w:tcPr>
            <w:tcW w:w="1134" w:type="dxa"/>
            <w:vAlign w:val="center"/>
          </w:tcPr>
          <w:p w14:paraId="79998B58" w14:textId="6CA5E46C" w:rsidR="008B096C" w:rsidRPr="008B096C" w:rsidRDefault="008B096C" w:rsidP="008B096C">
            <w:pPr>
              <w:spacing w:before="60" w:after="60"/>
              <w:jc w:val="center"/>
              <w:rPr>
                <w:sz w:val="20"/>
                <w:szCs w:val="20"/>
              </w:rPr>
            </w:pPr>
            <w:r w:rsidRPr="008B096C">
              <w:rPr>
                <w:sz w:val="20"/>
                <w:szCs w:val="20"/>
              </w:rPr>
              <w:t>124,414</w:t>
            </w:r>
          </w:p>
        </w:tc>
        <w:tc>
          <w:tcPr>
            <w:tcW w:w="1134" w:type="dxa"/>
            <w:vAlign w:val="center"/>
          </w:tcPr>
          <w:p w14:paraId="0AE10837" w14:textId="3338EB89" w:rsidR="008B096C" w:rsidRPr="008B096C" w:rsidRDefault="008B096C" w:rsidP="008B096C">
            <w:pPr>
              <w:spacing w:before="60" w:after="60"/>
              <w:jc w:val="center"/>
              <w:rPr>
                <w:sz w:val="20"/>
                <w:szCs w:val="20"/>
              </w:rPr>
            </w:pPr>
            <w:r w:rsidRPr="008B096C">
              <w:rPr>
                <w:sz w:val="20"/>
                <w:szCs w:val="20"/>
              </w:rPr>
              <w:t>131,352</w:t>
            </w:r>
          </w:p>
        </w:tc>
        <w:tc>
          <w:tcPr>
            <w:tcW w:w="1134" w:type="dxa"/>
            <w:vAlign w:val="center"/>
          </w:tcPr>
          <w:p w14:paraId="2100CB5B" w14:textId="7BF3FCB0" w:rsidR="008B096C" w:rsidRPr="008B096C" w:rsidRDefault="008B096C" w:rsidP="008B096C">
            <w:pPr>
              <w:spacing w:before="60" w:after="60"/>
              <w:jc w:val="center"/>
              <w:rPr>
                <w:sz w:val="20"/>
                <w:szCs w:val="20"/>
              </w:rPr>
            </w:pPr>
            <w:r w:rsidRPr="008B096C">
              <w:rPr>
                <w:sz w:val="20"/>
                <w:szCs w:val="20"/>
              </w:rPr>
              <w:t>132,159</w:t>
            </w:r>
          </w:p>
        </w:tc>
        <w:tc>
          <w:tcPr>
            <w:tcW w:w="1134" w:type="dxa"/>
            <w:vAlign w:val="center"/>
          </w:tcPr>
          <w:p w14:paraId="368620D9" w14:textId="45D5CE80" w:rsidR="008B096C" w:rsidRPr="008B096C" w:rsidRDefault="008B096C" w:rsidP="008B096C">
            <w:pPr>
              <w:spacing w:before="60" w:after="60"/>
              <w:jc w:val="center"/>
              <w:rPr>
                <w:sz w:val="20"/>
                <w:szCs w:val="20"/>
              </w:rPr>
            </w:pPr>
            <w:r w:rsidRPr="008B096C">
              <w:rPr>
                <w:sz w:val="20"/>
                <w:szCs w:val="20"/>
              </w:rPr>
              <w:t>72,639</w:t>
            </w:r>
          </w:p>
        </w:tc>
      </w:tr>
      <w:tr w:rsidR="008B096C" w:rsidRPr="00923150" w14:paraId="6FC0D794" w14:textId="77777777" w:rsidTr="008B096C">
        <w:trPr>
          <w:trHeight w:val="456"/>
        </w:trPr>
        <w:tc>
          <w:tcPr>
            <w:tcW w:w="1701" w:type="dxa"/>
            <w:vAlign w:val="center"/>
          </w:tcPr>
          <w:p w14:paraId="6CC10FEE" w14:textId="7EAF195D" w:rsidR="008B096C" w:rsidRPr="00865893" w:rsidRDefault="008B096C" w:rsidP="008B096C">
            <w:pPr>
              <w:spacing w:before="60" w:after="60"/>
              <w:ind w:left="34"/>
              <w:jc w:val="left"/>
            </w:pPr>
            <w:r w:rsidRPr="0083268E">
              <w:t>Portable refrigerated</w:t>
            </w:r>
          </w:p>
        </w:tc>
        <w:tc>
          <w:tcPr>
            <w:tcW w:w="1134" w:type="dxa"/>
            <w:vAlign w:val="center"/>
          </w:tcPr>
          <w:p w14:paraId="49D66AEB" w14:textId="3C9DD811" w:rsidR="008B096C" w:rsidRPr="008B096C" w:rsidRDefault="008B096C" w:rsidP="008B096C">
            <w:pPr>
              <w:spacing w:before="60" w:after="60"/>
              <w:jc w:val="center"/>
              <w:rPr>
                <w:sz w:val="20"/>
                <w:szCs w:val="20"/>
              </w:rPr>
            </w:pPr>
            <w:r w:rsidRPr="008B096C">
              <w:rPr>
                <w:sz w:val="20"/>
                <w:szCs w:val="20"/>
              </w:rPr>
              <w:t>25,188</w:t>
            </w:r>
          </w:p>
        </w:tc>
        <w:tc>
          <w:tcPr>
            <w:tcW w:w="1134" w:type="dxa"/>
            <w:vAlign w:val="center"/>
          </w:tcPr>
          <w:p w14:paraId="26A3479E" w14:textId="0E76E7C2" w:rsidR="008B096C" w:rsidRPr="008B096C" w:rsidRDefault="008B096C" w:rsidP="008B096C">
            <w:pPr>
              <w:spacing w:before="60" w:after="60"/>
              <w:jc w:val="center"/>
              <w:rPr>
                <w:sz w:val="20"/>
                <w:szCs w:val="20"/>
              </w:rPr>
            </w:pPr>
            <w:r w:rsidRPr="008B096C">
              <w:rPr>
                <w:sz w:val="20"/>
                <w:szCs w:val="20"/>
              </w:rPr>
              <w:t>77,940</w:t>
            </w:r>
          </w:p>
        </w:tc>
        <w:tc>
          <w:tcPr>
            <w:tcW w:w="1134" w:type="dxa"/>
            <w:vAlign w:val="center"/>
          </w:tcPr>
          <w:p w14:paraId="08634423" w14:textId="02A5C051" w:rsidR="008B096C" w:rsidRPr="008B096C" w:rsidRDefault="008B096C" w:rsidP="008B096C">
            <w:pPr>
              <w:spacing w:before="60" w:after="60"/>
              <w:jc w:val="center"/>
              <w:rPr>
                <w:sz w:val="20"/>
                <w:szCs w:val="20"/>
              </w:rPr>
            </w:pPr>
            <w:r w:rsidRPr="008B096C">
              <w:rPr>
                <w:sz w:val="20"/>
                <w:szCs w:val="20"/>
              </w:rPr>
              <w:t>87,009</w:t>
            </w:r>
          </w:p>
        </w:tc>
        <w:tc>
          <w:tcPr>
            <w:tcW w:w="1134" w:type="dxa"/>
            <w:vAlign w:val="center"/>
          </w:tcPr>
          <w:p w14:paraId="60265C31" w14:textId="2BCF97CD" w:rsidR="008B096C" w:rsidRPr="008B096C" w:rsidRDefault="008B096C" w:rsidP="008B096C">
            <w:pPr>
              <w:spacing w:before="60" w:after="60"/>
              <w:jc w:val="center"/>
              <w:rPr>
                <w:sz w:val="20"/>
                <w:szCs w:val="20"/>
              </w:rPr>
            </w:pPr>
            <w:r w:rsidRPr="008B096C">
              <w:rPr>
                <w:sz w:val="20"/>
                <w:szCs w:val="20"/>
              </w:rPr>
              <w:t>117,344</w:t>
            </w:r>
          </w:p>
        </w:tc>
        <w:tc>
          <w:tcPr>
            <w:tcW w:w="1134" w:type="dxa"/>
            <w:vAlign w:val="center"/>
          </w:tcPr>
          <w:p w14:paraId="321A3A8F" w14:textId="55FF6C0A" w:rsidR="008B096C" w:rsidRPr="008B096C" w:rsidRDefault="008B096C" w:rsidP="008B096C">
            <w:pPr>
              <w:spacing w:before="60" w:after="60"/>
              <w:jc w:val="center"/>
              <w:rPr>
                <w:sz w:val="20"/>
                <w:szCs w:val="20"/>
              </w:rPr>
            </w:pPr>
            <w:r w:rsidRPr="008B096C">
              <w:rPr>
                <w:sz w:val="20"/>
                <w:szCs w:val="20"/>
              </w:rPr>
              <w:t>137,611</w:t>
            </w:r>
          </w:p>
        </w:tc>
        <w:tc>
          <w:tcPr>
            <w:tcW w:w="1134" w:type="dxa"/>
            <w:vAlign w:val="center"/>
          </w:tcPr>
          <w:p w14:paraId="458CFDE5" w14:textId="3E8AE0D8" w:rsidR="008B096C" w:rsidRPr="008B096C" w:rsidRDefault="008B096C" w:rsidP="008B096C">
            <w:pPr>
              <w:spacing w:before="60" w:after="60"/>
              <w:jc w:val="center"/>
              <w:rPr>
                <w:sz w:val="20"/>
                <w:szCs w:val="20"/>
              </w:rPr>
            </w:pPr>
            <w:r w:rsidRPr="008B096C">
              <w:rPr>
                <w:sz w:val="20"/>
                <w:szCs w:val="20"/>
              </w:rPr>
              <w:t>129,781</w:t>
            </w:r>
          </w:p>
        </w:tc>
        <w:tc>
          <w:tcPr>
            <w:tcW w:w="1134" w:type="dxa"/>
            <w:vAlign w:val="center"/>
          </w:tcPr>
          <w:p w14:paraId="4CF50B57" w14:textId="70AD9DFC" w:rsidR="008B096C" w:rsidRPr="008B096C" w:rsidRDefault="008B096C" w:rsidP="008B096C">
            <w:pPr>
              <w:spacing w:before="60" w:after="60"/>
              <w:jc w:val="center"/>
              <w:rPr>
                <w:sz w:val="20"/>
                <w:szCs w:val="20"/>
              </w:rPr>
            </w:pPr>
            <w:r w:rsidRPr="008B096C">
              <w:rPr>
                <w:sz w:val="20"/>
                <w:szCs w:val="20"/>
              </w:rPr>
              <w:t>48,810</w:t>
            </w:r>
          </w:p>
        </w:tc>
      </w:tr>
      <w:tr w:rsidR="008B096C" w:rsidRPr="00923150" w14:paraId="5C557927" w14:textId="77777777" w:rsidTr="008B096C">
        <w:trPr>
          <w:trHeight w:val="456"/>
        </w:trPr>
        <w:tc>
          <w:tcPr>
            <w:tcW w:w="1701" w:type="dxa"/>
            <w:vAlign w:val="center"/>
          </w:tcPr>
          <w:p w14:paraId="541B33D6" w14:textId="1B0F639C" w:rsidR="008B096C" w:rsidRPr="00865893" w:rsidRDefault="008B096C" w:rsidP="008B096C">
            <w:pPr>
              <w:spacing w:before="60" w:after="60"/>
              <w:ind w:left="34"/>
              <w:jc w:val="left"/>
            </w:pPr>
            <w:r w:rsidRPr="0083268E">
              <w:t>Split system: multi head/vrf</w:t>
            </w:r>
          </w:p>
        </w:tc>
        <w:tc>
          <w:tcPr>
            <w:tcW w:w="1134" w:type="dxa"/>
            <w:vAlign w:val="center"/>
          </w:tcPr>
          <w:p w14:paraId="7C9D6E67" w14:textId="4F92BD03" w:rsidR="008B096C" w:rsidRPr="008B096C" w:rsidRDefault="008B096C" w:rsidP="008B096C">
            <w:pPr>
              <w:spacing w:before="60" w:after="60"/>
              <w:jc w:val="center"/>
              <w:rPr>
                <w:sz w:val="20"/>
                <w:szCs w:val="20"/>
              </w:rPr>
            </w:pPr>
            <w:r w:rsidRPr="008B096C">
              <w:rPr>
                <w:sz w:val="20"/>
                <w:szCs w:val="20"/>
              </w:rPr>
              <w:t>30,625</w:t>
            </w:r>
          </w:p>
        </w:tc>
        <w:tc>
          <w:tcPr>
            <w:tcW w:w="1134" w:type="dxa"/>
            <w:vAlign w:val="center"/>
          </w:tcPr>
          <w:p w14:paraId="3E1C9EAB" w14:textId="4B6A0EA8" w:rsidR="008B096C" w:rsidRPr="008B096C" w:rsidRDefault="008B096C" w:rsidP="008B096C">
            <w:pPr>
              <w:spacing w:before="60" w:after="60"/>
              <w:jc w:val="center"/>
              <w:rPr>
                <w:sz w:val="20"/>
                <w:szCs w:val="20"/>
              </w:rPr>
            </w:pPr>
            <w:r w:rsidRPr="008B096C">
              <w:rPr>
                <w:sz w:val="20"/>
                <w:szCs w:val="20"/>
              </w:rPr>
              <w:t>37,312</w:t>
            </w:r>
          </w:p>
        </w:tc>
        <w:tc>
          <w:tcPr>
            <w:tcW w:w="1134" w:type="dxa"/>
            <w:vAlign w:val="center"/>
          </w:tcPr>
          <w:p w14:paraId="338FEFA8" w14:textId="3EC11275" w:rsidR="008B096C" w:rsidRPr="008B096C" w:rsidRDefault="008B096C" w:rsidP="008B096C">
            <w:pPr>
              <w:spacing w:before="60" w:after="60"/>
              <w:jc w:val="center"/>
              <w:rPr>
                <w:sz w:val="20"/>
                <w:szCs w:val="20"/>
              </w:rPr>
            </w:pPr>
            <w:r w:rsidRPr="008B096C">
              <w:rPr>
                <w:sz w:val="20"/>
                <w:szCs w:val="20"/>
              </w:rPr>
              <w:t>43,093</w:t>
            </w:r>
          </w:p>
        </w:tc>
        <w:tc>
          <w:tcPr>
            <w:tcW w:w="1134" w:type="dxa"/>
            <w:vAlign w:val="center"/>
          </w:tcPr>
          <w:p w14:paraId="69A25682" w14:textId="0FEDDAAA" w:rsidR="008B096C" w:rsidRPr="008B096C" w:rsidRDefault="008B096C" w:rsidP="008B096C">
            <w:pPr>
              <w:spacing w:before="60" w:after="60"/>
              <w:jc w:val="center"/>
              <w:rPr>
                <w:sz w:val="20"/>
                <w:szCs w:val="20"/>
              </w:rPr>
            </w:pPr>
            <w:r w:rsidRPr="008B096C">
              <w:rPr>
                <w:sz w:val="20"/>
                <w:szCs w:val="20"/>
              </w:rPr>
              <w:t>49,900</w:t>
            </w:r>
          </w:p>
        </w:tc>
        <w:tc>
          <w:tcPr>
            <w:tcW w:w="1134" w:type="dxa"/>
            <w:vAlign w:val="center"/>
          </w:tcPr>
          <w:p w14:paraId="036210CA" w14:textId="32EA5C2A" w:rsidR="008B096C" w:rsidRPr="008B096C" w:rsidRDefault="008B096C" w:rsidP="008B096C">
            <w:pPr>
              <w:spacing w:before="60" w:after="60"/>
              <w:jc w:val="center"/>
              <w:rPr>
                <w:sz w:val="20"/>
                <w:szCs w:val="20"/>
              </w:rPr>
            </w:pPr>
            <w:r w:rsidRPr="008B096C">
              <w:rPr>
                <w:sz w:val="20"/>
                <w:szCs w:val="20"/>
              </w:rPr>
              <w:t>35,128</w:t>
            </w:r>
          </w:p>
        </w:tc>
        <w:tc>
          <w:tcPr>
            <w:tcW w:w="1134" w:type="dxa"/>
            <w:vAlign w:val="center"/>
          </w:tcPr>
          <w:p w14:paraId="32A08850" w14:textId="68A5A977" w:rsidR="008B096C" w:rsidRPr="008B096C" w:rsidRDefault="008B096C" w:rsidP="008B096C">
            <w:pPr>
              <w:spacing w:before="60" w:after="60"/>
              <w:jc w:val="center"/>
              <w:rPr>
                <w:sz w:val="20"/>
                <w:szCs w:val="20"/>
              </w:rPr>
            </w:pPr>
            <w:r w:rsidRPr="008B096C">
              <w:rPr>
                <w:sz w:val="20"/>
                <w:szCs w:val="20"/>
              </w:rPr>
              <w:t>30,955</w:t>
            </w:r>
          </w:p>
        </w:tc>
        <w:tc>
          <w:tcPr>
            <w:tcW w:w="1134" w:type="dxa"/>
            <w:vAlign w:val="center"/>
          </w:tcPr>
          <w:p w14:paraId="539A2A4C" w14:textId="13BAB48E" w:rsidR="008B096C" w:rsidRPr="008B096C" w:rsidRDefault="008B096C" w:rsidP="008B096C">
            <w:pPr>
              <w:spacing w:before="60" w:after="60"/>
              <w:jc w:val="center"/>
              <w:rPr>
                <w:sz w:val="20"/>
                <w:szCs w:val="20"/>
              </w:rPr>
            </w:pPr>
            <w:r w:rsidRPr="008B096C">
              <w:rPr>
                <w:sz w:val="20"/>
                <w:szCs w:val="20"/>
              </w:rPr>
              <w:t>29,655</w:t>
            </w:r>
          </w:p>
        </w:tc>
      </w:tr>
      <w:tr w:rsidR="008B096C" w:rsidRPr="00923150" w14:paraId="287B2081" w14:textId="77777777" w:rsidTr="008B096C">
        <w:trPr>
          <w:trHeight w:val="456"/>
        </w:trPr>
        <w:tc>
          <w:tcPr>
            <w:tcW w:w="1701" w:type="dxa"/>
            <w:vAlign w:val="center"/>
          </w:tcPr>
          <w:p w14:paraId="1155984A" w14:textId="1A35EB50" w:rsidR="008B096C" w:rsidRPr="009C4F38" w:rsidRDefault="008B096C" w:rsidP="008B096C">
            <w:pPr>
              <w:spacing w:before="60" w:after="60"/>
              <w:ind w:left="34"/>
              <w:jc w:val="left"/>
            </w:pPr>
            <w:r w:rsidRPr="0083268E">
              <w:t>Split system: single head</w:t>
            </w:r>
          </w:p>
        </w:tc>
        <w:tc>
          <w:tcPr>
            <w:tcW w:w="1134" w:type="dxa"/>
            <w:vAlign w:val="center"/>
          </w:tcPr>
          <w:p w14:paraId="1BC01C23" w14:textId="7CAD7862" w:rsidR="008B096C" w:rsidRPr="008B096C" w:rsidRDefault="008B096C" w:rsidP="008B096C">
            <w:pPr>
              <w:spacing w:before="60" w:after="60"/>
              <w:jc w:val="center"/>
              <w:rPr>
                <w:sz w:val="20"/>
                <w:szCs w:val="20"/>
              </w:rPr>
            </w:pPr>
            <w:r w:rsidRPr="008B096C">
              <w:rPr>
                <w:sz w:val="20"/>
                <w:szCs w:val="20"/>
              </w:rPr>
              <w:t>700,233</w:t>
            </w:r>
          </w:p>
        </w:tc>
        <w:tc>
          <w:tcPr>
            <w:tcW w:w="1134" w:type="dxa"/>
            <w:vAlign w:val="center"/>
          </w:tcPr>
          <w:p w14:paraId="3404289B" w14:textId="25F04EC6" w:rsidR="008B096C" w:rsidRPr="008B096C" w:rsidRDefault="008B096C" w:rsidP="008B096C">
            <w:pPr>
              <w:spacing w:before="60" w:after="60"/>
              <w:jc w:val="center"/>
              <w:rPr>
                <w:sz w:val="20"/>
                <w:szCs w:val="20"/>
              </w:rPr>
            </w:pPr>
            <w:r w:rsidRPr="008B096C">
              <w:rPr>
                <w:sz w:val="20"/>
                <w:szCs w:val="20"/>
              </w:rPr>
              <w:t>801,460</w:t>
            </w:r>
          </w:p>
        </w:tc>
        <w:tc>
          <w:tcPr>
            <w:tcW w:w="1134" w:type="dxa"/>
            <w:vAlign w:val="center"/>
          </w:tcPr>
          <w:p w14:paraId="1E969D80" w14:textId="0F0ACF7C" w:rsidR="008B096C" w:rsidRPr="008B096C" w:rsidRDefault="008B096C" w:rsidP="008B096C">
            <w:pPr>
              <w:spacing w:before="60" w:after="60"/>
              <w:jc w:val="center"/>
              <w:rPr>
                <w:sz w:val="20"/>
                <w:szCs w:val="20"/>
              </w:rPr>
            </w:pPr>
            <w:r w:rsidRPr="008B096C">
              <w:rPr>
                <w:sz w:val="20"/>
                <w:szCs w:val="20"/>
              </w:rPr>
              <w:t>886,572</w:t>
            </w:r>
          </w:p>
        </w:tc>
        <w:tc>
          <w:tcPr>
            <w:tcW w:w="1134" w:type="dxa"/>
            <w:vAlign w:val="center"/>
          </w:tcPr>
          <w:p w14:paraId="1324ED27" w14:textId="2CC67B73" w:rsidR="008B096C" w:rsidRPr="008B096C" w:rsidRDefault="008B096C" w:rsidP="008B096C">
            <w:pPr>
              <w:spacing w:before="60" w:after="60"/>
              <w:jc w:val="center"/>
              <w:rPr>
                <w:sz w:val="20"/>
                <w:szCs w:val="20"/>
              </w:rPr>
            </w:pPr>
            <w:r w:rsidRPr="008B096C">
              <w:rPr>
                <w:sz w:val="20"/>
                <w:szCs w:val="20"/>
              </w:rPr>
              <w:t>779,184</w:t>
            </w:r>
          </w:p>
        </w:tc>
        <w:tc>
          <w:tcPr>
            <w:tcW w:w="1134" w:type="dxa"/>
            <w:vAlign w:val="center"/>
          </w:tcPr>
          <w:p w14:paraId="0AAAA6BF" w14:textId="557AB57B" w:rsidR="008B096C" w:rsidRPr="008B096C" w:rsidRDefault="008B096C" w:rsidP="008B096C">
            <w:pPr>
              <w:spacing w:before="60" w:after="60"/>
              <w:jc w:val="center"/>
              <w:rPr>
                <w:sz w:val="20"/>
                <w:szCs w:val="20"/>
              </w:rPr>
            </w:pPr>
            <w:r w:rsidRPr="008B096C">
              <w:rPr>
                <w:sz w:val="20"/>
                <w:szCs w:val="20"/>
              </w:rPr>
              <w:t>741,118</w:t>
            </w:r>
          </w:p>
        </w:tc>
        <w:tc>
          <w:tcPr>
            <w:tcW w:w="1134" w:type="dxa"/>
            <w:vAlign w:val="center"/>
          </w:tcPr>
          <w:p w14:paraId="4FCB9BFE" w14:textId="5F910D31" w:rsidR="008B096C" w:rsidRPr="008B096C" w:rsidRDefault="008B096C" w:rsidP="008B096C">
            <w:pPr>
              <w:spacing w:before="60" w:after="60"/>
              <w:jc w:val="center"/>
              <w:rPr>
                <w:sz w:val="20"/>
                <w:szCs w:val="20"/>
              </w:rPr>
            </w:pPr>
            <w:r w:rsidRPr="008B096C">
              <w:rPr>
                <w:sz w:val="20"/>
                <w:szCs w:val="20"/>
              </w:rPr>
              <w:t>968,107</w:t>
            </w:r>
          </w:p>
        </w:tc>
        <w:tc>
          <w:tcPr>
            <w:tcW w:w="1134" w:type="dxa"/>
            <w:vAlign w:val="center"/>
          </w:tcPr>
          <w:p w14:paraId="512C385D" w14:textId="5AB40503" w:rsidR="008B096C" w:rsidRPr="008B096C" w:rsidRDefault="008B096C" w:rsidP="008B096C">
            <w:pPr>
              <w:spacing w:before="60" w:after="60"/>
              <w:jc w:val="center"/>
              <w:rPr>
                <w:sz w:val="20"/>
                <w:szCs w:val="20"/>
              </w:rPr>
            </w:pPr>
            <w:r w:rsidRPr="008B096C">
              <w:rPr>
                <w:sz w:val="20"/>
                <w:szCs w:val="20"/>
              </w:rPr>
              <w:t>797,043</w:t>
            </w:r>
          </w:p>
        </w:tc>
      </w:tr>
      <w:tr w:rsidR="008B096C" w:rsidRPr="00923150" w14:paraId="6BB38237" w14:textId="77777777" w:rsidTr="008B096C">
        <w:trPr>
          <w:trHeight w:val="456"/>
        </w:trPr>
        <w:tc>
          <w:tcPr>
            <w:tcW w:w="1701" w:type="dxa"/>
            <w:tcBorders>
              <w:top w:val="double" w:sz="4" w:space="0" w:color="auto"/>
            </w:tcBorders>
            <w:vAlign w:val="center"/>
          </w:tcPr>
          <w:p w14:paraId="5C99F488" w14:textId="475836CE" w:rsidR="008B096C" w:rsidRPr="00865893" w:rsidRDefault="008B096C" w:rsidP="008B096C">
            <w:pPr>
              <w:spacing w:before="60" w:after="60"/>
              <w:ind w:left="34"/>
              <w:jc w:val="left"/>
            </w:pPr>
            <w:r w:rsidRPr="0083268E">
              <w:t>Total AC</w:t>
            </w:r>
          </w:p>
        </w:tc>
        <w:tc>
          <w:tcPr>
            <w:tcW w:w="1134" w:type="dxa"/>
            <w:tcBorders>
              <w:top w:val="double" w:sz="4" w:space="0" w:color="auto"/>
            </w:tcBorders>
            <w:vAlign w:val="center"/>
          </w:tcPr>
          <w:p w14:paraId="18384AC2" w14:textId="473139BA" w:rsidR="008B096C" w:rsidRPr="008B096C" w:rsidRDefault="008B096C" w:rsidP="008B096C">
            <w:pPr>
              <w:spacing w:before="60" w:after="60"/>
              <w:jc w:val="center"/>
              <w:rPr>
                <w:sz w:val="20"/>
                <w:szCs w:val="20"/>
              </w:rPr>
            </w:pPr>
            <w:r w:rsidRPr="008B096C">
              <w:rPr>
                <w:sz w:val="20"/>
                <w:szCs w:val="20"/>
              </w:rPr>
              <w:t>926,366</w:t>
            </w:r>
          </w:p>
        </w:tc>
        <w:tc>
          <w:tcPr>
            <w:tcW w:w="1134" w:type="dxa"/>
            <w:tcBorders>
              <w:top w:val="double" w:sz="4" w:space="0" w:color="auto"/>
            </w:tcBorders>
            <w:vAlign w:val="center"/>
          </w:tcPr>
          <w:p w14:paraId="00BDFF05" w14:textId="46807527" w:rsidR="008B096C" w:rsidRPr="008B096C" w:rsidRDefault="008B096C" w:rsidP="008B096C">
            <w:pPr>
              <w:spacing w:before="60" w:after="60"/>
              <w:jc w:val="center"/>
              <w:rPr>
                <w:sz w:val="20"/>
                <w:szCs w:val="20"/>
              </w:rPr>
            </w:pPr>
            <w:r w:rsidRPr="008B096C">
              <w:rPr>
                <w:sz w:val="20"/>
                <w:szCs w:val="20"/>
              </w:rPr>
              <w:t>1,110,966</w:t>
            </w:r>
          </w:p>
        </w:tc>
        <w:tc>
          <w:tcPr>
            <w:tcW w:w="1134" w:type="dxa"/>
            <w:tcBorders>
              <w:top w:val="double" w:sz="4" w:space="0" w:color="auto"/>
            </w:tcBorders>
            <w:vAlign w:val="center"/>
          </w:tcPr>
          <w:p w14:paraId="5F8A85E7" w14:textId="491B382D" w:rsidR="008B096C" w:rsidRPr="008B096C" w:rsidRDefault="008B096C" w:rsidP="008B096C">
            <w:pPr>
              <w:spacing w:before="60" w:after="60"/>
              <w:jc w:val="center"/>
              <w:rPr>
                <w:sz w:val="20"/>
                <w:szCs w:val="20"/>
              </w:rPr>
            </w:pPr>
            <w:r w:rsidRPr="008B096C">
              <w:rPr>
                <w:sz w:val="20"/>
                <w:szCs w:val="20"/>
              </w:rPr>
              <w:t>1,144,520</w:t>
            </w:r>
          </w:p>
        </w:tc>
        <w:tc>
          <w:tcPr>
            <w:tcW w:w="1134" w:type="dxa"/>
            <w:tcBorders>
              <w:top w:val="double" w:sz="4" w:space="0" w:color="auto"/>
            </w:tcBorders>
            <w:vAlign w:val="center"/>
          </w:tcPr>
          <w:p w14:paraId="1D9CEEA9" w14:textId="3446FC7A" w:rsidR="008B096C" w:rsidRPr="008B096C" w:rsidRDefault="008B096C" w:rsidP="008B096C">
            <w:pPr>
              <w:spacing w:before="60" w:after="60"/>
              <w:jc w:val="center"/>
              <w:rPr>
                <w:sz w:val="20"/>
                <w:szCs w:val="20"/>
              </w:rPr>
            </w:pPr>
            <w:r w:rsidRPr="008B096C">
              <w:rPr>
                <w:sz w:val="20"/>
                <w:szCs w:val="20"/>
              </w:rPr>
              <w:t>1,090,642</w:t>
            </w:r>
          </w:p>
        </w:tc>
        <w:tc>
          <w:tcPr>
            <w:tcW w:w="1134" w:type="dxa"/>
            <w:tcBorders>
              <w:top w:val="double" w:sz="4" w:space="0" w:color="auto"/>
            </w:tcBorders>
            <w:vAlign w:val="center"/>
          </w:tcPr>
          <w:p w14:paraId="49A2455E" w14:textId="22509DE7" w:rsidR="008B096C" w:rsidRPr="008B096C" w:rsidRDefault="008B096C" w:rsidP="008B096C">
            <w:pPr>
              <w:spacing w:before="60" w:after="60"/>
              <w:jc w:val="center"/>
              <w:rPr>
                <w:sz w:val="20"/>
                <w:szCs w:val="20"/>
              </w:rPr>
            </w:pPr>
            <w:r w:rsidRPr="008B096C">
              <w:rPr>
                <w:sz w:val="20"/>
                <w:szCs w:val="20"/>
              </w:rPr>
              <w:t>1,062,148</w:t>
            </w:r>
          </w:p>
        </w:tc>
        <w:tc>
          <w:tcPr>
            <w:tcW w:w="1134" w:type="dxa"/>
            <w:tcBorders>
              <w:top w:val="double" w:sz="4" w:space="0" w:color="auto"/>
            </w:tcBorders>
            <w:vAlign w:val="center"/>
          </w:tcPr>
          <w:p w14:paraId="1946E372" w14:textId="1BA8CDCB" w:rsidR="008B096C" w:rsidRPr="008B096C" w:rsidRDefault="008B096C" w:rsidP="008B096C">
            <w:pPr>
              <w:spacing w:before="60" w:after="60"/>
              <w:jc w:val="center"/>
              <w:rPr>
                <w:sz w:val="20"/>
                <w:szCs w:val="20"/>
              </w:rPr>
            </w:pPr>
            <w:r w:rsidRPr="008B096C">
              <w:rPr>
                <w:sz w:val="20"/>
                <w:szCs w:val="20"/>
              </w:rPr>
              <w:t>1,282,963</w:t>
            </w:r>
          </w:p>
        </w:tc>
        <w:tc>
          <w:tcPr>
            <w:tcW w:w="1134" w:type="dxa"/>
            <w:tcBorders>
              <w:top w:val="double" w:sz="4" w:space="0" w:color="auto"/>
            </w:tcBorders>
            <w:vAlign w:val="center"/>
          </w:tcPr>
          <w:p w14:paraId="4F903E51" w14:textId="2D8E6E1A" w:rsidR="008B096C" w:rsidRPr="008B096C" w:rsidRDefault="008B096C" w:rsidP="008B096C">
            <w:pPr>
              <w:spacing w:before="60" w:after="60"/>
              <w:jc w:val="center"/>
              <w:rPr>
                <w:sz w:val="20"/>
                <w:szCs w:val="20"/>
              </w:rPr>
            </w:pPr>
            <w:r w:rsidRPr="008B096C">
              <w:rPr>
                <w:sz w:val="20"/>
                <w:szCs w:val="20"/>
              </w:rPr>
              <w:t>969,150</w:t>
            </w:r>
          </w:p>
        </w:tc>
      </w:tr>
    </w:tbl>
    <w:p w14:paraId="58A82192" w14:textId="77777777" w:rsidR="003B0686" w:rsidRDefault="003B0686" w:rsidP="003B0686">
      <w:pPr>
        <w:spacing w:before="0"/>
        <w:rPr>
          <w:szCs w:val="22"/>
        </w:rPr>
      </w:pPr>
      <w:r w:rsidRPr="00116557">
        <w:rPr>
          <w:sz w:val="20"/>
          <w:szCs w:val="20"/>
        </w:rPr>
        <w:t xml:space="preserve">(Sources: </w:t>
      </w:r>
      <w:r>
        <w:rPr>
          <w:sz w:val="20"/>
          <w:szCs w:val="20"/>
        </w:rPr>
        <w:t>DSEWPaC 2013a)</w:t>
      </w:r>
    </w:p>
    <w:p w14:paraId="1CE47505" w14:textId="433559E7" w:rsidR="00CB3BC3" w:rsidRPr="00CB3BC3" w:rsidRDefault="00CB3BC3" w:rsidP="00CB3BC3">
      <w:pPr>
        <w:spacing w:before="240"/>
        <w:rPr>
          <w:szCs w:val="22"/>
        </w:rPr>
      </w:pPr>
      <w:r w:rsidRPr="00CB3BC3">
        <w:rPr>
          <w:szCs w:val="22"/>
        </w:rPr>
        <w:t xml:space="preserve">While such a detailed breakdown is not available for 2012, the total equipment numbers imported </w:t>
      </w:r>
      <w:r w:rsidR="00380E53">
        <w:rPr>
          <w:szCs w:val="22"/>
        </w:rPr>
        <w:t>up to 2011</w:t>
      </w:r>
      <w:r w:rsidRPr="00CB3BC3">
        <w:rPr>
          <w:szCs w:val="22"/>
        </w:rPr>
        <w:t xml:space="preserve"> confirm</w:t>
      </w:r>
      <w:r w:rsidR="00380E53">
        <w:rPr>
          <w:szCs w:val="22"/>
        </w:rPr>
        <w:t>s</w:t>
      </w:r>
      <w:r w:rsidRPr="00CB3BC3">
        <w:rPr>
          <w:szCs w:val="22"/>
        </w:rPr>
        <w:t xml:space="preserve"> the trend seen in bulk gas imports, levelling off in demand from the highs of 2010. </w:t>
      </w:r>
    </w:p>
    <w:p w14:paraId="0369F186" w14:textId="717CF1EF" w:rsidR="00CB3BC3" w:rsidRPr="00CB3BC3" w:rsidRDefault="00CB3BC3" w:rsidP="00CB3BC3">
      <w:pPr>
        <w:spacing w:before="240"/>
        <w:rPr>
          <w:szCs w:val="22"/>
        </w:rPr>
      </w:pPr>
      <w:r w:rsidRPr="00CB3BC3">
        <w:rPr>
          <w:szCs w:val="22"/>
        </w:rPr>
        <w:t xml:space="preserve">The next largest class of equipment imported was more than 896,000 mobile air conditioning systems, each with an average charge of 625 grams, containing in aggregate around 560 tonnes of refrigerant and accounting for around 19 per cent of imported HFCs. </w:t>
      </w:r>
    </w:p>
    <w:p w14:paraId="126357B5" w14:textId="77777777" w:rsidR="00CB3BC3" w:rsidRPr="00CB3BC3" w:rsidRDefault="00CB3BC3" w:rsidP="00CB3BC3">
      <w:pPr>
        <w:rPr>
          <w:szCs w:val="22"/>
        </w:rPr>
      </w:pPr>
      <w:r w:rsidRPr="00CB3BC3">
        <w:rPr>
          <w:szCs w:val="22"/>
        </w:rPr>
        <w:t>There was 94 tonnes of refrigerant imported in domestic refrigerators, and a further 13 tonnes in portable refrigerators in 2010.</w:t>
      </w:r>
    </w:p>
    <w:p w14:paraId="08286CCF" w14:textId="2640306A" w:rsidR="00CB3BC3" w:rsidRPr="00CB3BC3" w:rsidRDefault="00CB3BC3" w:rsidP="00CB3BC3">
      <w:pPr>
        <w:rPr>
          <w:szCs w:val="22"/>
        </w:rPr>
      </w:pPr>
      <w:r w:rsidRPr="00CB3BC3">
        <w:rPr>
          <w:szCs w:val="22"/>
        </w:rPr>
        <w:t>The five year average for refrigerant gas volume for all pre-charged equipment imports is 2,470 tonnes per annum. The main refrigerant types involved changed significantly over that period, largely due to the Montreal Protocol initiatives driving the phase out of HCFCs. In 2006 HFC-410A represented 35 per cent of gas contained in PCE imports. By 2010 it had grown to over 1,300 tonnes to represent more than 50 per cent. In contrast HCFC-22 has declined from around 30 per cent</w:t>
      </w:r>
      <w:r w:rsidR="00353D98">
        <w:rPr>
          <w:szCs w:val="22"/>
        </w:rPr>
        <w:t xml:space="preserve"> of gas in PCE</w:t>
      </w:r>
      <w:r w:rsidRPr="00CB3BC3">
        <w:rPr>
          <w:szCs w:val="22"/>
        </w:rPr>
        <w:t xml:space="preserve"> in 2006 to just 3 per cent in 2010. </w:t>
      </w:r>
    </w:p>
    <w:p w14:paraId="11E30191" w14:textId="215A3273" w:rsidR="00CB3BC3" w:rsidRPr="00CB3BC3" w:rsidRDefault="00CB3BC3" w:rsidP="00CB3BC3">
      <w:pPr>
        <w:rPr>
          <w:szCs w:val="22"/>
        </w:rPr>
      </w:pPr>
      <w:r w:rsidRPr="00CB3BC3">
        <w:rPr>
          <w:szCs w:val="22"/>
        </w:rPr>
        <w:t xml:space="preserve">HFC-134a imports have remained relatively steady with a five year average of 736 tonnes which equates to around 30 per cent of total </w:t>
      </w:r>
      <w:r w:rsidR="00353D98">
        <w:rPr>
          <w:szCs w:val="22"/>
        </w:rPr>
        <w:t>PCE</w:t>
      </w:r>
      <w:r w:rsidRPr="00CB3BC3">
        <w:rPr>
          <w:szCs w:val="22"/>
        </w:rPr>
        <w:t xml:space="preserve"> imports. On average, HFC-404A makes up only 1 per cent of </w:t>
      </w:r>
      <w:r w:rsidR="00353D98">
        <w:rPr>
          <w:szCs w:val="22"/>
        </w:rPr>
        <w:t>PCE</w:t>
      </w:r>
      <w:r w:rsidRPr="00CB3BC3">
        <w:rPr>
          <w:szCs w:val="22"/>
        </w:rPr>
        <w:t xml:space="preserve"> imports over the last five years, as applications using this substance are mostly charged on site with gas provided by bulk importers. The only major exception to this is for self-powered refrigerators, used for refrigerated road transport, which were imported containing, in aggregate, around 7 tonnes of HFC-404A.</w:t>
      </w:r>
    </w:p>
    <w:p w14:paraId="4CBFCC46" w14:textId="77777777" w:rsidR="00CB3BC3" w:rsidRPr="00CB3BC3" w:rsidRDefault="00CB3BC3" w:rsidP="00CB3BC3">
      <w:pPr>
        <w:rPr>
          <w:szCs w:val="22"/>
        </w:rPr>
      </w:pPr>
      <w:r w:rsidRPr="00CB3BC3">
        <w:rPr>
          <w:i/>
          <w:szCs w:val="22"/>
        </w:rPr>
        <w:t>Figures 8</w:t>
      </w:r>
      <w:r w:rsidRPr="00CB3BC3">
        <w:rPr>
          <w:szCs w:val="22"/>
        </w:rPr>
        <w:t xml:space="preserve"> and </w:t>
      </w:r>
      <w:r w:rsidRPr="00CB3BC3">
        <w:rPr>
          <w:i/>
          <w:szCs w:val="22"/>
        </w:rPr>
        <w:t>9</w:t>
      </w:r>
      <w:r w:rsidRPr="00CB3BC3">
        <w:rPr>
          <w:szCs w:val="22"/>
        </w:rPr>
        <w:t xml:space="preserve"> provide a dissection of pre-charged imports by equipment and refrigerant type for 2010 based on metric tonnes.</w:t>
      </w:r>
    </w:p>
    <w:p w14:paraId="19E1D0E4" w14:textId="7F5D4E26" w:rsidR="00950525" w:rsidRDefault="00950525">
      <w:pPr>
        <w:spacing w:before="0"/>
        <w:jc w:val="left"/>
      </w:pPr>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504954" w:rsidRPr="005D159D" w14:paraId="2A14AAD1" w14:textId="77777777" w:rsidTr="00950525">
        <w:tc>
          <w:tcPr>
            <w:tcW w:w="9605" w:type="dxa"/>
            <w:vAlign w:val="center"/>
          </w:tcPr>
          <w:p w14:paraId="071775F3" w14:textId="513E61BC" w:rsidR="00504954" w:rsidRPr="005D159D" w:rsidRDefault="00504954" w:rsidP="00980E6A">
            <w:pPr>
              <w:spacing w:after="120"/>
              <w:jc w:val="center"/>
              <w:rPr>
                <w:b/>
                <w:sz w:val="24"/>
              </w:rPr>
            </w:pPr>
            <w:r w:rsidRPr="005D159D">
              <w:rPr>
                <w:b/>
                <w:sz w:val="24"/>
              </w:rPr>
              <w:lastRenderedPageBreak/>
              <w:br w:type="page"/>
            </w:r>
            <w:r w:rsidR="0052140E">
              <w:rPr>
                <w:b/>
                <w:sz w:val="24"/>
              </w:rPr>
              <w:t xml:space="preserve">2012 </w:t>
            </w:r>
            <w:r w:rsidR="000B268D">
              <w:rPr>
                <w:b/>
                <w:sz w:val="24"/>
              </w:rPr>
              <w:t>PCE imports</w:t>
            </w:r>
            <w:r w:rsidRPr="005D159D">
              <w:rPr>
                <w:b/>
                <w:sz w:val="24"/>
              </w:rPr>
              <w:t xml:space="preserve"> </w:t>
            </w:r>
            <w:r w:rsidR="00866E5A">
              <w:rPr>
                <w:b/>
                <w:sz w:val="24"/>
              </w:rPr>
              <w:t>by reporting ca</w:t>
            </w:r>
            <w:r w:rsidR="00291F2D">
              <w:rPr>
                <w:b/>
                <w:sz w:val="24"/>
              </w:rPr>
              <w:t>tegory</w:t>
            </w:r>
          </w:p>
        </w:tc>
      </w:tr>
      <w:tr w:rsidR="00504954" w:rsidRPr="00BD20BC" w14:paraId="42D6C36A" w14:textId="77777777" w:rsidTr="00950525">
        <w:tc>
          <w:tcPr>
            <w:tcW w:w="9605" w:type="dxa"/>
            <w:vAlign w:val="center"/>
          </w:tcPr>
          <w:p w14:paraId="2A8147CF" w14:textId="44C7D3A4" w:rsidR="00504954" w:rsidRDefault="00866E5A" w:rsidP="00504954">
            <w:pPr>
              <w:jc w:val="center"/>
              <w:rPr>
                <w:sz w:val="16"/>
                <w:szCs w:val="16"/>
              </w:rPr>
            </w:pPr>
            <w:r>
              <w:rPr>
                <w:noProof/>
                <w:lang w:val="en-US"/>
              </w:rPr>
              <w:drawing>
                <wp:inline distT="0" distB="0" distL="0" distR="0" wp14:anchorId="410F08BB" wp14:editId="0FBE1E2A">
                  <wp:extent cx="5793740" cy="6450330"/>
                  <wp:effectExtent l="0" t="0" r="0" b="12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CAC8E2A" w14:textId="77777777" w:rsidR="00504954" w:rsidRPr="00BD20BC" w:rsidRDefault="00504954" w:rsidP="00504954">
            <w:pPr>
              <w:jc w:val="center"/>
              <w:rPr>
                <w:sz w:val="16"/>
                <w:szCs w:val="16"/>
              </w:rPr>
            </w:pPr>
          </w:p>
        </w:tc>
      </w:tr>
      <w:tr w:rsidR="00980E6A" w:rsidRPr="00042727" w14:paraId="067B1B9B" w14:textId="77777777" w:rsidTr="00950525">
        <w:tc>
          <w:tcPr>
            <w:tcW w:w="9605" w:type="dxa"/>
            <w:vAlign w:val="center"/>
          </w:tcPr>
          <w:p w14:paraId="006D91B2" w14:textId="1B092759" w:rsidR="00980E6A" w:rsidRPr="005D159D" w:rsidRDefault="00980E6A" w:rsidP="00866E5A">
            <w:pPr>
              <w:spacing w:before="60" w:after="60"/>
              <w:rPr>
                <w:i/>
                <w:sz w:val="20"/>
              </w:rPr>
            </w:pPr>
            <w:bookmarkStart w:id="50" w:name="_Toc233083984"/>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8</w:t>
            </w:r>
            <w:r w:rsidRPr="005D159D">
              <w:rPr>
                <w:i/>
                <w:sz w:val="20"/>
              </w:rPr>
              <w:fldChar w:fldCharType="end"/>
            </w:r>
            <w:r w:rsidRPr="005D159D">
              <w:rPr>
                <w:i/>
                <w:sz w:val="20"/>
              </w:rPr>
              <w:t xml:space="preserve">: </w:t>
            </w:r>
            <w:r w:rsidRPr="00504954">
              <w:rPr>
                <w:i/>
                <w:sz w:val="20"/>
              </w:rPr>
              <w:t>201</w:t>
            </w:r>
            <w:r w:rsidR="0052140E">
              <w:rPr>
                <w:i/>
                <w:sz w:val="20"/>
              </w:rPr>
              <w:t>2</w:t>
            </w:r>
            <w:r w:rsidRPr="00504954">
              <w:rPr>
                <w:i/>
                <w:sz w:val="20"/>
              </w:rPr>
              <w:t xml:space="preserve"> pre-cha</w:t>
            </w:r>
            <w:r w:rsidR="0052140E">
              <w:rPr>
                <w:i/>
                <w:sz w:val="20"/>
              </w:rPr>
              <w:t xml:space="preserve">rged imports by </w:t>
            </w:r>
            <w:r w:rsidR="00866E5A">
              <w:rPr>
                <w:i/>
                <w:sz w:val="20"/>
              </w:rPr>
              <w:t>reporting category in tonnes</w:t>
            </w:r>
            <w:bookmarkEnd w:id="50"/>
          </w:p>
        </w:tc>
      </w:tr>
      <w:tr w:rsidR="00504954" w:rsidRPr="00042727" w14:paraId="3DBDD25E" w14:textId="77777777" w:rsidTr="00950525">
        <w:tc>
          <w:tcPr>
            <w:tcW w:w="9605" w:type="dxa"/>
            <w:vAlign w:val="center"/>
          </w:tcPr>
          <w:p w14:paraId="44139166" w14:textId="7F0DCACD" w:rsidR="00504954" w:rsidRPr="00980E6A" w:rsidRDefault="00980E6A" w:rsidP="00866E5A">
            <w:pPr>
              <w:spacing w:before="60" w:after="60"/>
              <w:rPr>
                <w:sz w:val="20"/>
                <w:szCs w:val="20"/>
              </w:rPr>
            </w:pPr>
            <w:r w:rsidRPr="00980E6A">
              <w:rPr>
                <w:sz w:val="20"/>
                <w:szCs w:val="20"/>
              </w:rPr>
              <w:t xml:space="preserve">Note: </w:t>
            </w:r>
            <w:r w:rsidR="0052140E">
              <w:rPr>
                <w:sz w:val="20"/>
                <w:szCs w:val="20"/>
              </w:rPr>
              <w:t xml:space="preserve">The equipment </w:t>
            </w:r>
            <w:r w:rsidRPr="00980E6A">
              <w:rPr>
                <w:sz w:val="20"/>
                <w:szCs w:val="20"/>
              </w:rPr>
              <w:t>reporting</w:t>
            </w:r>
            <w:r w:rsidR="0052140E">
              <w:rPr>
                <w:sz w:val="20"/>
                <w:szCs w:val="20"/>
              </w:rPr>
              <w:t xml:space="preserve"> categories </w:t>
            </w:r>
            <w:r w:rsidR="00866E5A">
              <w:rPr>
                <w:sz w:val="20"/>
                <w:szCs w:val="20"/>
              </w:rPr>
              <w:t>on 1</w:t>
            </w:r>
            <w:r w:rsidR="00866E5A" w:rsidRPr="00866E5A">
              <w:rPr>
                <w:sz w:val="20"/>
                <w:szCs w:val="20"/>
                <w:vertAlign w:val="superscript"/>
              </w:rPr>
              <w:t>st</w:t>
            </w:r>
            <w:r w:rsidR="00866E5A">
              <w:rPr>
                <w:sz w:val="20"/>
                <w:szCs w:val="20"/>
              </w:rPr>
              <w:t xml:space="preserve"> July 2012 (P</w:t>
            </w:r>
            <w:r w:rsidR="0052140E">
              <w:rPr>
                <w:sz w:val="20"/>
                <w:szCs w:val="20"/>
              </w:rPr>
              <w:t xml:space="preserve">re </w:t>
            </w:r>
            <w:r w:rsidR="00866E5A">
              <w:rPr>
                <w:sz w:val="20"/>
                <w:szCs w:val="20"/>
              </w:rPr>
              <w:t xml:space="preserve">in </w:t>
            </w:r>
            <w:r w:rsidR="0052140E">
              <w:rPr>
                <w:sz w:val="20"/>
                <w:szCs w:val="20"/>
              </w:rPr>
              <w:t xml:space="preserve">blue and post </w:t>
            </w:r>
            <w:r w:rsidR="00866E5A">
              <w:rPr>
                <w:sz w:val="20"/>
                <w:szCs w:val="20"/>
              </w:rPr>
              <w:t xml:space="preserve">in </w:t>
            </w:r>
            <w:r w:rsidR="0052140E">
              <w:rPr>
                <w:sz w:val="20"/>
                <w:szCs w:val="20"/>
              </w:rPr>
              <w:t>green).</w:t>
            </w:r>
          </w:p>
        </w:tc>
      </w:tr>
    </w:tbl>
    <w:p w14:paraId="7E850E16" w14:textId="77777777" w:rsidR="003F776D" w:rsidRDefault="003F776D" w:rsidP="003F776D">
      <w:pPr>
        <w:spacing w:before="0"/>
        <w:rPr>
          <w:szCs w:val="22"/>
        </w:rPr>
      </w:pPr>
      <w:r w:rsidRPr="00116557">
        <w:rPr>
          <w:sz w:val="20"/>
          <w:szCs w:val="20"/>
        </w:rPr>
        <w:t xml:space="preserve">(Sources: </w:t>
      </w:r>
      <w:r>
        <w:rPr>
          <w:sz w:val="20"/>
          <w:szCs w:val="20"/>
        </w:rPr>
        <w:t>DSEWPaC 2013a)</w:t>
      </w:r>
    </w:p>
    <w:p w14:paraId="446E2BEA" w14:textId="77777777" w:rsidR="00291F2D" w:rsidRDefault="00291F2D" w:rsidP="00291F2D"/>
    <w:p w14:paraId="2B8E3193" w14:textId="77777777" w:rsidR="00291F2D" w:rsidRDefault="00291F2D" w:rsidP="00291F2D"/>
    <w:p w14:paraId="09108BA1" w14:textId="77777777" w:rsidR="00291F2D" w:rsidRDefault="00291F2D" w:rsidP="00291F2D"/>
    <w:p w14:paraId="5AC94DF1" w14:textId="77777777" w:rsidR="00291F2D" w:rsidRDefault="00291F2D" w:rsidP="00291F2D"/>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291F2D" w:rsidRPr="005D159D" w14:paraId="3C59A979" w14:textId="77777777" w:rsidTr="008F2611">
        <w:tc>
          <w:tcPr>
            <w:tcW w:w="9639" w:type="dxa"/>
            <w:vAlign w:val="center"/>
          </w:tcPr>
          <w:p w14:paraId="519781C1" w14:textId="741AE1E3" w:rsidR="00291F2D" w:rsidRPr="005D159D" w:rsidRDefault="00291F2D" w:rsidP="00291F2D">
            <w:pPr>
              <w:spacing w:after="120"/>
              <w:jc w:val="center"/>
              <w:rPr>
                <w:b/>
                <w:sz w:val="24"/>
              </w:rPr>
            </w:pPr>
            <w:r w:rsidRPr="005D159D">
              <w:rPr>
                <w:b/>
                <w:sz w:val="24"/>
              </w:rPr>
              <w:lastRenderedPageBreak/>
              <w:br w:type="page"/>
            </w:r>
            <w:r>
              <w:rPr>
                <w:b/>
                <w:sz w:val="24"/>
              </w:rPr>
              <w:t>2012 PCE imports</w:t>
            </w:r>
            <w:r w:rsidRPr="005D159D">
              <w:rPr>
                <w:b/>
                <w:sz w:val="24"/>
              </w:rPr>
              <w:t xml:space="preserve"> </w:t>
            </w:r>
            <w:r>
              <w:rPr>
                <w:b/>
                <w:sz w:val="24"/>
              </w:rPr>
              <w:t>by refrigerant</w:t>
            </w:r>
          </w:p>
        </w:tc>
      </w:tr>
      <w:tr w:rsidR="00291F2D" w:rsidRPr="00BD20BC" w14:paraId="6F3BB500" w14:textId="77777777" w:rsidTr="008F2611">
        <w:tc>
          <w:tcPr>
            <w:tcW w:w="9639" w:type="dxa"/>
            <w:vAlign w:val="center"/>
          </w:tcPr>
          <w:p w14:paraId="377D9EF1" w14:textId="601404B0" w:rsidR="00291F2D" w:rsidRDefault="00824AE8" w:rsidP="008F2611">
            <w:pPr>
              <w:jc w:val="center"/>
              <w:rPr>
                <w:sz w:val="16"/>
                <w:szCs w:val="16"/>
              </w:rPr>
            </w:pPr>
            <w:r>
              <w:rPr>
                <w:noProof/>
                <w:lang w:val="en-US"/>
              </w:rPr>
              <w:drawing>
                <wp:inline distT="0" distB="0" distL="0" distR="0" wp14:anchorId="7B04C766" wp14:editId="016290BD">
                  <wp:extent cx="5416550" cy="3759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9474C01" w14:textId="77777777" w:rsidR="00291F2D" w:rsidRPr="00BD20BC" w:rsidRDefault="00291F2D" w:rsidP="008F2611">
            <w:pPr>
              <w:jc w:val="center"/>
              <w:rPr>
                <w:sz w:val="16"/>
                <w:szCs w:val="16"/>
              </w:rPr>
            </w:pPr>
          </w:p>
        </w:tc>
      </w:tr>
      <w:tr w:rsidR="00291F2D" w:rsidRPr="00042727" w14:paraId="51CB7F96" w14:textId="77777777" w:rsidTr="008F2611">
        <w:tc>
          <w:tcPr>
            <w:tcW w:w="9639" w:type="dxa"/>
            <w:vAlign w:val="center"/>
          </w:tcPr>
          <w:p w14:paraId="609BBDC1" w14:textId="20269426" w:rsidR="00291F2D" w:rsidRPr="005D159D" w:rsidRDefault="00291F2D" w:rsidP="008F2611">
            <w:pPr>
              <w:spacing w:before="60" w:after="60"/>
              <w:rPr>
                <w:i/>
              </w:rPr>
            </w:pPr>
            <w:bookmarkStart w:id="51" w:name="_Toc233083985"/>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9</w:t>
            </w:r>
            <w:r w:rsidRPr="005D159D">
              <w:rPr>
                <w:i/>
                <w:sz w:val="20"/>
              </w:rPr>
              <w:fldChar w:fldCharType="end"/>
            </w:r>
            <w:r w:rsidRPr="005D159D">
              <w:rPr>
                <w:i/>
                <w:sz w:val="20"/>
              </w:rPr>
              <w:t xml:space="preserve">: </w:t>
            </w:r>
            <w:r w:rsidRPr="00504954">
              <w:rPr>
                <w:i/>
                <w:sz w:val="20"/>
              </w:rPr>
              <w:t>201</w:t>
            </w:r>
            <w:r>
              <w:rPr>
                <w:i/>
                <w:sz w:val="20"/>
              </w:rPr>
              <w:t>2</w:t>
            </w:r>
            <w:r w:rsidRPr="00504954">
              <w:rPr>
                <w:i/>
                <w:sz w:val="20"/>
              </w:rPr>
              <w:t xml:space="preserve"> refrigerant by species in pre-charged imports</w:t>
            </w:r>
            <w:r>
              <w:rPr>
                <w:i/>
                <w:sz w:val="20"/>
              </w:rPr>
              <w:t xml:space="preserve"> based on tonnes</w:t>
            </w:r>
            <w:bookmarkEnd w:id="51"/>
          </w:p>
        </w:tc>
      </w:tr>
    </w:tbl>
    <w:p w14:paraId="06EA7B9B" w14:textId="77777777" w:rsidR="00291F2D" w:rsidRDefault="00291F2D" w:rsidP="00291F2D">
      <w:pPr>
        <w:spacing w:before="0"/>
        <w:rPr>
          <w:szCs w:val="22"/>
        </w:rPr>
      </w:pPr>
      <w:r w:rsidRPr="00116557">
        <w:rPr>
          <w:sz w:val="20"/>
          <w:szCs w:val="20"/>
        </w:rPr>
        <w:t xml:space="preserve">(Sources: </w:t>
      </w:r>
      <w:r>
        <w:rPr>
          <w:sz w:val="20"/>
          <w:szCs w:val="20"/>
        </w:rPr>
        <w:t>DSEWPaC 2013a)</w:t>
      </w:r>
    </w:p>
    <w:p w14:paraId="4A2F30A7" w14:textId="4813628A" w:rsidR="00504954" w:rsidRDefault="00CB3BC3" w:rsidP="00CB3BC3">
      <w:pPr>
        <w:spacing w:before="240"/>
        <w:rPr>
          <w:szCs w:val="22"/>
        </w:rPr>
      </w:pPr>
      <w:r w:rsidRPr="00CB3BC3">
        <w:rPr>
          <w:szCs w:val="22"/>
        </w:rPr>
        <w:t>This mass of equipment</w:t>
      </w:r>
      <w:r w:rsidR="003A5B1F">
        <w:rPr>
          <w:szCs w:val="22"/>
        </w:rPr>
        <w:t xml:space="preserve"> has been a </w:t>
      </w:r>
      <w:r w:rsidRPr="00CB3BC3">
        <w:rPr>
          <w:szCs w:val="22"/>
        </w:rPr>
        <w:t>major source of growth in the working bank of refrigerant gas, introducing an average of about 2,500 tonnes gas per annum during the last 6 ye</w:t>
      </w:r>
      <w:r>
        <w:rPr>
          <w:szCs w:val="22"/>
        </w:rPr>
        <w:t xml:space="preserve">ars as illustrated in </w:t>
      </w:r>
      <w:r w:rsidRPr="00CB3BC3">
        <w:rPr>
          <w:i/>
          <w:szCs w:val="22"/>
        </w:rPr>
        <w:t>Figure 10</w:t>
      </w:r>
      <w:r w:rsidR="00504954">
        <w:rPr>
          <w:szCs w:val="22"/>
        </w:rPr>
        <w:t>.</w:t>
      </w:r>
    </w:p>
    <w:p w14:paraId="08EC1FF5" w14:textId="0E9EC944" w:rsidR="00D355A7" w:rsidRDefault="00D355A7">
      <w:pPr>
        <w:spacing w:before="0"/>
        <w:jc w:val="left"/>
      </w:pPr>
      <w:r>
        <w:br w:type="page"/>
      </w:r>
    </w:p>
    <w:p w14:paraId="7C9BF251" w14:textId="77777777" w:rsidR="000B268D" w:rsidRDefault="000B268D" w:rsidP="000B268D"/>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0B268D" w:rsidRPr="005D159D" w14:paraId="4A1876B2" w14:textId="77777777" w:rsidTr="00E25ECB">
        <w:tc>
          <w:tcPr>
            <w:tcW w:w="9639" w:type="dxa"/>
            <w:vAlign w:val="center"/>
          </w:tcPr>
          <w:p w14:paraId="6592C18F" w14:textId="45BFE159" w:rsidR="000B268D" w:rsidRPr="005D159D" w:rsidRDefault="000B268D" w:rsidP="000B268D">
            <w:pPr>
              <w:spacing w:after="120"/>
              <w:jc w:val="center"/>
              <w:rPr>
                <w:b/>
                <w:sz w:val="24"/>
              </w:rPr>
            </w:pPr>
            <w:r w:rsidRPr="005D159D">
              <w:rPr>
                <w:b/>
                <w:sz w:val="24"/>
              </w:rPr>
              <w:br w:type="page"/>
            </w:r>
            <w:r>
              <w:rPr>
                <w:b/>
                <w:sz w:val="24"/>
              </w:rPr>
              <w:t>PCE trend by species from 2006 to 2012</w:t>
            </w:r>
            <w:r w:rsidRPr="005D159D">
              <w:rPr>
                <w:b/>
                <w:sz w:val="24"/>
              </w:rPr>
              <w:t xml:space="preserve"> </w:t>
            </w:r>
          </w:p>
        </w:tc>
      </w:tr>
      <w:tr w:rsidR="000B268D" w:rsidRPr="00BD20BC" w14:paraId="0D34EECE" w14:textId="77777777" w:rsidTr="00E25ECB">
        <w:tc>
          <w:tcPr>
            <w:tcW w:w="9639" w:type="dxa"/>
            <w:vAlign w:val="center"/>
          </w:tcPr>
          <w:p w14:paraId="278E6C26" w14:textId="77777777" w:rsidR="000B268D" w:rsidRDefault="000B268D" w:rsidP="00E25ECB">
            <w:pPr>
              <w:jc w:val="center"/>
              <w:rPr>
                <w:sz w:val="16"/>
                <w:szCs w:val="16"/>
              </w:rPr>
            </w:pPr>
          </w:p>
          <w:p w14:paraId="1DD7AD59" w14:textId="517D94D9" w:rsidR="000B268D" w:rsidRDefault="005C7185" w:rsidP="00E25ECB">
            <w:pPr>
              <w:jc w:val="center"/>
              <w:rPr>
                <w:sz w:val="16"/>
                <w:szCs w:val="16"/>
              </w:rPr>
            </w:pPr>
            <w:r w:rsidRPr="005C7185">
              <w:rPr>
                <w:sz w:val="16"/>
                <w:szCs w:val="16"/>
              </w:rPr>
              <w:t>Landscape image</w:t>
            </w:r>
          </w:p>
          <w:p w14:paraId="7621E401" w14:textId="77777777" w:rsidR="000B268D" w:rsidRPr="00BD20BC" w:rsidRDefault="000B268D" w:rsidP="00E25ECB">
            <w:pPr>
              <w:jc w:val="center"/>
              <w:rPr>
                <w:sz w:val="16"/>
                <w:szCs w:val="16"/>
              </w:rPr>
            </w:pPr>
          </w:p>
        </w:tc>
      </w:tr>
      <w:tr w:rsidR="000B268D" w:rsidRPr="00042727" w14:paraId="777024A0" w14:textId="77777777" w:rsidTr="00E25ECB">
        <w:tc>
          <w:tcPr>
            <w:tcW w:w="9639" w:type="dxa"/>
            <w:vAlign w:val="center"/>
          </w:tcPr>
          <w:p w14:paraId="42BA12CD" w14:textId="12DC67C2" w:rsidR="000B268D" w:rsidRPr="005D159D" w:rsidRDefault="000B268D" w:rsidP="00C87AB0">
            <w:pPr>
              <w:spacing w:before="60" w:after="60"/>
              <w:rPr>
                <w:i/>
              </w:rPr>
            </w:pPr>
            <w:bookmarkStart w:id="52" w:name="_Toc233083986"/>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10</w:t>
            </w:r>
            <w:r w:rsidRPr="005D159D">
              <w:rPr>
                <w:i/>
                <w:sz w:val="20"/>
              </w:rPr>
              <w:fldChar w:fldCharType="end"/>
            </w:r>
            <w:r w:rsidRPr="005D159D">
              <w:rPr>
                <w:i/>
                <w:sz w:val="20"/>
              </w:rPr>
              <w:t xml:space="preserve">: </w:t>
            </w:r>
            <w:r w:rsidRPr="000B268D">
              <w:rPr>
                <w:i/>
                <w:sz w:val="20"/>
              </w:rPr>
              <w:t xml:space="preserve">HCFCs and HFCs in </w:t>
            </w:r>
            <w:r w:rsidR="00C87AB0">
              <w:rPr>
                <w:i/>
                <w:sz w:val="20"/>
              </w:rPr>
              <w:t>p</w:t>
            </w:r>
            <w:r>
              <w:rPr>
                <w:i/>
                <w:sz w:val="20"/>
              </w:rPr>
              <w:t>re-</w:t>
            </w:r>
            <w:r w:rsidR="00C87AB0">
              <w:rPr>
                <w:i/>
                <w:sz w:val="20"/>
              </w:rPr>
              <w:t>c</w:t>
            </w:r>
            <w:r>
              <w:rPr>
                <w:i/>
                <w:sz w:val="20"/>
              </w:rPr>
              <w:t xml:space="preserve">harged </w:t>
            </w:r>
            <w:r w:rsidR="00C87AB0">
              <w:rPr>
                <w:i/>
                <w:sz w:val="20"/>
              </w:rPr>
              <w:t>e</w:t>
            </w:r>
            <w:r>
              <w:rPr>
                <w:i/>
                <w:sz w:val="20"/>
              </w:rPr>
              <w:t xml:space="preserve">quipment </w:t>
            </w:r>
            <w:r w:rsidRPr="000B268D">
              <w:rPr>
                <w:i/>
                <w:sz w:val="20"/>
              </w:rPr>
              <w:t>2006</w:t>
            </w:r>
            <w:r>
              <w:rPr>
                <w:i/>
                <w:sz w:val="20"/>
              </w:rPr>
              <w:t xml:space="preserve"> to </w:t>
            </w:r>
            <w:r w:rsidRPr="000B268D">
              <w:rPr>
                <w:i/>
                <w:sz w:val="20"/>
              </w:rPr>
              <w:t xml:space="preserve">2012 by </w:t>
            </w:r>
            <w:r>
              <w:rPr>
                <w:i/>
                <w:sz w:val="20"/>
              </w:rPr>
              <w:t>s</w:t>
            </w:r>
            <w:r w:rsidRPr="000B268D">
              <w:rPr>
                <w:i/>
                <w:sz w:val="20"/>
              </w:rPr>
              <w:t>pecies in tonnes</w:t>
            </w:r>
            <w:bookmarkEnd w:id="52"/>
          </w:p>
        </w:tc>
      </w:tr>
    </w:tbl>
    <w:p w14:paraId="5C0AECE2" w14:textId="77777777" w:rsidR="003F776D" w:rsidRDefault="003F776D" w:rsidP="003F776D">
      <w:pPr>
        <w:spacing w:before="0"/>
        <w:rPr>
          <w:szCs w:val="22"/>
        </w:rPr>
      </w:pPr>
      <w:r w:rsidRPr="00116557">
        <w:rPr>
          <w:sz w:val="20"/>
          <w:szCs w:val="20"/>
        </w:rPr>
        <w:t xml:space="preserve">(Sources: </w:t>
      </w:r>
      <w:r>
        <w:rPr>
          <w:sz w:val="20"/>
          <w:szCs w:val="20"/>
        </w:rPr>
        <w:t>DSEWPaC 2013a)</w:t>
      </w:r>
    </w:p>
    <w:p w14:paraId="517A4DE3" w14:textId="77777777" w:rsidR="003F776D" w:rsidRDefault="003F776D" w:rsidP="000B268D">
      <w:pPr>
        <w:rPr>
          <w:szCs w:val="22"/>
        </w:rPr>
      </w:pPr>
    </w:p>
    <w:p w14:paraId="431EC600" w14:textId="77777777" w:rsidR="00D355A7" w:rsidRDefault="00D355A7">
      <w:pPr>
        <w:spacing w:before="0"/>
        <w:jc w:val="left"/>
        <w:rPr>
          <w:rFonts w:ascii="Calibri" w:hAnsi="Calibri" w:cs="Times New Roman"/>
          <w:b/>
          <w:bCs/>
          <w:sz w:val="26"/>
          <w:szCs w:val="26"/>
          <w:lang w:val="en-US"/>
        </w:rPr>
      </w:pPr>
      <w:r>
        <w:br w:type="page"/>
      </w:r>
    </w:p>
    <w:p w14:paraId="6CABE690" w14:textId="4207DFBA" w:rsidR="00865893" w:rsidRDefault="000B268D" w:rsidP="00E25ECB">
      <w:pPr>
        <w:pStyle w:val="Heading3"/>
        <w:rPr>
          <w:rFonts w:eastAsiaTheme="minorEastAsia"/>
          <w:i/>
          <w:iCs/>
        </w:rPr>
      </w:pPr>
      <w:bookmarkStart w:id="53" w:name="_Toc233084154"/>
      <w:r w:rsidRPr="000B268D">
        <w:rPr>
          <w:rFonts w:eastAsiaTheme="minorEastAsia"/>
        </w:rPr>
        <w:lastRenderedPageBreak/>
        <w:t xml:space="preserve">HCFCs in the </w:t>
      </w:r>
      <w:r>
        <w:rPr>
          <w:rFonts w:eastAsiaTheme="minorEastAsia"/>
          <w:i/>
          <w:iCs/>
        </w:rPr>
        <w:t>r</w:t>
      </w:r>
      <w:r w:rsidRPr="000B268D">
        <w:rPr>
          <w:rFonts w:eastAsiaTheme="minorEastAsia"/>
        </w:rPr>
        <w:t xml:space="preserve">efrigerant </w:t>
      </w:r>
      <w:r>
        <w:rPr>
          <w:rFonts w:eastAsiaTheme="minorEastAsia"/>
          <w:i/>
          <w:iCs/>
        </w:rPr>
        <w:t>b</w:t>
      </w:r>
      <w:r w:rsidRPr="000B268D">
        <w:rPr>
          <w:rFonts w:eastAsiaTheme="minorEastAsia"/>
        </w:rPr>
        <w:t>ank</w:t>
      </w:r>
      <w:bookmarkEnd w:id="53"/>
    </w:p>
    <w:p w14:paraId="48C5AB16" w14:textId="34C96049" w:rsidR="00FE7030" w:rsidRPr="00FE7030" w:rsidRDefault="00FE7030" w:rsidP="00FE7030">
      <w:pPr>
        <w:rPr>
          <w:szCs w:val="22"/>
        </w:rPr>
      </w:pPr>
      <w:r w:rsidRPr="00FE7030">
        <w:rPr>
          <w:szCs w:val="22"/>
        </w:rPr>
        <w:t>Imports of HCFCs followed a predictable trend downwards as the Australian industry and importers continued to deliver on the timetable for the phase out of HCFCs they committed to in the 1990s under the Montreal Protocol.</w:t>
      </w:r>
    </w:p>
    <w:p w14:paraId="06541E81" w14:textId="59E59A95" w:rsidR="000B268D" w:rsidRDefault="00FE7030" w:rsidP="000B268D">
      <w:pPr>
        <w:rPr>
          <w:szCs w:val="22"/>
        </w:rPr>
      </w:pPr>
      <w:r w:rsidRPr="00FE7030">
        <w:rPr>
          <w:i/>
          <w:szCs w:val="22"/>
        </w:rPr>
        <w:t>Figure 11</w:t>
      </w:r>
      <w:r w:rsidRPr="00FE7030">
        <w:rPr>
          <w:szCs w:val="22"/>
        </w:rPr>
        <w:t xml:space="preserve"> illustrates the decline in HCFCs imported in bulk imports since 2006. The ban on the import of HCFCs contained in pre-charged air conditioning equipment came into force on the 1 July 2010. The decline in HCFC pre-charged imports is shown in </w:t>
      </w:r>
      <w:r w:rsidRPr="00FE7030">
        <w:rPr>
          <w:i/>
          <w:szCs w:val="22"/>
        </w:rPr>
        <w:t>Figure 12</w:t>
      </w:r>
      <w:r w:rsidRPr="00FE7030">
        <w:rPr>
          <w:szCs w:val="22"/>
        </w:rPr>
        <w:t>.</w:t>
      </w:r>
    </w:p>
    <w:p w14:paraId="21627474" w14:textId="77777777" w:rsidR="002A4337" w:rsidRPr="00FE7030" w:rsidRDefault="002A4337" w:rsidP="002A4337">
      <w:pPr>
        <w:spacing w:before="240"/>
        <w:rPr>
          <w:szCs w:val="22"/>
        </w:rPr>
      </w:pPr>
      <w:r w:rsidRPr="00FE7030">
        <w:rPr>
          <w:szCs w:val="22"/>
        </w:rPr>
        <w:t xml:space="preserve">The import of HCFCs can also be reported in terms of the ozone depleting potential (ODP) of the gas (its ozone depleting effect being the reason it has been phased out). The trend in imports of ODP tonnes against the industries agreed cap is reported in </w:t>
      </w:r>
      <w:r w:rsidRPr="00FE7030">
        <w:rPr>
          <w:i/>
          <w:szCs w:val="22"/>
        </w:rPr>
        <w:t>Figure 13</w:t>
      </w:r>
      <w:r w:rsidRPr="00FE7030">
        <w:rPr>
          <w:szCs w:val="22"/>
        </w:rPr>
        <w:t>.</w:t>
      </w:r>
    </w:p>
    <w:p w14:paraId="591A5A82" w14:textId="20637771" w:rsidR="002A4337" w:rsidRDefault="002A4337" w:rsidP="002A4337">
      <w:pPr>
        <w:rPr>
          <w:szCs w:val="22"/>
        </w:rPr>
      </w:pPr>
      <w:r w:rsidRPr="00FE7030">
        <w:rPr>
          <w:szCs w:val="22"/>
        </w:rPr>
        <w:t xml:space="preserve">Under the </w:t>
      </w:r>
      <w:r w:rsidR="003E3201" w:rsidRPr="003E3201">
        <w:rPr>
          <w:szCs w:val="22"/>
        </w:rPr>
        <w:t>Ozone Protection and Synthetic Greenhouse Gas Management Act 1989</w:t>
      </w:r>
      <w:r w:rsidRPr="00FE7030">
        <w:rPr>
          <w:szCs w:val="22"/>
        </w:rPr>
        <w:t>, from 1 January 2014 the cap on HCFC imports will be reduced to 10 ODP tonnes annually (</w:t>
      </w:r>
      <w:r w:rsidR="003E3201">
        <w:rPr>
          <w:szCs w:val="22"/>
        </w:rPr>
        <w:t xml:space="preserve">equivalent to </w:t>
      </w:r>
      <w:r w:rsidRPr="00FE7030">
        <w:rPr>
          <w:szCs w:val="22"/>
        </w:rPr>
        <w:t>around 180 metric tonnes</w:t>
      </w:r>
      <w:r w:rsidR="003E3201">
        <w:rPr>
          <w:szCs w:val="22"/>
        </w:rPr>
        <w:t xml:space="preserve"> of HCFC-22</w:t>
      </w:r>
      <w:r w:rsidRPr="00FE7030">
        <w:rPr>
          <w:szCs w:val="22"/>
        </w:rPr>
        <w:t>) before declining in 2016 to the ‘service tail’ of 2.5 ODP tonnes (</w:t>
      </w:r>
      <w:r w:rsidR="003E3201">
        <w:rPr>
          <w:szCs w:val="22"/>
        </w:rPr>
        <w:t xml:space="preserve">equivalent to </w:t>
      </w:r>
      <w:r w:rsidRPr="00FE7030">
        <w:rPr>
          <w:szCs w:val="22"/>
        </w:rPr>
        <w:t xml:space="preserve">around 45 tonnes </w:t>
      </w:r>
      <w:r w:rsidR="003E3201">
        <w:rPr>
          <w:szCs w:val="22"/>
        </w:rPr>
        <w:t xml:space="preserve">of HCFC-22 </w:t>
      </w:r>
      <w:r w:rsidRPr="00FE7030">
        <w:rPr>
          <w:szCs w:val="22"/>
        </w:rPr>
        <w:t>per annum), before the final global phase out of HCFCs in 2026</w:t>
      </w:r>
      <w:r>
        <w:rPr>
          <w:szCs w:val="22"/>
        </w:rPr>
        <w:t>.</w:t>
      </w:r>
    </w:p>
    <w:p w14:paraId="334962DD" w14:textId="77777777" w:rsidR="002A4337" w:rsidRDefault="002A4337" w:rsidP="000B268D"/>
    <w:p w14:paraId="0DB8BB49" w14:textId="630F1B4B" w:rsidR="002A4337" w:rsidRDefault="002A4337">
      <w:pPr>
        <w:spacing w:before="0"/>
        <w:jc w:val="left"/>
      </w:pPr>
      <w:r>
        <w:br w:type="page"/>
      </w:r>
    </w:p>
    <w:p w14:paraId="559705EE" w14:textId="77777777" w:rsidR="00E25ECB" w:rsidRDefault="00E25ECB" w:rsidP="00E25EC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E25ECB" w:rsidRPr="005D159D" w14:paraId="21689A12" w14:textId="77777777" w:rsidTr="00E25ECB">
        <w:tc>
          <w:tcPr>
            <w:tcW w:w="9639" w:type="dxa"/>
            <w:vAlign w:val="center"/>
          </w:tcPr>
          <w:p w14:paraId="02F58E81" w14:textId="4DD161B3" w:rsidR="00E25ECB" w:rsidRPr="005D159D" w:rsidRDefault="00E25ECB" w:rsidP="00E25ECB">
            <w:pPr>
              <w:spacing w:after="120"/>
              <w:jc w:val="center"/>
              <w:rPr>
                <w:b/>
                <w:sz w:val="24"/>
              </w:rPr>
            </w:pPr>
            <w:r w:rsidRPr="005D159D">
              <w:rPr>
                <w:b/>
                <w:sz w:val="24"/>
              </w:rPr>
              <w:br w:type="page"/>
            </w:r>
            <w:r>
              <w:rPr>
                <w:b/>
                <w:sz w:val="24"/>
              </w:rPr>
              <w:t>HCFC import trend from 2006 to 2012</w:t>
            </w:r>
            <w:r w:rsidRPr="005D159D">
              <w:rPr>
                <w:b/>
                <w:sz w:val="24"/>
              </w:rPr>
              <w:t xml:space="preserve"> </w:t>
            </w:r>
          </w:p>
        </w:tc>
      </w:tr>
      <w:tr w:rsidR="00E25ECB" w:rsidRPr="00BD20BC" w14:paraId="61739D20" w14:textId="77777777" w:rsidTr="00E25ECB">
        <w:tc>
          <w:tcPr>
            <w:tcW w:w="9639" w:type="dxa"/>
            <w:vAlign w:val="center"/>
          </w:tcPr>
          <w:p w14:paraId="44EB68A7" w14:textId="77777777" w:rsidR="00E25ECB" w:rsidRDefault="00E25ECB" w:rsidP="00E25ECB">
            <w:pPr>
              <w:jc w:val="center"/>
              <w:rPr>
                <w:sz w:val="16"/>
                <w:szCs w:val="16"/>
              </w:rPr>
            </w:pPr>
          </w:p>
          <w:p w14:paraId="24DD4815" w14:textId="37E6C9C3" w:rsidR="002A4337" w:rsidRDefault="002A4337" w:rsidP="002A4337">
            <w:pPr>
              <w:jc w:val="center"/>
              <w:rPr>
                <w:sz w:val="16"/>
                <w:szCs w:val="16"/>
              </w:rPr>
            </w:pPr>
            <w:r w:rsidRPr="005C7185">
              <w:rPr>
                <w:sz w:val="16"/>
                <w:szCs w:val="16"/>
              </w:rPr>
              <w:t>L</w:t>
            </w:r>
            <w:r w:rsidR="005C7185" w:rsidRPr="005C7185">
              <w:rPr>
                <w:sz w:val="16"/>
                <w:szCs w:val="16"/>
              </w:rPr>
              <w:t>andscape image</w:t>
            </w:r>
          </w:p>
          <w:p w14:paraId="1615E80B" w14:textId="77777777" w:rsidR="00E25ECB" w:rsidRPr="00BD20BC" w:rsidRDefault="00E25ECB" w:rsidP="00E25ECB">
            <w:pPr>
              <w:jc w:val="center"/>
              <w:rPr>
                <w:sz w:val="16"/>
                <w:szCs w:val="16"/>
              </w:rPr>
            </w:pPr>
          </w:p>
        </w:tc>
      </w:tr>
      <w:tr w:rsidR="00E25ECB" w:rsidRPr="00042727" w14:paraId="1227AC39" w14:textId="77777777" w:rsidTr="00E25ECB">
        <w:tc>
          <w:tcPr>
            <w:tcW w:w="9639" w:type="dxa"/>
            <w:vAlign w:val="center"/>
          </w:tcPr>
          <w:p w14:paraId="2B5FB822" w14:textId="5B563B1A" w:rsidR="00E25ECB" w:rsidRPr="005D159D" w:rsidRDefault="00E25ECB" w:rsidP="003B6CEE">
            <w:pPr>
              <w:spacing w:before="60" w:after="60"/>
              <w:rPr>
                <w:i/>
              </w:rPr>
            </w:pPr>
            <w:bookmarkStart w:id="54" w:name="_Toc233083987"/>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11</w:t>
            </w:r>
            <w:r w:rsidRPr="005D159D">
              <w:rPr>
                <w:i/>
                <w:sz w:val="20"/>
              </w:rPr>
              <w:fldChar w:fldCharType="end"/>
            </w:r>
            <w:r w:rsidRPr="005D159D">
              <w:rPr>
                <w:i/>
                <w:sz w:val="20"/>
              </w:rPr>
              <w:t xml:space="preserve">: </w:t>
            </w:r>
            <w:r w:rsidRPr="00E25ECB">
              <w:rPr>
                <w:i/>
                <w:sz w:val="20"/>
              </w:rPr>
              <w:t>HCFC Bulk import</w:t>
            </w:r>
            <w:r w:rsidR="003B6CEE">
              <w:rPr>
                <w:i/>
                <w:sz w:val="20"/>
              </w:rPr>
              <w:t xml:space="preserve"> trend from </w:t>
            </w:r>
            <w:r w:rsidRPr="00E25ECB">
              <w:rPr>
                <w:i/>
                <w:sz w:val="20"/>
              </w:rPr>
              <w:t>2006 to 2012</w:t>
            </w:r>
            <w:r w:rsidR="003B6CEE">
              <w:rPr>
                <w:i/>
                <w:sz w:val="20"/>
              </w:rPr>
              <w:t xml:space="preserve"> in tonnes</w:t>
            </w:r>
            <w:bookmarkEnd w:id="54"/>
          </w:p>
        </w:tc>
      </w:tr>
      <w:tr w:rsidR="00E25ECB" w:rsidRPr="00BD20BC" w14:paraId="1079941B" w14:textId="77777777" w:rsidTr="00E25ECB">
        <w:tc>
          <w:tcPr>
            <w:tcW w:w="9639" w:type="dxa"/>
            <w:vAlign w:val="center"/>
          </w:tcPr>
          <w:p w14:paraId="1706BF35" w14:textId="77777777" w:rsidR="00E25ECB" w:rsidRDefault="00E25ECB" w:rsidP="00E25ECB">
            <w:pPr>
              <w:jc w:val="center"/>
              <w:rPr>
                <w:sz w:val="16"/>
                <w:szCs w:val="16"/>
              </w:rPr>
            </w:pPr>
          </w:p>
          <w:p w14:paraId="582304B3" w14:textId="4888CA39" w:rsidR="002A4337" w:rsidRDefault="005C7185" w:rsidP="002A4337">
            <w:pPr>
              <w:jc w:val="center"/>
              <w:rPr>
                <w:sz w:val="16"/>
                <w:szCs w:val="16"/>
              </w:rPr>
            </w:pPr>
            <w:r w:rsidRPr="005C7185">
              <w:rPr>
                <w:sz w:val="16"/>
                <w:szCs w:val="16"/>
              </w:rPr>
              <w:t>Landscape image</w:t>
            </w:r>
          </w:p>
          <w:p w14:paraId="12102574" w14:textId="77777777" w:rsidR="00E25ECB" w:rsidRPr="00BD20BC" w:rsidRDefault="00E25ECB" w:rsidP="00E25ECB">
            <w:pPr>
              <w:jc w:val="center"/>
              <w:rPr>
                <w:sz w:val="16"/>
                <w:szCs w:val="16"/>
              </w:rPr>
            </w:pPr>
          </w:p>
        </w:tc>
      </w:tr>
      <w:tr w:rsidR="00E25ECB" w:rsidRPr="00923150" w14:paraId="2D38F1A8" w14:textId="77777777" w:rsidTr="00E25ECB">
        <w:tc>
          <w:tcPr>
            <w:tcW w:w="9639" w:type="dxa"/>
            <w:vAlign w:val="center"/>
          </w:tcPr>
          <w:p w14:paraId="01BF9161" w14:textId="05F552EC" w:rsidR="00E25ECB" w:rsidRPr="005D159D" w:rsidRDefault="00E25ECB" w:rsidP="00C87AB0">
            <w:pPr>
              <w:spacing w:before="60" w:after="60"/>
              <w:rPr>
                <w:i/>
                <w:sz w:val="20"/>
              </w:rPr>
            </w:pPr>
            <w:bookmarkStart w:id="55" w:name="_Toc233083988"/>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12</w:t>
            </w:r>
            <w:r w:rsidRPr="005D159D">
              <w:rPr>
                <w:i/>
                <w:sz w:val="20"/>
              </w:rPr>
              <w:fldChar w:fldCharType="end"/>
            </w:r>
            <w:r w:rsidRPr="005D159D">
              <w:rPr>
                <w:i/>
                <w:sz w:val="20"/>
              </w:rPr>
              <w:t xml:space="preserve">: </w:t>
            </w:r>
            <w:r w:rsidRPr="00E25ECB">
              <w:rPr>
                <w:i/>
                <w:sz w:val="20"/>
              </w:rPr>
              <w:t>HCFC P</w:t>
            </w:r>
            <w:r>
              <w:rPr>
                <w:i/>
                <w:sz w:val="20"/>
              </w:rPr>
              <w:t>re-</w:t>
            </w:r>
            <w:r w:rsidR="00C87AB0">
              <w:rPr>
                <w:i/>
                <w:sz w:val="20"/>
              </w:rPr>
              <w:t>c</w:t>
            </w:r>
            <w:r>
              <w:rPr>
                <w:i/>
                <w:sz w:val="20"/>
              </w:rPr>
              <w:t xml:space="preserve">harged </w:t>
            </w:r>
            <w:r w:rsidR="00C87AB0">
              <w:rPr>
                <w:i/>
                <w:sz w:val="20"/>
              </w:rPr>
              <w:t>e</w:t>
            </w:r>
            <w:r>
              <w:rPr>
                <w:i/>
                <w:sz w:val="20"/>
              </w:rPr>
              <w:t>quipment</w:t>
            </w:r>
            <w:r w:rsidRPr="00E25ECB">
              <w:rPr>
                <w:i/>
                <w:sz w:val="20"/>
              </w:rPr>
              <w:t xml:space="preserve"> import</w:t>
            </w:r>
            <w:r w:rsidR="003B6CEE">
              <w:rPr>
                <w:i/>
                <w:sz w:val="20"/>
              </w:rPr>
              <w:t xml:space="preserve"> trend from </w:t>
            </w:r>
            <w:r w:rsidRPr="00E25ECB">
              <w:rPr>
                <w:i/>
                <w:sz w:val="20"/>
              </w:rPr>
              <w:t>2006 to 2012</w:t>
            </w:r>
            <w:r w:rsidR="003B6CEE">
              <w:rPr>
                <w:i/>
                <w:sz w:val="20"/>
              </w:rPr>
              <w:t xml:space="preserve"> in tonnes</w:t>
            </w:r>
            <w:bookmarkEnd w:id="55"/>
          </w:p>
        </w:tc>
      </w:tr>
      <w:tr w:rsidR="00E25ECB" w:rsidRPr="00923150" w14:paraId="0D065940" w14:textId="77777777" w:rsidTr="00E25ECB">
        <w:tc>
          <w:tcPr>
            <w:tcW w:w="9639" w:type="dxa"/>
            <w:vAlign w:val="center"/>
          </w:tcPr>
          <w:p w14:paraId="233395CB" w14:textId="197D0320" w:rsidR="00E25ECB" w:rsidRPr="006839E9" w:rsidRDefault="00E25ECB" w:rsidP="00E25ECB">
            <w:pPr>
              <w:spacing w:before="60" w:after="60"/>
              <w:rPr>
                <w:sz w:val="20"/>
                <w:szCs w:val="20"/>
              </w:rPr>
            </w:pPr>
            <w:r w:rsidRPr="006839E9">
              <w:rPr>
                <w:sz w:val="20"/>
                <w:szCs w:val="20"/>
              </w:rPr>
              <w:t>Note: HCFC-123 PCE imports in 2012 was 16.3 tonnes, down from 20.6 tonnes in 2010.</w:t>
            </w:r>
          </w:p>
        </w:tc>
      </w:tr>
    </w:tbl>
    <w:p w14:paraId="53B54FA0" w14:textId="77777777" w:rsidR="003F776D" w:rsidRDefault="003F776D" w:rsidP="003F776D">
      <w:pPr>
        <w:spacing w:before="0"/>
        <w:rPr>
          <w:szCs w:val="22"/>
        </w:rPr>
      </w:pPr>
      <w:r w:rsidRPr="00116557">
        <w:rPr>
          <w:sz w:val="20"/>
          <w:szCs w:val="20"/>
        </w:rPr>
        <w:t xml:space="preserve">(Sources: </w:t>
      </w:r>
      <w:r>
        <w:rPr>
          <w:sz w:val="20"/>
          <w:szCs w:val="20"/>
        </w:rPr>
        <w:t>DSEWPaC 2013a)</w:t>
      </w:r>
    </w:p>
    <w:p w14:paraId="2630E97A" w14:textId="1DCB54B4" w:rsidR="002A4337" w:rsidRDefault="002A4337">
      <w:pPr>
        <w:spacing w:before="0"/>
        <w:jc w:val="left"/>
      </w:pPr>
      <w:r>
        <w:br w:type="page"/>
      </w:r>
    </w:p>
    <w:p w14:paraId="1C7D3DAE" w14:textId="77777777" w:rsidR="00E25ECB" w:rsidRDefault="00E25ECB" w:rsidP="00E25EC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E25ECB" w:rsidRPr="005D159D" w14:paraId="01EEB7AF" w14:textId="77777777" w:rsidTr="00E25ECB">
        <w:tc>
          <w:tcPr>
            <w:tcW w:w="9639" w:type="dxa"/>
            <w:vAlign w:val="center"/>
          </w:tcPr>
          <w:p w14:paraId="3D79BA59" w14:textId="3AA490E2" w:rsidR="00E25ECB" w:rsidRPr="005D159D" w:rsidRDefault="00E25ECB" w:rsidP="00E25ECB">
            <w:pPr>
              <w:spacing w:after="120"/>
              <w:jc w:val="center"/>
              <w:rPr>
                <w:b/>
                <w:sz w:val="24"/>
              </w:rPr>
            </w:pPr>
            <w:r w:rsidRPr="005D159D">
              <w:rPr>
                <w:b/>
                <w:sz w:val="24"/>
              </w:rPr>
              <w:br w:type="page"/>
            </w:r>
            <w:r w:rsidR="0047253B">
              <w:rPr>
                <w:b/>
              </w:rPr>
              <w:t>HCFC bulk imports and future projections in ODP tonnes</w:t>
            </w:r>
          </w:p>
        </w:tc>
      </w:tr>
      <w:tr w:rsidR="00E25ECB" w:rsidRPr="00BD20BC" w14:paraId="235D3942" w14:textId="77777777" w:rsidTr="00E25ECB">
        <w:tc>
          <w:tcPr>
            <w:tcW w:w="9639" w:type="dxa"/>
            <w:vAlign w:val="center"/>
          </w:tcPr>
          <w:p w14:paraId="3E0975C3" w14:textId="77777777" w:rsidR="00E25ECB" w:rsidRDefault="00E25ECB" w:rsidP="00E25ECB">
            <w:pPr>
              <w:jc w:val="center"/>
              <w:rPr>
                <w:sz w:val="16"/>
                <w:szCs w:val="16"/>
              </w:rPr>
            </w:pPr>
          </w:p>
          <w:p w14:paraId="60EDD979" w14:textId="444AC5E9" w:rsidR="0047253B" w:rsidRDefault="005C7185" w:rsidP="0047253B">
            <w:pPr>
              <w:jc w:val="center"/>
              <w:rPr>
                <w:sz w:val="16"/>
                <w:szCs w:val="16"/>
              </w:rPr>
            </w:pPr>
            <w:r w:rsidRPr="005C7185">
              <w:rPr>
                <w:sz w:val="16"/>
                <w:szCs w:val="16"/>
              </w:rPr>
              <w:t>Landscape image</w:t>
            </w:r>
          </w:p>
          <w:p w14:paraId="3411A114" w14:textId="77777777" w:rsidR="00E25ECB" w:rsidRPr="00BD20BC" w:rsidRDefault="00E25ECB" w:rsidP="00E25ECB">
            <w:pPr>
              <w:jc w:val="center"/>
              <w:rPr>
                <w:sz w:val="16"/>
                <w:szCs w:val="16"/>
              </w:rPr>
            </w:pPr>
          </w:p>
        </w:tc>
      </w:tr>
      <w:tr w:rsidR="00E25ECB" w:rsidRPr="00042727" w14:paraId="6FEED72A" w14:textId="77777777" w:rsidTr="00E25ECB">
        <w:tc>
          <w:tcPr>
            <w:tcW w:w="9639" w:type="dxa"/>
            <w:vAlign w:val="center"/>
          </w:tcPr>
          <w:p w14:paraId="4A6A6D45" w14:textId="57F48FFA" w:rsidR="00E25ECB" w:rsidRPr="005D159D" w:rsidRDefault="00E25ECB" w:rsidP="00E25ECB">
            <w:pPr>
              <w:spacing w:before="60" w:after="60"/>
              <w:rPr>
                <w:i/>
              </w:rPr>
            </w:pPr>
            <w:bookmarkStart w:id="56" w:name="_Toc233083989"/>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13</w:t>
            </w:r>
            <w:r w:rsidRPr="005D159D">
              <w:rPr>
                <w:i/>
                <w:sz w:val="20"/>
              </w:rPr>
              <w:fldChar w:fldCharType="end"/>
            </w:r>
            <w:r w:rsidRPr="005D159D">
              <w:rPr>
                <w:i/>
                <w:sz w:val="20"/>
              </w:rPr>
              <w:t xml:space="preserve">: </w:t>
            </w:r>
            <w:r w:rsidRPr="00E25ECB">
              <w:rPr>
                <w:i/>
                <w:sz w:val="20"/>
              </w:rPr>
              <w:t xml:space="preserve">HCFC bulk imports </w:t>
            </w:r>
            <w:r>
              <w:rPr>
                <w:i/>
                <w:sz w:val="20"/>
              </w:rPr>
              <w:t xml:space="preserve">from </w:t>
            </w:r>
            <w:r w:rsidRPr="00E25ECB">
              <w:rPr>
                <w:i/>
                <w:sz w:val="20"/>
              </w:rPr>
              <w:t>2006</w:t>
            </w:r>
            <w:r>
              <w:rPr>
                <w:i/>
                <w:sz w:val="20"/>
              </w:rPr>
              <w:t xml:space="preserve"> to 2012</w:t>
            </w:r>
            <w:r w:rsidRPr="00E25ECB">
              <w:rPr>
                <w:i/>
                <w:sz w:val="20"/>
              </w:rPr>
              <w:t>, and future projections based on future commitments in ODP tonnes</w:t>
            </w:r>
            <w:bookmarkEnd w:id="56"/>
          </w:p>
        </w:tc>
      </w:tr>
    </w:tbl>
    <w:p w14:paraId="6DBC9A85" w14:textId="31ABE364" w:rsidR="003F776D" w:rsidRDefault="003F776D" w:rsidP="003F776D">
      <w:pPr>
        <w:spacing w:before="0"/>
        <w:rPr>
          <w:szCs w:val="22"/>
        </w:rPr>
      </w:pPr>
      <w:r w:rsidRPr="00116557">
        <w:rPr>
          <w:sz w:val="20"/>
          <w:szCs w:val="20"/>
        </w:rPr>
        <w:t xml:space="preserve">(Sources: </w:t>
      </w:r>
      <w:r>
        <w:rPr>
          <w:sz w:val="20"/>
          <w:szCs w:val="20"/>
        </w:rPr>
        <w:t>DSEWPaC 2013a</w:t>
      </w:r>
      <w:r w:rsidR="00537BDB">
        <w:rPr>
          <w:sz w:val="20"/>
          <w:szCs w:val="20"/>
        </w:rPr>
        <w:t xml:space="preserve">, </w:t>
      </w:r>
      <w:r w:rsidR="00537BDB" w:rsidRPr="00537BDB">
        <w:rPr>
          <w:sz w:val="20"/>
          <w:szCs w:val="20"/>
        </w:rPr>
        <w:t>OPSGGMA</w:t>
      </w:r>
      <w:r w:rsidR="00537BDB">
        <w:rPr>
          <w:sz w:val="20"/>
          <w:szCs w:val="20"/>
        </w:rPr>
        <w:t xml:space="preserve"> and </w:t>
      </w:r>
      <w:r w:rsidR="00537BDB" w:rsidRPr="00537BDB">
        <w:rPr>
          <w:sz w:val="20"/>
          <w:szCs w:val="20"/>
        </w:rPr>
        <w:t>Montreal Protocol</w:t>
      </w:r>
      <w:r w:rsidR="00537BDB">
        <w:rPr>
          <w:sz w:val="20"/>
          <w:szCs w:val="20"/>
        </w:rPr>
        <w:t>)</w:t>
      </w:r>
    </w:p>
    <w:p w14:paraId="5D06D6A3" w14:textId="77777777" w:rsidR="0047253B" w:rsidRDefault="0047253B" w:rsidP="0047253B">
      <w:pPr>
        <w:rPr>
          <w:rFonts w:cs="Calibri"/>
          <w:b/>
        </w:rPr>
      </w:pPr>
    </w:p>
    <w:p w14:paraId="15DE8C7C" w14:textId="77777777" w:rsidR="002A4337" w:rsidRDefault="002A4337">
      <w:pPr>
        <w:spacing w:before="0"/>
        <w:jc w:val="left"/>
        <w:rPr>
          <w:rFonts w:asciiTheme="majorHAnsi" w:hAnsiTheme="majorHAnsi"/>
          <w:b/>
          <w:sz w:val="24"/>
        </w:rPr>
      </w:pPr>
      <w:r>
        <w:rPr>
          <w:rFonts w:asciiTheme="majorHAnsi" w:hAnsiTheme="majorHAnsi"/>
          <w:b/>
          <w:sz w:val="24"/>
        </w:rPr>
        <w:br w:type="page"/>
      </w:r>
    </w:p>
    <w:p w14:paraId="2D6028B8" w14:textId="0BB41036" w:rsidR="0047253B" w:rsidRPr="0047253B" w:rsidRDefault="0047253B" w:rsidP="0047253B">
      <w:pPr>
        <w:rPr>
          <w:rFonts w:asciiTheme="majorHAnsi" w:hAnsiTheme="majorHAnsi"/>
          <w:b/>
          <w:sz w:val="24"/>
        </w:rPr>
      </w:pPr>
      <w:r w:rsidRPr="0047253B">
        <w:rPr>
          <w:rFonts w:asciiTheme="majorHAnsi" w:hAnsiTheme="majorHAnsi"/>
          <w:b/>
          <w:sz w:val="24"/>
        </w:rPr>
        <w:lastRenderedPageBreak/>
        <w:t>HCFC PCE</w:t>
      </w:r>
    </w:p>
    <w:p w14:paraId="11C570B3" w14:textId="77777777" w:rsidR="00FE7030" w:rsidRPr="00FE7030" w:rsidRDefault="00FE7030" w:rsidP="00FE7030">
      <w:pPr>
        <w:rPr>
          <w:szCs w:val="22"/>
        </w:rPr>
      </w:pPr>
      <w:r w:rsidRPr="00FE7030">
        <w:rPr>
          <w:szCs w:val="22"/>
        </w:rPr>
        <w:t xml:space="preserve">The sharp drop in the HCFC bank since 2010 should continue as a result of larger numbers of HCFC charged air conditioning units that were installed between 10 and 20 years ago, reaching the end of their useful life and being retired. </w:t>
      </w:r>
    </w:p>
    <w:p w14:paraId="5E814B2F" w14:textId="07B09B10" w:rsidR="00FE7030" w:rsidRPr="00FE7030" w:rsidRDefault="00FE7030" w:rsidP="00FE7030">
      <w:pPr>
        <w:rPr>
          <w:szCs w:val="22"/>
        </w:rPr>
      </w:pPr>
      <w:r w:rsidRPr="00FE7030">
        <w:rPr>
          <w:szCs w:val="22"/>
        </w:rPr>
        <w:t xml:space="preserve">Despite the ban on imports and manufacture of HCFC air conditioning equipment, small quantities of HCFC pre charged equipment are still being imported under special exemptions (i.e. high static ducted split system air conditioners, one-off specialised low volume imports, replacement parts and space chillers charged with HCFC-123). This trickle of new equipment, and the large numbers of HCFC PCE imported up until as recently as 2008-09 indicates that the long tail of HCFC-22 bulk imports, at 45 tonnes per annum, may not be sufficient to meet the expected demand to service and repair the remaining installed HCFC charged equipment. Additional bulk HCFCs will be required for service and maintenance until at least 2025. In the case of HCFC-123 which is employed in long lasting large and expensive chillers, the service tail is likely to continue until possibly 2035. As such it is expected that more of the HCFCs recovered from EOL equipment will be stockpiled for reuse. </w:t>
      </w:r>
    </w:p>
    <w:p w14:paraId="212E20D8" w14:textId="77777777" w:rsidR="00FE7030" w:rsidRPr="00FE7030" w:rsidRDefault="00FE7030" w:rsidP="00FE7030">
      <w:pPr>
        <w:rPr>
          <w:szCs w:val="22"/>
        </w:rPr>
      </w:pPr>
      <w:r w:rsidRPr="00FE7030">
        <w:rPr>
          <w:szCs w:val="22"/>
        </w:rPr>
        <w:t>At least one new business has been established in the last 18 months that facilitates technicians recovering HCFC-22 from equipment at end-of-life, and returning the gas to be cleaned and resold. As the HCFC import restrictions tighten, reducing the allowable imports towards zero, this is expected to become a more common business practice.</w:t>
      </w:r>
    </w:p>
    <w:p w14:paraId="01AEBEFC" w14:textId="0F32E034" w:rsidR="00FE7030" w:rsidRPr="00FE7030" w:rsidRDefault="00FE7030" w:rsidP="00FE7030">
      <w:pPr>
        <w:rPr>
          <w:szCs w:val="22"/>
        </w:rPr>
      </w:pPr>
      <w:r w:rsidRPr="00FE7030">
        <w:rPr>
          <w:szCs w:val="22"/>
        </w:rPr>
        <w:t>Based on analysis of gas collected for destruction, the bank is estimated to also still include a remnant of some 300 to 400 tonnes of CFCs.</w:t>
      </w:r>
      <w:r>
        <w:rPr>
          <w:rStyle w:val="FootnoteReference"/>
          <w:szCs w:val="22"/>
        </w:rPr>
        <w:footnoteReference w:id="21"/>
      </w:r>
    </w:p>
    <w:p w14:paraId="2E49F417" w14:textId="7271C5FD" w:rsidR="0047253B" w:rsidRDefault="0047253B" w:rsidP="0047253B">
      <w:pPr>
        <w:rPr>
          <w:szCs w:val="22"/>
        </w:rPr>
      </w:pPr>
    </w:p>
    <w:p w14:paraId="2FB91F66" w14:textId="61D9F710" w:rsidR="0047253B" w:rsidRDefault="0047253B" w:rsidP="0047253B">
      <w:pPr>
        <w:pStyle w:val="Heading3"/>
      </w:pPr>
      <w:bookmarkStart w:id="57" w:name="_Toc233084155"/>
      <w:r w:rsidRPr="0047253B">
        <w:t xml:space="preserve">Low GWP </w:t>
      </w:r>
      <w:r>
        <w:t>r</w:t>
      </w:r>
      <w:r w:rsidRPr="0047253B">
        <w:t>efrigerant</w:t>
      </w:r>
      <w:r w:rsidR="00D00D60">
        <w:t>s</w:t>
      </w:r>
      <w:bookmarkEnd w:id="57"/>
    </w:p>
    <w:p w14:paraId="13B21187" w14:textId="781EDDE3" w:rsidR="00D00D60" w:rsidRPr="00D00D60" w:rsidRDefault="00D00D60" w:rsidP="00D00D60">
      <w:pPr>
        <w:rPr>
          <w:szCs w:val="22"/>
        </w:rPr>
      </w:pPr>
      <w:r w:rsidRPr="00D00D60">
        <w:rPr>
          <w:szCs w:val="22"/>
        </w:rPr>
        <w:t>Early vapo</w:t>
      </w:r>
      <w:r w:rsidR="00870F76">
        <w:rPr>
          <w:szCs w:val="22"/>
        </w:rPr>
        <w:t>u</w:t>
      </w:r>
      <w:r w:rsidRPr="00D00D60">
        <w:rPr>
          <w:szCs w:val="22"/>
        </w:rPr>
        <w:t xml:space="preserve">r compression refrigeration systems </w:t>
      </w:r>
      <w:r w:rsidR="00773FBC">
        <w:rPr>
          <w:szCs w:val="22"/>
        </w:rPr>
        <w:t>in the 19</w:t>
      </w:r>
      <w:r w:rsidR="00773FBC" w:rsidRPr="00FD19AE">
        <w:rPr>
          <w:szCs w:val="22"/>
          <w:vertAlign w:val="superscript"/>
        </w:rPr>
        <w:t>th</w:t>
      </w:r>
      <w:r w:rsidR="00773FBC">
        <w:rPr>
          <w:szCs w:val="22"/>
        </w:rPr>
        <w:t xml:space="preserve"> century </w:t>
      </w:r>
      <w:r w:rsidRPr="00D00D60">
        <w:rPr>
          <w:szCs w:val="22"/>
        </w:rPr>
        <w:t xml:space="preserve">relied on the use of ammonia, methyl chloride and sulphur dioxide, gases that are toxic if inhaled. </w:t>
      </w:r>
    </w:p>
    <w:p w14:paraId="31571E84" w14:textId="77777777" w:rsidR="00D00D60" w:rsidRPr="00D00D60" w:rsidRDefault="00D00D60" w:rsidP="00D00D60">
      <w:pPr>
        <w:rPr>
          <w:szCs w:val="22"/>
        </w:rPr>
      </w:pPr>
      <w:r w:rsidRPr="00D00D60">
        <w:rPr>
          <w:szCs w:val="22"/>
        </w:rPr>
        <w:t>By the beginning of the 20</w:t>
      </w:r>
      <w:r w:rsidRPr="000310F6">
        <w:rPr>
          <w:szCs w:val="22"/>
          <w:vertAlign w:val="superscript"/>
        </w:rPr>
        <w:t>th</w:t>
      </w:r>
      <w:r w:rsidRPr="00D00D60">
        <w:rPr>
          <w:szCs w:val="22"/>
        </w:rPr>
        <w:t xml:space="preserve"> century however, most large refrigeration plants, commonly used in meat packing works, were operating using ammonia.</w:t>
      </w:r>
    </w:p>
    <w:p w14:paraId="763A89D0" w14:textId="77777777" w:rsidR="00D00D60" w:rsidRPr="00D00D60" w:rsidRDefault="00D00D60" w:rsidP="00D00D60">
      <w:pPr>
        <w:rPr>
          <w:szCs w:val="22"/>
        </w:rPr>
      </w:pPr>
      <w:r w:rsidRPr="00D00D60">
        <w:rPr>
          <w:szCs w:val="22"/>
        </w:rPr>
        <w:t>With the invention of synthetic refrigerants based mostly on chlorofluorocarbon (CFCs and some HCFCs) in the 1920s, safer refrigerators were possible for home and consumer use. In the 1970s, the compounds were found to be reacting with atmospheric ozone, an important protection against solar ultraviolet radiation, and their use as a refrigerant worldwide was curtailed in the Montreal Protocol of 1987.</w:t>
      </w:r>
    </w:p>
    <w:p w14:paraId="3EC5E4ED" w14:textId="77777777" w:rsidR="00D00D60" w:rsidRPr="00D00D60" w:rsidRDefault="00D00D60" w:rsidP="00D00D60">
      <w:pPr>
        <w:rPr>
          <w:szCs w:val="22"/>
        </w:rPr>
      </w:pPr>
      <w:r w:rsidRPr="00D00D60">
        <w:rPr>
          <w:szCs w:val="22"/>
        </w:rPr>
        <w:t xml:space="preserve">The main CFC replacements, HFCs, have since been regulated under the Kyoto Protocol due to their high global warming potential. </w:t>
      </w:r>
    </w:p>
    <w:p w14:paraId="48EC3562" w14:textId="77777777" w:rsidR="00D00D60" w:rsidRPr="00D00D60" w:rsidRDefault="00D00D60" w:rsidP="00D00D60">
      <w:pPr>
        <w:rPr>
          <w:szCs w:val="22"/>
        </w:rPr>
      </w:pPr>
      <w:r w:rsidRPr="00D00D60">
        <w:rPr>
          <w:szCs w:val="22"/>
        </w:rPr>
        <w:t>As a result, around the world the RAC industry and the manufacturers of industrial gases are moving towards two new streams of low GWP refrigerant gases, including ‘natural’ refrigerants, and low GWP synthetics.</w:t>
      </w:r>
    </w:p>
    <w:p w14:paraId="556043A8" w14:textId="7614B6B4" w:rsidR="0047253B" w:rsidRDefault="0047253B" w:rsidP="0047253B">
      <w:pPr>
        <w:rPr>
          <w:szCs w:val="22"/>
        </w:rPr>
      </w:pPr>
    </w:p>
    <w:p w14:paraId="090587A7" w14:textId="6903816E" w:rsidR="00807CA8" w:rsidRDefault="00807CA8" w:rsidP="00807CA8">
      <w:pPr>
        <w:pStyle w:val="Heading3"/>
      </w:pPr>
      <w:bookmarkStart w:id="58" w:name="_Toc233084156"/>
      <w:r>
        <w:t>Natural r</w:t>
      </w:r>
      <w:r w:rsidRPr="0047253B">
        <w:t>efrigerant</w:t>
      </w:r>
      <w:r>
        <w:t>s</w:t>
      </w:r>
      <w:bookmarkEnd w:id="58"/>
    </w:p>
    <w:p w14:paraId="02FA260B" w14:textId="77777777" w:rsidR="000310F6" w:rsidRPr="000310F6" w:rsidRDefault="000310F6" w:rsidP="000310F6">
      <w:pPr>
        <w:rPr>
          <w:szCs w:val="22"/>
        </w:rPr>
      </w:pPr>
      <w:r w:rsidRPr="000310F6">
        <w:rPr>
          <w:szCs w:val="22"/>
        </w:rPr>
        <w:t xml:space="preserve">Strong growth from a low base in some classes of low GWP refrigerants has been observed in the past three years, particularly in the use of Hydrocarbons (HC-600a, HC-290 and HC-436). This trend has coincided with the introduction of the equivalent carbon price on the import and manufacture of synthetic greenhouse gases. </w:t>
      </w:r>
    </w:p>
    <w:p w14:paraId="51921AF5" w14:textId="6CC96708" w:rsidR="000310F6" w:rsidRPr="000310F6" w:rsidRDefault="000310F6" w:rsidP="000310F6">
      <w:pPr>
        <w:rPr>
          <w:szCs w:val="22"/>
        </w:rPr>
      </w:pPr>
      <w:r w:rsidRPr="000310F6">
        <w:rPr>
          <w:szCs w:val="22"/>
        </w:rPr>
        <w:lastRenderedPageBreak/>
        <w:t>Suppliers of low GWP refrigerants, and equipment that employs these refrigerants, have been operating in the market for many years prior to the development of these policies. Some suppliers in this market provide engineering services on very large ammonia charged systems used in the cold food chain, while</w:t>
      </w:r>
      <w:r w:rsidR="0079172D">
        <w:rPr>
          <w:szCs w:val="22"/>
        </w:rPr>
        <w:t xml:space="preserve"> others are focused on development of the market for HC charged equipment. </w:t>
      </w:r>
      <w:r w:rsidRPr="000310F6">
        <w:rPr>
          <w:szCs w:val="22"/>
        </w:rPr>
        <w:t>All of these businesses have seen strong growth in customer enquiries and sales since it was announced that the high GWP HFC refrigerants</w:t>
      </w:r>
      <w:r w:rsidR="00FD19AE">
        <w:rPr>
          <w:szCs w:val="22"/>
        </w:rPr>
        <w:t xml:space="preserve"> </w:t>
      </w:r>
      <w:r w:rsidR="0079172D">
        <w:rPr>
          <w:szCs w:val="22"/>
        </w:rPr>
        <w:t xml:space="preserve">would </w:t>
      </w:r>
      <w:r w:rsidRPr="000310F6">
        <w:rPr>
          <w:szCs w:val="22"/>
        </w:rPr>
        <w:t xml:space="preserve">have an equivalent carbon price applied to them based on their GWP. </w:t>
      </w:r>
    </w:p>
    <w:p w14:paraId="6D21143A" w14:textId="33ACDCEC" w:rsidR="000310F6" w:rsidRPr="000310F6" w:rsidRDefault="000310F6" w:rsidP="000310F6">
      <w:pPr>
        <w:rPr>
          <w:szCs w:val="22"/>
        </w:rPr>
      </w:pPr>
      <w:r w:rsidRPr="000310F6">
        <w:rPr>
          <w:szCs w:val="22"/>
        </w:rPr>
        <w:t>The total mass of low GWP refrigerants employed in the bank provides refrigeration and air conditioning services that would otherwise require approximately 5,000 tonnes of high GWP gases, equivalent to as much as 11.5 per cent of the high GWP bank.</w:t>
      </w:r>
    </w:p>
    <w:p w14:paraId="7DA78A2E" w14:textId="77777777" w:rsidR="00807CA8" w:rsidRDefault="00807CA8" w:rsidP="0047253B">
      <w:pPr>
        <w:rPr>
          <w:szCs w:val="22"/>
        </w:rPr>
      </w:pPr>
    </w:p>
    <w:p w14:paraId="24B97F85" w14:textId="744F9624" w:rsidR="0047253B" w:rsidRPr="000226CB" w:rsidRDefault="0047253B" w:rsidP="0047253B">
      <w:pPr>
        <w:rPr>
          <w:i/>
          <w:szCs w:val="22"/>
        </w:rPr>
      </w:pPr>
      <w:bookmarkStart w:id="59" w:name="_Toc233084062"/>
      <w:r w:rsidRPr="000226CB">
        <w:rPr>
          <w:i/>
          <w:szCs w:val="22"/>
        </w:rPr>
        <w:t xml:space="preserve">Table </w:t>
      </w:r>
      <w:r w:rsidRPr="000226CB">
        <w:rPr>
          <w:i/>
          <w:szCs w:val="22"/>
        </w:rPr>
        <w:fldChar w:fldCharType="begin"/>
      </w:r>
      <w:r w:rsidRPr="000226CB">
        <w:rPr>
          <w:i/>
          <w:szCs w:val="22"/>
        </w:rPr>
        <w:instrText xml:space="preserve"> SEQ Table \* ARABIC </w:instrText>
      </w:r>
      <w:r w:rsidRPr="000226CB">
        <w:rPr>
          <w:i/>
          <w:szCs w:val="22"/>
        </w:rPr>
        <w:fldChar w:fldCharType="separate"/>
      </w:r>
      <w:r w:rsidR="00196462">
        <w:rPr>
          <w:i/>
          <w:noProof/>
          <w:szCs w:val="22"/>
        </w:rPr>
        <w:t>18</w:t>
      </w:r>
      <w:r w:rsidRPr="000226CB">
        <w:rPr>
          <w:i/>
          <w:szCs w:val="22"/>
        </w:rPr>
        <w:fldChar w:fldCharType="end"/>
      </w:r>
      <w:r w:rsidRPr="000226CB">
        <w:rPr>
          <w:i/>
          <w:szCs w:val="22"/>
        </w:rPr>
        <w:t xml:space="preserve">: </w:t>
      </w:r>
      <w:r>
        <w:rPr>
          <w:i/>
          <w:szCs w:val="22"/>
        </w:rPr>
        <w:t>Low</w:t>
      </w:r>
      <w:r w:rsidRPr="000226CB">
        <w:rPr>
          <w:i/>
          <w:szCs w:val="22"/>
        </w:rPr>
        <w:t xml:space="preserve"> GWP refrigerant bank at end 2012 by mass in tonnes</w:t>
      </w:r>
      <w:bookmarkEnd w:id="5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8"/>
        <w:gridCol w:w="3276"/>
      </w:tblGrid>
      <w:tr w:rsidR="0047253B" w:rsidRPr="00923150" w14:paraId="4A76121D" w14:textId="77777777" w:rsidTr="00230E2E">
        <w:trPr>
          <w:trHeight w:val="684"/>
        </w:trPr>
        <w:tc>
          <w:tcPr>
            <w:tcW w:w="3188" w:type="dxa"/>
            <w:tcBorders>
              <w:top w:val="single" w:sz="8" w:space="0" w:color="auto"/>
              <w:left w:val="single" w:sz="8" w:space="0" w:color="auto"/>
              <w:bottom w:val="single" w:sz="8" w:space="0" w:color="auto"/>
              <w:right w:val="single" w:sz="4" w:space="0" w:color="FFFFFF"/>
            </w:tcBorders>
            <w:shd w:val="clear" w:color="auto" w:fill="000000"/>
            <w:vAlign w:val="center"/>
          </w:tcPr>
          <w:p w14:paraId="7B5DD606" w14:textId="77777777" w:rsidR="0047253B" w:rsidRPr="00923150" w:rsidRDefault="0047253B" w:rsidP="006E7A71">
            <w:pPr>
              <w:spacing w:after="120"/>
              <w:ind w:left="284"/>
            </w:pPr>
            <w:r>
              <w:t>Species</w:t>
            </w:r>
          </w:p>
        </w:tc>
        <w:tc>
          <w:tcPr>
            <w:tcW w:w="3276" w:type="dxa"/>
            <w:tcBorders>
              <w:top w:val="single" w:sz="8" w:space="0" w:color="auto"/>
              <w:left w:val="single" w:sz="4" w:space="0" w:color="FFFFFF"/>
              <w:bottom w:val="single" w:sz="8" w:space="0" w:color="auto"/>
              <w:right w:val="single" w:sz="8" w:space="0" w:color="auto"/>
            </w:tcBorders>
            <w:shd w:val="clear" w:color="auto" w:fill="000000"/>
            <w:vAlign w:val="center"/>
          </w:tcPr>
          <w:p w14:paraId="59E893AC" w14:textId="77777777" w:rsidR="0047253B" w:rsidRPr="00923150" w:rsidRDefault="0047253B" w:rsidP="006E7A71">
            <w:pPr>
              <w:spacing w:after="120"/>
              <w:jc w:val="center"/>
            </w:pPr>
            <w:r>
              <w:t>Bank (t)</w:t>
            </w:r>
          </w:p>
        </w:tc>
      </w:tr>
      <w:tr w:rsidR="0047253B" w:rsidRPr="00923150" w14:paraId="488A556B" w14:textId="77777777" w:rsidTr="0047253B">
        <w:trPr>
          <w:trHeight w:val="456"/>
        </w:trPr>
        <w:tc>
          <w:tcPr>
            <w:tcW w:w="3188" w:type="dxa"/>
            <w:tcBorders>
              <w:top w:val="single" w:sz="8" w:space="0" w:color="auto"/>
            </w:tcBorders>
            <w:vAlign w:val="center"/>
          </w:tcPr>
          <w:p w14:paraId="2EA1BA34" w14:textId="6E29A916" w:rsidR="0047253B" w:rsidRPr="00923150" w:rsidRDefault="0047253B" w:rsidP="006E7A71">
            <w:pPr>
              <w:spacing w:before="60" w:after="60"/>
              <w:ind w:left="284"/>
              <w:rPr>
                <w:sz w:val="20"/>
              </w:rPr>
            </w:pPr>
            <w:r w:rsidRPr="00876FAE">
              <w:t>CO</w:t>
            </w:r>
            <w:r w:rsidRPr="0047253B">
              <w:rPr>
                <w:vertAlign w:val="subscript"/>
              </w:rPr>
              <w:t>2</w:t>
            </w:r>
          </w:p>
        </w:tc>
        <w:tc>
          <w:tcPr>
            <w:tcW w:w="3276" w:type="dxa"/>
            <w:tcBorders>
              <w:top w:val="single" w:sz="8" w:space="0" w:color="auto"/>
            </w:tcBorders>
            <w:vAlign w:val="center"/>
          </w:tcPr>
          <w:p w14:paraId="0D71244D" w14:textId="3204E573" w:rsidR="0047253B" w:rsidRPr="00923150" w:rsidRDefault="0047253B" w:rsidP="006E7A71">
            <w:pPr>
              <w:spacing w:before="60" w:after="60"/>
              <w:jc w:val="center"/>
              <w:rPr>
                <w:sz w:val="20"/>
              </w:rPr>
            </w:pPr>
            <w:r w:rsidRPr="00876FAE">
              <w:t>80</w:t>
            </w:r>
          </w:p>
        </w:tc>
      </w:tr>
      <w:tr w:rsidR="0047253B" w:rsidRPr="00923150" w14:paraId="051845BF" w14:textId="77777777" w:rsidTr="0047253B">
        <w:trPr>
          <w:trHeight w:val="456"/>
        </w:trPr>
        <w:tc>
          <w:tcPr>
            <w:tcW w:w="3188" w:type="dxa"/>
            <w:vAlign w:val="center"/>
          </w:tcPr>
          <w:p w14:paraId="7DFBD397" w14:textId="25D77E16" w:rsidR="0047253B" w:rsidRDefault="0047253B" w:rsidP="006E7A71">
            <w:pPr>
              <w:spacing w:before="60" w:after="60"/>
              <w:ind w:left="284"/>
              <w:rPr>
                <w:sz w:val="20"/>
              </w:rPr>
            </w:pPr>
            <w:r w:rsidRPr="00876FAE">
              <w:t>Ammonia (R717)</w:t>
            </w:r>
          </w:p>
        </w:tc>
        <w:tc>
          <w:tcPr>
            <w:tcW w:w="3276" w:type="dxa"/>
            <w:vAlign w:val="center"/>
          </w:tcPr>
          <w:p w14:paraId="40F1535F" w14:textId="24085B57" w:rsidR="0047253B" w:rsidRDefault="0047253B" w:rsidP="006E7A71">
            <w:pPr>
              <w:spacing w:before="60" w:after="60"/>
              <w:jc w:val="center"/>
              <w:rPr>
                <w:sz w:val="20"/>
              </w:rPr>
            </w:pPr>
            <w:r w:rsidRPr="00876FAE">
              <w:t>4,400</w:t>
            </w:r>
          </w:p>
        </w:tc>
      </w:tr>
      <w:tr w:rsidR="0047253B" w:rsidRPr="00923150" w14:paraId="1A25D512" w14:textId="77777777" w:rsidTr="0047253B">
        <w:trPr>
          <w:trHeight w:val="456"/>
        </w:trPr>
        <w:tc>
          <w:tcPr>
            <w:tcW w:w="3188" w:type="dxa"/>
            <w:vAlign w:val="center"/>
          </w:tcPr>
          <w:p w14:paraId="0F3868E3" w14:textId="24D93DE4" w:rsidR="0047253B" w:rsidRDefault="0047253B" w:rsidP="006E7A71">
            <w:pPr>
              <w:spacing w:before="60" w:after="60"/>
              <w:ind w:left="284"/>
              <w:rPr>
                <w:sz w:val="20"/>
              </w:rPr>
            </w:pPr>
            <w:r w:rsidRPr="00876FAE">
              <w:t>Hydrocarbons</w:t>
            </w:r>
          </w:p>
        </w:tc>
        <w:tc>
          <w:tcPr>
            <w:tcW w:w="3276" w:type="dxa"/>
            <w:vAlign w:val="center"/>
          </w:tcPr>
          <w:p w14:paraId="021C7E4C" w14:textId="4744E3A0" w:rsidR="0047253B" w:rsidRDefault="0047253B" w:rsidP="006E7A71">
            <w:pPr>
              <w:spacing w:before="60" w:after="60"/>
              <w:jc w:val="center"/>
              <w:rPr>
                <w:sz w:val="20"/>
              </w:rPr>
            </w:pPr>
            <w:r w:rsidRPr="00876FAE">
              <w:t>320</w:t>
            </w:r>
          </w:p>
        </w:tc>
      </w:tr>
      <w:tr w:rsidR="0047253B" w:rsidRPr="00923150" w14:paraId="70195036" w14:textId="77777777" w:rsidTr="0047253B">
        <w:trPr>
          <w:trHeight w:val="456"/>
        </w:trPr>
        <w:tc>
          <w:tcPr>
            <w:tcW w:w="3188" w:type="dxa"/>
            <w:tcBorders>
              <w:top w:val="double" w:sz="4" w:space="0" w:color="auto"/>
            </w:tcBorders>
            <w:vAlign w:val="center"/>
          </w:tcPr>
          <w:p w14:paraId="6B963A13" w14:textId="542CF156" w:rsidR="0047253B" w:rsidRDefault="0047253B" w:rsidP="0047253B">
            <w:pPr>
              <w:spacing w:before="60" w:after="60"/>
              <w:ind w:left="284"/>
              <w:rPr>
                <w:sz w:val="20"/>
              </w:rPr>
            </w:pPr>
            <w:r w:rsidRPr="00876FAE">
              <w:t>Total</w:t>
            </w:r>
            <w:r w:rsidR="005169C2">
              <w:t xml:space="preserve"> </w:t>
            </w:r>
            <w:r w:rsidR="005169C2" w:rsidRPr="00690A68">
              <w:rPr>
                <w:sz w:val="20"/>
                <w:szCs w:val="20"/>
                <w:vertAlign w:val="superscript"/>
              </w:rPr>
              <w:t>(1)</w:t>
            </w:r>
          </w:p>
        </w:tc>
        <w:tc>
          <w:tcPr>
            <w:tcW w:w="3276" w:type="dxa"/>
            <w:tcBorders>
              <w:top w:val="double" w:sz="4" w:space="0" w:color="auto"/>
            </w:tcBorders>
            <w:vAlign w:val="center"/>
          </w:tcPr>
          <w:p w14:paraId="7D3EDFB6" w14:textId="0983A1F8" w:rsidR="0047253B" w:rsidRDefault="0047253B" w:rsidP="006E7A71">
            <w:pPr>
              <w:spacing w:before="60" w:after="60"/>
              <w:jc w:val="center"/>
              <w:rPr>
                <w:sz w:val="20"/>
              </w:rPr>
            </w:pPr>
            <w:r w:rsidRPr="00876FAE">
              <w:t>4,800</w:t>
            </w:r>
          </w:p>
        </w:tc>
      </w:tr>
    </w:tbl>
    <w:p w14:paraId="2C3D7683" w14:textId="591A670C" w:rsidR="00537BDB" w:rsidRPr="005169C2" w:rsidRDefault="00537BDB" w:rsidP="00D05A74">
      <w:pPr>
        <w:pStyle w:val="ListParagraph"/>
        <w:numPr>
          <w:ilvl w:val="0"/>
          <w:numId w:val="18"/>
        </w:numPr>
        <w:spacing w:before="60" w:after="0"/>
        <w:ind w:left="357" w:hanging="357"/>
        <w:contextualSpacing w:val="0"/>
        <w:rPr>
          <w:rFonts w:ascii="Times New Roman" w:hAnsi="Times New Roman"/>
          <w:sz w:val="20"/>
          <w:szCs w:val="20"/>
        </w:rPr>
      </w:pPr>
      <w:r w:rsidRPr="005169C2">
        <w:rPr>
          <w:rFonts w:ascii="Times New Roman" w:hAnsi="Times New Roman"/>
          <w:sz w:val="20"/>
          <w:szCs w:val="20"/>
        </w:rPr>
        <w:t xml:space="preserve">Sources: In-confidence market survey of </w:t>
      </w:r>
      <w:r w:rsidR="004B03DD" w:rsidRPr="005169C2">
        <w:rPr>
          <w:rFonts w:ascii="Times New Roman" w:hAnsi="Times New Roman"/>
          <w:sz w:val="20"/>
          <w:szCs w:val="20"/>
        </w:rPr>
        <w:t>all major participants provided actual 2012 market volumes, which was used to derive estimates of the natural refrigerant bank by type</w:t>
      </w:r>
      <w:r w:rsidR="005169C2">
        <w:rPr>
          <w:rFonts w:ascii="Times New Roman" w:hAnsi="Times New Roman"/>
          <w:sz w:val="20"/>
          <w:szCs w:val="20"/>
        </w:rPr>
        <w:t>.</w:t>
      </w:r>
    </w:p>
    <w:p w14:paraId="4037700B" w14:textId="4B751AE8" w:rsidR="006E7A71" w:rsidRPr="0047253B" w:rsidRDefault="006E7A71" w:rsidP="000310F6">
      <w:pPr>
        <w:spacing w:before="240"/>
        <w:rPr>
          <w:rFonts w:asciiTheme="majorHAnsi" w:hAnsiTheme="majorHAnsi"/>
          <w:b/>
          <w:sz w:val="24"/>
        </w:rPr>
      </w:pPr>
      <w:r w:rsidRPr="006E7A71">
        <w:rPr>
          <w:rFonts w:asciiTheme="majorHAnsi" w:hAnsiTheme="majorHAnsi"/>
          <w:b/>
          <w:sz w:val="24"/>
        </w:rPr>
        <w:t>Ammonia</w:t>
      </w:r>
    </w:p>
    <w:p w14:paraId="38291A06" w14:textId="1C1E13FA" w:rsidR="00FD19AE" w:rsidRDefault="00FD19AE" w:rsidP="009B2352">
      <w:pPr>
        <w:rPr>
          <w:szCs w:val="22"/>
        </w:rPr>
      </w:pPr>
      <w:r>
        <w:rPr>
          <w:szCs w:val="22"/>
        </w:rPr>
        <w:t>The main applications where ammonia</w:t>
      </w:r>
      <w:r w:rsidR="009B2352">
        <w:rPr>
          <w:rStyle w:val="FootnoteReference"/>
          <w:szCs w:val="22"/>
        </w:rPr>
        <w:footnoteReference w:id="22"/>
      </w:r>
      <w:r>
        <w:rPr>
          <w:szCs w:val="22"/>
        </w:rPr>
        <w:t xml:space="preserve"> systems are found include cold storage facilities (</w:t>
      </w:r>
      <w:r w:rsidR="009B2352">
        <w:rPr>
          <w:szCs w:val="22"/>
        </w:rPr>
        <w:t xml:space="preserve">typically </w:t>
      </w:r>
      <w:r>
        <w:rPr>
          <w:szCs w:val="22"/>
        </w:rPr>
        <w:t>5,000 to 250,000</w:t>
      </w:r>
      <w:r w:rsidR="009B2352">
        <w:rPr>
          <w:szCs w:val="22"/>
        </w:rPr>
        <w:t xml:space="preserve"> </w:t>
      </w:r>
      <w:r>
        <w:rPr>
          <w:szCs w:val="22"/>
        </w:rPr>
        <w:t>m</w:t>
      </w:r>
      <w:r w:rsidR="009B2352">
        <w:rPr>
          <w:szCs w:val="22"/>
          <w:vertAlign w:val="superscript"/>
        </w:rPr>
        <w:t>3</w:t>
      </w:r>
      <w:r>
        <w:rPr>
          <w:szCs w:val="22"/>
        </w:rPr>
        <w:t xml:space="preserve">), </w:t>
      </w:r>
      <w:r w:rsidR="009B2352" w:rsidRPr="009B2352">
        <w:rPr>
          <w:szCs w:val="22"/>
        </w:rPr>
        <w:t>large</w:t>
      </w:r>
      <w:r w:rsidR="009B2352">
        <w:rPr>
          <w:szCs w:val="22"/>
        </w:rPr>
        <w:t xml:space="preserve"> </w:t>
      </w:r>
      <w:r w:rsidR="009B2352" w:rsidRPr="009B2352">
        <w:rPr>
          <w:szCs w:val="22"/>
        </w:rPr>
        <w:t xml:space="preserve">chilling, freezing and ice making systems in the primary and secondary stages of the </w:t>
      </w:r>
      <w:r w:rsidR="009B2352">
        <w:rPr>
          <w:szCs w:val="22"/>
        </w:rPr>
        <w:t>co</w:t>
      </w:r>
      <w:r w:rsidR="009B2352" w:rsidRPr="009B2352">
        <w:rPr>
          <w:szCs w:val="22"/>
        </w:rPr>
        <w:t xml:space="preserve">ld </w:t>
      </w:r>
      <w:r w:rsidR="009B2352">
        <w:rPr>
          <w:szCs w:val="22"/>
        </w:rPr>
        <w:t>f</w:t>
      </w:r>
      <w:r w:rsidR="009B2352" w:rsidRPr="009B2352">
        <w:rPr>
          <w:szCs w:val="22"/>
        </w:rPr>
        <w:t xml:space="preserve">ood </w:t>
      </w:r>
      <w:r w:rsidR="009B2352">
        <w:rPr>
          <w:szCs w:val="22"/>
        </w:rPr>
        <w:t>c</w:t>
      </w:r>
      <w:r w:rsidR="009B2352" w:rsidRPr="009B2352">
        <w:rPr>
          <w:szCs w:val="22"/>
        </w:rPr>
        <w:t>hain</w:t>
      </w:r>
      <w:r w:rsidR="001B3362">
        <w:rPr>
          <w:szCs w:val="22"/>
        </w:rPr>
        <w:t>,</w:t>
      </w:r>
      <w:r w:rsidR="009B2352">
        <w:rPr>
          <w:szCs w:val="22"/>
        </w:rPr>
        <w:t xml:space="preserve"> </w:t>
      </w:r>
      <w:r>
        <w:rPr>
          <w:szCs w:val="22"/>
        </w:rPr>
        <w:t>and some</w:t>
      </w:r>
      <w:r w:rsidR="009B2352">
        <w:rPr>
          <w:szCs w:val="22"/>
        </w:rPr>
        <w:t xml:space="preserve"> </w:t>
      </w:r>
      <w:r w:rsidR="001B3362">
        <w:rPr>
          <w:szCs w:val="22"/>
        </w:rPr>
        <w:t xml:space="preserve">chemical processes and </w:t>
      </w:r>
      <w:r w:rsidR="009B2352">
        <w:rPr>
          <w:szCs w:val="22"/>
        </w:rPr>
        <w:t>mining air conditioning applications.</w:t>
      </w:r>
      <w:r>
        <w:rPr>
          <w:szCs w:val="22"/>
        </w:rPr>
        <w:t xml:space="preserve"> </w:t>
      </w:r>
    </w:p>
    <w:p w14:paraId="26A87B32" w14:textId="51E48D4E" w:rsidR="000310F6" w:rsidRPr="000310F6" w:rsidRDefault="000310F6" w:rsidP="000310F6">
      <w:pPr>
        <w:rPr>
          <w:szCs w:val="22"/>
        </w:rPr>
      </w:pPr>
      <w:r w:rsidRPr="000310F6">
        <w:rPr>
          <w:szCs w:val="22"/>
        </w:rPr>
        <w:t>There is an estimated 12.4 million m</w:t>
      </w:r>
      <w:r w:rsidRPr="000310F6">
        <w:rPr>
          <w:szCs w:val="22"/>
          <w:vertAlign w:val="superscript"/>
        </w:rPr>
        <w:t>3</w:t>
      </w:r>
      <w:r w:rsidRPr="000310F6">
        <w:rPr>
          <w:szCs w:val="22"/>
        </w:rPr>
        <w:t xml:space="preserve"> of cold storage space operating on ammonia systems. Assuming a benchmark obtained from industry sources of 31 kg per 1,000 m</w:t>
      </w:r>
      <w:r w:rsidRPr="000310F6">
        <w:rPr>
          <w:szCs w:val="22"/>
          <w:vertAlign w:val="superscript"/>
        </w:rPr>
        <w:t>3</w:t>
      </w:r>
      <w:r w:rsidRPr="000310F6">
        <w:rPr>
          <w:szCs w:val="22"/>
        </w:rPr>
        <w:t xml:space="preserve"> of storage space, this equates to around 380 tonnes of ammonia in cold stores.</w:t>
      </w:r>
      <w:r w:rsidR="002B297A">
        <w:rPr>
          <w:rStyle w:val="FootnoteReference"/>
          <w:szCs w:val="22"/>
        </w:rPr>
        <w:footnoteReference w:id="23"/>
      </w:r>
      <w:r w:rsidRPr="000310F6">
        <w:rPr>
          <w:szCs w:val="22"/>
        </w:rPr>
        <w:t xml:space="preserve">  </w:t>
      </w:r>
    </w:p>
    <w:p w14:paraId="288B0056" w14:textId="43CE430B" w:rsidR="000310F6" w:rsidRPr="000310F6" w:rsidRDefault="009B2352" w:rsidP="000310F6">
      <w:pPr>
        <w:rPr>
          <w:szCs w:val="22"/>
        </w:rPr>
      </w:pPr>
      <w:r>
        <w:rPr>
          <w:szCs w:val="22"/>
        </w:rPr>
        <w:t>Other a</w:t>
      </w:r>
      <w:r w:rsidR="000310F6" w:rsidRPr="000310F6">
        <w:rPr>
          <w:szCs w:val="22"/>
        </w:rPr>
        <w:t xml:space="preserve">pplications where large charges of ammonia can be found in single installations are in high volume blast freezing applications that are extremely refrigeration intensive, requiring </w:t>
      </w:r>
      <w:r>
        <w:rPr>
          <w:szCs w:val="22"/>
        </w:rPr>
        <w:t xml:space="preserve">snap freezing of </w:t>
      </w:r>
      <w:r w:rsidR="000310F6" w:rsidRPr="000310F6">
        <w:rPr>
          <w:szCs w:val="22"/>
        </w:rPr>
        <w:t xml:space="preserve">large masses of perishable goods such as </w:t>
      </w:r>
      <w:r w:rsidR="006149A6">
        <w:rPr>
          <w:szCs w:val="22"/>
        </w:rPr>
        <w:t xml:space="preserve">in </w:t>
      </w:r>
      <w:r w:rsidR="000310F6" w:rsidRPr="000310F6">
        <w:rPr>
          <w:szCs w:val="22"/>
        </w:rPr>
        <w:t xml:space="preserve">meat processing, poultry processing and other primary and secondary processes in the </w:t>
      </w:r>
      <w:r w:rsidR="000310F6">
        <w:rPr>
          <w:szCs w:val="22"/>
        </w:rPr>
        <w:t>r</w:t>
      </w:r>
      <w:r w:rsidR="000310F6" w:rsidRPr="000310F6">
        <w:rPr>
          <w:szCs w:val="22"/>
        </w:rPr>
        <w:t xml:space="preserve">efrigerated </w:t>
      </w:r>
      <w:r w:rsidR="000310F6">
        <w:rPr>
          <w:szCs w:val="22"/>
        </w:rPr>
        <w:t>c</w:t>
      </w:r>
      <w:r w:rsidR="000310F6" w:rsidRPr="000310F6">
        <w:rPr>
          <w:szCs w:val="22"/>
        </w:rPr>
        <w:t xml:space="preserve">old </w:t>
      </w:r>
      <w:r w:rsidR="000310F6">
        <w:rPr>
          <w:szCs w:val="22"/>
        </w:rPr>
        <w:t>f</w:t>
      </w:r>
      <w:r w:rsidR="000310F6" w:rsidRPr="000310F6">
        <w:rPr>
          <w:szCs w:val="22"/>
        </w:rPr>
        <w:t xml:space="preserve">ood </w:t>
      </w:r>
      <w:r w:rsidR="000310F6">
        <w:rPr>
          <w:szCs w:val="22"/>
        </w:rPr>
        <w:t>c</w:t>
      </w:r>
      <w:r w:rsidR="000310F6" w:rsidRPr="000310F6">
        <w:rPr>
          <w:szCs w:val="22"/>
        </w:rPr>
        <w:t xml:space="preserve">hain (i.e. </w:t>
      </w:r>
      <w:r>
        <w:rPr>
          <w:szCs w:val="22"/>
        </w:rPr>
        <w:t xml:space="preserve">vegetables, </w:t>
      </w:r>
      <w:r w:rsidR="000310F6" w:rsidRPr="000310F6">
        <w:rPr>
          <w:szCs w:val="22"/>
        </w:rPr>
        <w:t xml:space="preserve">dairy, beverages, frozen foods). </w:t>
      </w:r>
    </w:p>
    <w:p w14:paraId="29D232AF" w14:textId="0E3006DD" w:rsidR="006E7A71" w:rsidRDefault="000310F6" w:rsidP="006E7A71">
      <w:pPr>
        <w:rPr>
          <w:szCs w:val="22"/>
        </w:rPr>
      </w:pPr>
      <w:r w:rsidRPr="000310F6">
        <w:rPr>
          <w:szCs w:val="22"/>
        </w:rPr>
        <w:t xml:space="preserve">Some individual meat processing facilities are known to contain up to 150 tonnes of ammonia. There are more than 2,100 meat/poultry processing facilities in Australia that employ more than 200 people. A survey of suppliers of bulk ammonia estimated 545 tonnes was delivered to customers in 2012. </w:t>
      </w:r>
      <w:r>
        <w:rPr>
          <w:szCs w:val="22"/>
        </w:rPr>
        <w:t xml:space="preserve">Based on the research undertaken on existing facilities the present estimate on the ammonia bank is </w:t>
      </w:r>
      <w:r w:rsidRPr="000310F6">
        <w:rPr>
          <w:szCs w:val="22"/>
        </w:rPr>
        <w:t>4,400 tonnes in total</w:t>
      </w:r>
      <w:r>
        <w:rPr>
          <w:szCs w:val="22"/>
        </w:rPr>
        <w:t>, however based on historic and 2012 supply volumes it is likely this estimate is very conservative and further research is required to improve the accuracy of this estimate.</w:t>
      </w:r>
    </w:p>
    <w:p w14:paraId="0962620B" w14:textId="77777777" w:rsidR="002A4337" w:rsidRDefault="002A4337">
      <w:pPr>
        <w:spacing w:before="0"/>
        <w:jc w:val="left"/>
        <w:rPr>
          <w:rFonts w:asciiTheme="majorHAnsi" w:hAnsiTheme="majorHAnsi"/>
          <w:b/>
          <w:sz w:val="24"/>
        </w:rPr>
      </w:pPr>
      <w:r>
        <w:rPr>
          <w:rFonts w:asciiTheme="majorHAnsi" w:hAnsiTheme="majorHAnsi"/>
          <w:b/>
          <w:sz w:val="24"/>
        </w:rPr>
        <w:br w:type="page"/>
      </w:r>
    </w:p>
    <w:p w14:paraId="326DC3D9" w14:textId="15C0329D" w:rsidR="006E7A71" w:rsidRPr="0047253B" w:rsidRDefault="006E7A71" w:rsidP="000310F6">
      <w:pPr>
        <w:spacing w:before="240"/>
        <w:rPr>
          <w:rFonts w:asciiTheme="majorHAnsi" w:hAnsiTheme="majorHAnsi"/>
          <w:b/>
          <w:sz w:val="24"/>
        </w:rPr>
      </w:pPr>
      <w:r w:rsidRPr="0047253B">
        <w:rPr>
          <w:rFonts w:asciiTheme="majorHAnsi" w:hAnsiTheme="majorHAnsi"/>
          <w:b/>
          <w:sz w:val="24"/>
        </w:rPr>
        <w:lastRenderedPageBreak/>
        <w:t>H</w:t>
      </w:r>
      <w:r>
        <w:rPr>
          <w:rFonts w:asciiTheme="majorHAnsi" w:hAnsiTheme="majorHAnsi"/>
          <w:b/>
          <w:sz w:val="24"/>
        </w:rPr>
        <w:t>ydrocarbons</w:t>
      </w:r>
    </w:p>
    <w:p w14:paraId="1C00687A" w14:textId="77777777" w:rsidR="008426FE" w:rsidRPr="008426FE" w:rsidRDefault="008426FE" w:rsidP="008426FE">
      <w:pPr>
        <w:rPr>
          <w:szCs w:val="22"/>
        </w:rPr>
      </w:pPr>
      <w:r w:rsidRPr="008426FE">
        <w:rPr>
          <w:szCs w:val="22"/>
        </w:rPr>
        <w:t xml:space="preserve">The majority of hydrocarbons are employed in small charge systems such as domestic refrigerators and automotive systems. </w:t>
      </w:r>
    </w:p>
    <w:p w14:paraId="5A4D64EF" w14:textId="19804521" w:rsidR="00BF181B" w:rsidRPr="00BF181B" w:rsidRDefault="008426FE" w:rsidP="00BF181B">
      <w:pPr>
        <w:rPr>
          <w:szCs w:val="22"/>
        </w:rPr>
      </w:pPr>
      <w:r w:rsidRPr="008426FE">
        <w:rPr>
          <w:szCs w:val="22"/>
        </w:rPr>
        <w:t xml:space="preserve">Hydrocarbons are reported to be </w:t>
      </w:r>
      <w:r w:rsidR="00724AA2">
        <w:rPr>
          <w:szCs w:val="22"/>
        </w:rPr>
        <w:t xml:space="preserve">a </w:t>
      </w:r>
      <w:r w:rsidRPr="008426FE">
        <w:rPr>
          <w:szCs w:val="22"/>
        </w:rPr>
        <w:t xml:space="preserve">widely used refrigerant in mobile air conditioning. It is thought to be employed most frequently in the service market for </w:t>
      </w:r>
      <w:r w:rsidR="006149A6">
        <w:rPr>
          <w:szCs w:val="22"/>
        </w:rPr>
        <w:t>older</w:t>
      </w:r>
      <w:r w:rsidRPr="008426FE">
        <w:rPr>
          <w:szCs w:val="22"/>
        </w:rPr>
        <w:t xml:space="preserve"> vehicles and is estimated to account for around 8 per cent of passenger and light commercial vehicles.  This equates to around 1,200,000 on road passenger and light commercial vehicles. </w:t>
      </w:r>
      <w:r w:rsidR="00BF181B">
        <w:rPr>
          <w:szCs w:val="22"/>
        </w:rPr>
        <w:t>In addition there is one very small manufacturer</w:t>
      </w:r>
      <w:r w:rsidR="00E233FC">
        <w:rPr>
          <w:szCs w:val="22"/>
        </w:rPr>
        <w:t xml:space="preserve"> (i.e. </w:t>
      </w:r>
      <w:r w:rsidR="00BF181B">
        <w:rPr>
          <w:szCs w:val="22"/>
        </w:rPr>
        <w:t>OKA</w:t>
      </w:r>
      <w:r w:rsidR="00E233FC">
        <w:rPr>
          <w:szCs w:val="22"/>
        </w:rPr>
        <w:t>)</w:t>
      </w:r>
      <w:r w:rsidR="00BF181B">
        <w:rPr>
          <w:szCs w:val="22"/>
        </w:rPr>
        <w:t xml:space="preserve"> of </w:t>
      </w:r>
      <w:r w:rsidR="00BF181B" w:rsidRPr="00BF181B">
        <w:rPr>
          <w:szCs w:val="22"/>
        </w:rPr>
        <w:t xml:space="preserve">special purpose 4WD on/off road vehicles </w:t>
      </w:r>
      <w:r w:rsidR="004B3881">
        <w:rPr>
          <w:szCs w:val="22"/>
        </w:rPr>
        <w:t xml:space="preserve">that </w:t>
      </w:r>
      <w:r w:rsidR="00BF181B" w:rsidRPr="00BF181B">
        <w:rPr>
          <w:szCs w:val="22"/>
        </w:rPr>
        <w:t xml:space="preserve">has switched to </w:t>
      </w:r>
      <w:r w:rsidR="004B3881">
        <w:rPr>
          <w:szCs w:val="22"/>
        </w:rPr>
        <w:t xml:space="preserve">hydrocarbon </w:t>
      </w:r>
      <w:r w:rsidR="00BF181B">
        <w:rPr>
          <w:szCs w:val="22"/>
        </w:rPr>
        <w:t>refrigerants</w:t>
      </w:r>
      <w:r w:rsidR="00BF181B" w:rsidRPr="00BF181B">
        <w:rPr>
          <w:szCs w:val="22"/>
        </w:rPr>
        <w:t>.</w:t>
      </w:r>
    </w:p>
    <w:p w14:paraId="70D0AEE1" w14:textId="72B9A03F" w:rsidR="008426FE" w:rsidRPr="008426FE" w:rsidRDefault="008426FE" w:rsidP="008426FE">
      <w:pPr>
        <w:rPr>
          <w:szCs w:val="22"/>
        </w:rPr>
      </w:pPr>
      <w:r w:rsidRPr="008426FE">
        <w:rPr>
          <w:szCs w:val="22"/>
        </w:rPr>
        <w:t xml:space="preserve">It is estimated that in 2012 more than 1.1 million </w:t>
      </w:r>
      <w:r w:rsidR="006149A6">
        <w:rPr>
          <w:szCs w:val="22"/>
        </w:rPr>
        <w:t xml:space="preserve">domestic </w:t>
      </w:r>
      <w:r w:rsidR="000968D5">
        <w:rPr>
          <w:szCs w:val="22"/>
        </w:rPr>
        <w:t>refrigerators</w:t>
      </w:r>
      <w:r w:rsidR="006149A6">
        <w:rPr>
          <w:szCs w:val="22"/>
        </w:rPr>
        <w:t xml:space="preserve"> in Australia </w:t>
      </w:r>
      <w:r w:rsidRPr="008426FE">
        <w:rPr>
          <w:szCs w:val="22"/>
        </w:rPr>
        <w:t>(~7 per cent</w:t>
      </w:r>
      <w:r w:rsidR="006149A6">
        <w:rPr>
          <w:szCs w:val="22"/>
        </w:rPr>
        <w:t xml:space="preserve"> of the total</w:t>
      </w:r>
      <w:r w:rsidRPr="008426FE">
        <w:rPr>
          <w:szCs w:val="22"/>
        </w:rPr>
        <w:t>) contain hydrocarbon HC-600a. Trends point to this number growing rapidly with retailers and manufacturers reporting that more than half of all new sales of domestic refrigerators now carry a hydrocarbon refrigerant.</w:t>
      </w:r>
    </w:p>
    <w:p w14:paraId="10D1F1FD" w14:textId="152A0874" w:rsidR="008426FE" w:rsidRPr="008426FE" w:rsidRDefault="008426FE" w:rsidP="008426FE">
      <w:pPr>
        <w:rPr>
          <w:szCs w:val="22"/>
        </w:rPr>
      </w:pPr>
      <w:r w:rsidRPr="008426FE">
        <w:rPr>
          <w:szCs w:val="22"/>
        </w:rPr>
        <w:t xml:space="preserve">The only remaining domestic refrigerator manufacturer, Electrolux Appliances based in Orange, NSW </w:t>
      </w:r>
      <w:r w:rsidR="00724AA2">
        <w:rPr>
          <w:szCs w:val="22"/>
        </w:rPr>
        <w:t xml:space="preserve">has converted the majority of its product lines to </w:t>
      </w:r>
      <w:r w:rsidRPr="008426FE">
        <w:rPr>
          <w:szCs w:val="22"/>
        </w:rPr>
        <w:t>HC-600a</w:t>
      </w:r>
      <w:r w:rsidR="00724AA2">
        <w:rPr>
          <w:szCs w:val="22"/>
        </w:rPr>
        <w:t xml:space="preserve"> and has plans to </w:t>
      </w:r>
      <w:r w:rsidR="00724AA2" w:rsidRPr="008426FE">
        <w:rPr>
          <w:szCs w:val="22"/>
        </w:rPr>
        <w:t xml:space="preserve">convert </w:t>
      </w:r>
      <w:r w:rsidR="00724AA2">
        <w:rPr>
          <w:szCs w:val="22"/>
        </w:rPr>
        <w:t>the remaining models soon.</w:t>
      </w:r>
      <w:r w:rsidRPr="008426FE">
        <w:rPr>
          <w:szCs w:val="22"/>
        </w:rPr>
        <w:t xml:space="preserve"> </w:t>
      </w:r>
    </w:p>
    <w:p w14:paraId="613D4150" w14:textId="77777777" w:rsidR="008426FE" w:rsidRPr="008426FE" w:rsidRDefault="008426FE" w:rsidP="008426FE">
      <w:pPr>
        <w:rPr>
          <w:szCs w:val="22"/>
        </w:rPr>
      </w:pPr>
      <w:r w:rsidRPr="008426FE">
        <w:rPr>
          <w:szCs w:val="22"/>
        </w:rPr>
        <w:t>Although the expansion of the HC-600a charged stock of equipment is underway, a trend that is expected to accelerate, it will take a long time before the majority of domestic equipment is no longer charged with a fluorocarbon gas. A small survey of 66 fridge-freezers in a large retail outlet was undertaken at the end of 2010. Fifty-one products were found to contain HFC-134a (Fisher &amp; Paykel, Samsung, LG, Kelvinator and Westinghouse). Fifteen products (29 per cent) contained HC-600a (Electrolux, Westinghouse, Hisense and some larger LG models).</w:t>
      </w:r>
    </w:p>
    <w:p w14:paraId="05FF8211" w14:textId="46DA559F" w:rsidR="008426FE" w:rsidRPr="008426FE" w:rsidRDefault="006149A6" w:rsidP="008426FE">
      <w:pPr>
        <w:rPr>
          <w:szCs w:val="22"/>
        </w:rPr>
      </w:pPr>
      <w:r>
        <w:rPr>
          <w:szCs w:val="22"/>
        </w:rPr>
        <w:t>In a</w:t>
      </w:r>
      <w:r w:rsidR="008426FE" w:rsidRPr="008426FE">
        <w:rPr>
          <w:szCs w:val="22"/>
        </w:rPr>
        <w:t xml:space="preserve"> follow up survey in 2013 of seventy-six products in the same store </w:t>
      </w:r>
      <w:r w:rsidRPr="008426FE">
        <w:rPr>
          <w:szCs w:val="22"/>
        </w:rPr>
        <w:t>54 per cent of products contained hydrocarbon refrigerant</w:t>
      </w:r>
      <w:r>
        <w:rPr>
          <w:szCs w:val="22"/>
        </w:rPr>
        <w:t>. Notably</w:t>
      </w:r>
      <w:r w:rsidRPr="008426FE">
        <w:rPr>
          <w:szCs w:val="22"/>
        </w:rPr>
        <w:t xml:space="preserve"> </w:t>
      </w:r>
      <w:r w:rsidR="008426FE" w:rsidRPr="008426FE">
        <w:rPr>
          <w:szCs w:val="22"/>
        </w:rPr>
        <w:t xml:space="preserve">more brands had converted to HC-600a, including Electrolux, Westinghouse, Hisense, Fisher &amp; Paykel, Sharp, Panasonic and some larger LG models. </w:t>
      </w:r>
    </w:p>
    <w:p w14:paraId="362D7E26" w14:textId="545C994E" w:rsidR="008426FE" w:rsidRPr="008426FE" w:rsidRDefault="008426FE" w:rsidP="008426FE">
      <w:pPr>
        <w:rPr>
          <w:szCs w:val="22"/>
        </w:rPr>
      </w:pPr>
      <w:r w:rsidRPr="008426FE">
        <w:rPr>
          <w:szCs w:val="22"/>
        </w:rPr>
        <w:t xml:space="preserve">Self-contained refrigeration display cabinets containing small charges of hydrocarbon refrigerant can be found in the majority of the 300 Aldi supermarkets currently operating in Australia. Other </w:t>
      </w:r>
      <w:r w:rsidR="006149A6">
        <w:rPr>
          <w:szCs w:val="22"/>
        </w:rPr>
        <w:t xml:space="preserve">HC charged </w:t>
      </w:r>
      <w:r w:rsidRPr="008426FE">
        <w:rPr>
          <w:szCs w:val="22"/>
        </w:rPr>
        <w:t xml:space="preserve">applications include small volumes of stationary RAC, and some </w:t>
      </w:r>
      <w:r w:rsidR="006149A6">
        <w:rPr>
          <w:szCs w:val="22"/>
        </w:rPr>
        <w:t xml:space="preserve">small </w:t>
      </w:r>
      <w:r w:rsidRPr="008426FE">
        <w:rPr>
          <w:szCs w:val="22"/>
        </w:rPr>
        <w:t>hot water heatpumps.</w:t>
      </w:r>
    </w:p>
    <w:p w14:paraId="5494A976" w14:textId="4666B4BF" w:rsidR="006E7A71" w:rsidRPr="0047253B" w:rsidRDefault="006E7A71" w:rsidP="00724AA2">
      <w:pPr>
        <w:spacing w:before="240"/>
        <w:rPr>
          <w:rFonts w:asciiTheme="majorHAnsi" w:hAnsiTheme="majorHAnsi"/>
          <w:b/>
          <w:sz w:val="24"/>
        </w:rPr>
      </w:pPr>
      <w:r>
        <w:rPr>
          <w:rFonts w:asciiTheme="majorHAnsi" w:hAnsiTheme="majorHAnsi"/>
          <w:b/>
          <w:sz w:val="24"/>
        </w:rPr>
        <w:t>CO</w:t>
      </w:r>
      <w:r w:rsidRPr="006E7A71">
        <w:rPr>
          <w:rFonts w:asciiTheme="majorHAnsi" w:hAnsiTheme="majorHAnsi"/>
          <w:b/>
          <w:sz w:val="24"/>
          <w:vertAlign w:val="subscript"/>
        </w:rPr>
        <w:t>2</w:t>
      </w:r>
      <w:r>
        <w:rPr>
          <w:rFonts w:asciiTheme="majorHAnsi" w:hAnsiTheme="majorHAnsi"/>
          <w:b/>
          <w:sz w:val="24"/>
        </w:rPr>
        <w:t xml:space="preserve"> systems</w:t>
      </w:r>
    </w:p>
    <w:p w14:paraId="6A7E36A0" w14:textId="1770F0B4" w:rsidR="00B33486" w:rsidRDefault="00724AA2" w:rsidP="00B33486">
      <w:pPr>
        <w:rPr>
          <w:szCs w:val="22"/>
        </w:rPr>
      </w:pPr>
      <w:r w:rsidRPr="00724AA2">
        <w:rPr>
          <w:szCs w:val="22"/>
        </w:rPr>
        <w:t>There are an estimated 160 supermarket refrigeration systems containing CO</w:t>
      </w:r>
      <w:r w:rsidRPr="00724AA2">
        <w:rPr>
          <w:szCs w:val="22"/>
          <w:vertAlign w:val="subscript"/>
        </w:rPr>
        <w:t>2</w:t>
      </w:r>
      <w:r w:rsidRPr="00724AA2">
        <w:rPr>
          <w:szCs w:val="22"/>
        </w:rPr>
        <w:t>, the majority of these (&gt;90 per cent) are cascade systems with charges of around 200 kilograms. Other CO</w:t>
      </w:r>
      <w:r w:rsidRPr="00724AA2">
        <w:rPr>
          <w:szCs w:val="22"/>
          <w:vertAlign w:val="subscript"/>
        </w:rPr>
        <w:t>2</w:t>
      </w:r>
      <w:r w:rsidRPr="00724AA2">
        <w:rPr>
          <w:szCs w:val="22"/>
        </w:rPr>
        <w:t xml:space="preserve"> systems can be found in small numbers in large licensed clubs and food process applications. Although aggregate supplies of CO</w:t>
      </w:r>
      <w:r w:rsidRPr="00724AA2">
        <w:rPr>
          <w:szCs w:val="22"/>
          <w:vertAlign w:val="subscript"/>
        </w:rPr>
        <w:t>2</w:t>
      </w:r>
      <w:r w:rsidRPr="00724AA2">
        <w:rPr>
          <w:szCs w:val="22"/>
        </w:rPr>
        <w:t xml:space="preserve"> w</w:t>
      </w:r>
      <w:r w:rsidR="00464568">
        <w:rPr>
          <w:szCs w:val="22"/>
        </w:rPr>
        <w:t>ere</w:t>
      </w:r>
      <w:r w:rsidRPr="00724AA2">
        <w:rPr>
          <w:szCs w:val="22"/>
        </w:rPr>
        <w:t xml:space="preserve"> estimated to be 70 tonnes in 2012, the installed base of equipment suggests that a significant portion of this gas is carried in the supply line</w:t>
      </w:r>
      <w:r w:rsidR="00464568">
        <w:rPr>
          <w:szCs w:val="22"/>
        </w:rPr>
        <w:t>,</w:t>
      </w:r>
      <w:r w:rsidRPr="00724AA2">
        <w:rPr>
          <w:szCs w:val="22"/>
        </w:rPr>
        <w:t xml:space="preserve"> and on site as back</w:t>
      </w:r>
      <w:r w:rsidR="00464568">
        <w:rPr>
          <w:szCs w:val="22"/>
        </w:rPr>
        <w:t>-</w:t>
      </w:r>
      <w:r w:rsidRPr="00724AA2">
        <w:rPr>
          <w:szCs w:val="22"/>
        </w:rPr>
        <w:t>up</w:t>
      </w:r>
      <w:r w:rsidR="00464568">
        <w:rPr>
          <w:szCs w:val="22"/>
        </w:rPr>
        <w:t xml:space="preserve"> supplies</w:t>
      </w:r>
      <w:r w:rsidRPr="00724AA2">
        <w:rPr>
          <w:szCs w:val="22"/>
        </w:rPr>
        <w:t xml:space="preserve"> in manifolded cylinder pallets (i.e. Manpacks) to cover catastrophic failures </w:t>
      </w:r>
      <w:r>
        <w:rPr>
          <w:szCs w:val="22"/>
        </w:rPr>
        <w:t xml:space="preserve">(i.e. </w:t>
      </w:r>
      <w:r w:rsidRPr="00724AA2">
        <w:rPr>
          <w:szCs w:val="22"/>
        </w:rPr>
        <w:t>compressor</w:t>
      </w:r>
      <w:r>
        <w:rPr>
          <w:szCs w:val="22"/>
        </w:rPr>
        <w:t xml:space="preserve"> failures o</w:t>
      </w:r>
      <w:r w:rsidRPr="00724AA2">
        <w:rPr>
          <w:szCs w:val="22"/>
        </w:rPr>
        <w:t xml:space="preserve">r </w:t>
      </w:r>
      <w:r>
        <w:rPr>
          <w:szCs w:val="22"/>
        </w:rPr>
        <w:t xml:space="preserve">ruptures of </w:t>
      </w:r>
      <w:r w:rsidRPr="00724AA2">
        <w:rPr>
          <w:szCs w:val="22"/>
        </w:rPr>
        <w:t>gas lines</w:t>
      </w:r>
      <w:r>
        <w:rPr>
          <w:szCs w:val="22"/>
        </w:rPr>
        <w:t>)</w:t>
      </w:r>
      <w:r w:rsidRPr="00724AA2">
        <w:rPr>
          <w:szCs w:val="22"/>
        </w:rPr>
        <w:t>.  CO</w:t>
      </w:r>
      <w:r w:rsidRPr="00724AA2">
        <w:rPr>
          <w:szCs w:val="22"/>
          <w:vertAlign w:val="subscript"/>
        </w:rPr>
        <w:t>2</w:t>
      </w:r>
      <w:r w:rsidRPr="00724AA2">
        <w:rPr>
          <w:szCs w:val="22"/>
        </w:rPr>
        <w:t xml:space="preserve"> systems have very high operating pressures and </w:t>
      </w:r>
      <w:r w:rsidR="000968D5">
        <w:rPr>
          <w:szCs w:val="22"/>
        </w:rPr>
        <w:t>suppliers of CO</w:t>
      </w:r>
      <w:r w:rsidR="000968D5" w:rsidRPr="000968D5">
        <w:rPr>
          <w:szCs w:val="22"/>
          <w:vertAlign w:val="subscript"/>
        </w:rPr>
        <w:t>2</w:t>
      </w:r>
      <w:r w:rsidR="000968D5">
        <w:rPr>
          <w:szCs w:val="22"/>
        </w:rPr>
        <w:t xml:space="preserve"> refrigerant </w:t>
      </w:r>
      <w:r w:rsidRPr="00724AA2">
        <w:rPr>
          <w:szCs w:val="22"/>
        </w:rPr>
        <w:t xml:space="preserve">claim </w:t>
      </w:r>
      <w:r w:rsidR="00525F2C">
        <w:rPr>
          <w:szCs w:val="22"/>
        </w:rPr>
        <w:t xml:space="preserve">the systems occasionally </w:t>
      </w:r>
      <w:r w:rsidRPr="00724AA2">
        <w:rPr>
          <w:szCs w:val="22"/>
        </w:rPr>
        <w:t>suffer gas line failures and lose their entire charge. These factors allow the authors to estimate a relatively small working bank of CO</w:t>
      </w:r>
      <w:r w:rsidRPr="00724AA2">
        <w:rPr>
          <w:szCs w:val="22"/>
          <w:vertAlign w:val="subscript"/>
        </w:rPr>
        <w:t>2</w:t>
      </w:r>
      <w:r w:rsidRPr="00724AA2">
        <w:rPr>
          <w:szCs w:val="22"/>
        </w:rPr>
        <w:t xml:space="preserve"> refrigerant of around 80 tonnes.</w:t>
      </w:r>
      <w:r w:rsidR="00F575C6">
        <w:rPr>
          <w:szCs w:val="22"/>
        </w:rPr>
        <w:t xml:space="preserve"> </w:t>
      </w:r>
      <w:r w:rsidR="00B33486">
        <w:rPr>
          <w:szCs w:val="22"/>
        </w:rPr>
        <w:t>It should be noted that whilst a loss of charge is very inconvenient for the end user, the environmental impact is relatively insignificant as the refrigerant has a GWP of 1.</w:t>
      </w:r>
      <w:r w:rsidR="00525F2C">
        <w:rPr>
          <w:szCs w:val="22"/>
        </w:rPr>
        <w:t xml:space="preserve"> As designs and practices advance </w:t>
      </w:r>
    </w:p>
    <w:p w14:paraId="2197E4B7" w14:textId="77777777" w:rsidR="00B33486" w:rsidRDefault="00B33486" w:rsidP="00B33486">
      <w:pPr>
        <w:rPr>
          <w:szCs w:val="22"/>
        </w:rPr>
      </w:pPr>
      <w:r>
        <w:rPr>
          <w:szCs w:val="22"/>
        </w:rPr>
        <w:t>Recent innovations developed by equipment suppliers for the supermarket industry include micro cascade air cooled condensing units available in capacities from 2.5 kWr upwards. These units offer hybrid refrigeration (HFC-134a/CO</w:t>
      </w:r>
      <w:r w:rsidRPr="00F575C6">
        <w:rPr>
          <w:szCs w:val="22"/>
          <w:vertAlign w:val="subscript"/>
        </w:rPr>
        <w:t>2</w:t>
      </w:r>
      <w:r>
        <w:rPr>
          <w:szCs w:val="22"/>
        </w:rPr>
        <w:t xml:space="preserve">) systems for use in smaller sites and have potential for application across a broad range of commercial refrigeration applications. </w:t>
      </w:r>
    </w:p>
    <w:p w14:paraId="6D30DDD3" w14:textId="3A5F8479" w:rsidR="006E7A71" w:rsidRDefault="00B33486" w:rsidP="00B33486">
      <w:pPr>
        <w:rPr>
          <w:szCs w:val="22"/>
        </w:rPr>
      </w:pPr>
      <w:r>
        <w:rPr>
          <w:szCs w:val="22"/>
        </w:rPr>
        <w:t>CO</w:t>
      </w:r>
      <w:r w:rsidRPr="00807CE1">
        <w:rPr>
          <w:szCs w:val="22"/>
          <w:vertAlign w:val="subscript"/>
        </w:rPr>
        <w:t>2</w:t>
      </w:r>
      <w:r>
        <w:rPr>
          <w:szCs w:val="22"/>
        </w:rPr>
        <w:t xml:space="preserve"> refrigerant </w:t>
      </w:r>
      <w:r w:rsidR="005C7185">
        <w:rPr>
          <w:szCs w:val="22"/>
        </w:rPr>
        <w:t xml:space="preserve">technology and expertise is rapidly emerging in a wide range of applications </w:t>
      </w:r>
      <w:r>
        <w:rPr>
          <w:szCs w:val="22"/>
        </w:rPr>
        <w:t>includ</w:t>
      </w:r>
      <w:r w:rsidR="005C7185">
        <w:rPr>
          <w:szCs w:val="22"/>
        </w:rPr>
        <w:t>ing</w:t>
      </w:r>
      <w:r>
        <w:rPr>
          <w:szCs w:val="22"/>
        </w:rPr>
        <w:t xml:space="preserve"> </w:t>
      </w:r>
      <w:r w:rsidR="005C7185">
        <w:rPr>
          <w:szCs w:val="22"/>
        </w:rPr>
        <w:t xml:space="preserve">large food processes, </w:t>
      </w:r>
      <w:r>
        <w:rPr>
          <w:szCs w:val="22"/>
        </w:rPr>
        <w:t>truck and automotive air conditioning</w:t>
      </w:r>
      <w:r w:rsidR="00E94A55">
        <w:rPr>
          <w:szCs w:val="22"/>
        </w:rPr>
        <w:t xml:space="preserve"> (see next section)</w:t>
      </w:r>
      <w:r>
        <w:rPr>
          <w:szCs w:val="22"/>
        </w:rPr>
        <w:t>, r</w:t>
      </w:r>
      <w:r w:rsidRPr="00807CE1">
        <w:rPr>
          <w:szCs w:val="22"/>
        </w:rPr>
        <w:t>efrigerated vendi</w:t>
      </w:r>
      <w:r>
        <w:rPr>
          <w:szCs w:val="22"/>
        </w:rPr>
        <w:t xml:space="preserve">ng machines, hot water heat pumps, and </w:t>
      </w:r>
      <w:r w:rsidRPr="00807CE1">
        <w:rPr>
          <w:szCs w:val="22"/>
        </w:rPr>
        <w:t>refrigerated containers</w:t>
      </w:r>
      <w:r>
        <w:rPr>
          <w:szCs w:val="22"/>
        </w:rPr>
        <w:t xml:space="preserve"> known as Reefer</w:t>
      </w:r>
      <w:r w:rsidR="000968D5">
        <w:rPr>
          <w:szCs w:val="22"/>
        </w:rPr>
        <w:t>s</w:t>
      </w:r>
      <w:r>
        <w:rPr>
          <w:szCs w:val="22"/>
        </w:rPr>
        <w:t>.</w:t>
      </w:r>
      <w:r w:rsidR="00E94A55">
        <w:rPr>
          <w:szCs w:val="22"/>
        </w:rPr>
        <w:t xml:space="preserve"> </w:t>
      </w:r>
      <w:r w:rsidR="00440863">
        <w:rPr>
          <w:szCs w:val="22"/>
        </w:rPr>
        <w:t>One such example is the</w:t>
      </w:r>
      <w:r w:rsidR="00E94A55">
        <w:rPr>
          <w:szCs w:val="22"/>
        </w:rPr>
        <w:t xml:space="preserve"> </w:t>
      </w:r>
      <w:r w:rsidR="00E94A55">
        <w:rPr>
          <w:szCs w:val="22"/>
        </w:rPr>
        <w:lastRenderedPageBreak/>
        <w:t xml:space="preserve">EcoCute technology widely available in Europe and Japan </w:t>
      </w:r>
      <w:r w:rsidR="00440863">
        <w:rPr>
          <w:szCs w:val="22"/>
        </w:rPr>
        <w:t xml:space="preserve">that </w:t>
      </w:r>
      <w:r w:rsidR="00E94A55" w:rsidRPr="00E94A55">
        <w:rPr>
          <w:szCs w:val="22"/>
        </w:rPr>
        <w:t>uses CO</w:t>
      </w:r>
      <w:r w:rsidR="00E94A55" w:rsidRPr="00E94A55">
        <w:rPr>
          <w:szCs w:val="22"/>
          <w:vertAlign w:val="subscript"/>
        </w:rPr>
        <w:t>2</w:t>
      </w:r>
      <w:r w:rsidR="00E94A55" w:rsidRPr="00E94A55">
        <w:rPr>
          <w:szCs w:val="22"/>
        </w:rPr>
        <w:t xml:space="preserve"> refrigerant technology</w:t>
      </w:r>
      <w:r w:rsidR="00E94A55">
        <w:rPr>
          <w:szCs w:val="22"/>
        </w:rPr>
        <w:t xml:space="preserve"> </w:t>
      </w:r>
      <w:r w:rsidR="00525F2C">
        <w:rPr>
          <w:szCs w:val="22"/>
        </w:rPr>
        <w:t xml:space="preserve">on hot water heat pumps </w:t>
      </w:r>
      <w:r w:rsidR="00E94A55">
        <w:rPr>
          <w:szCs w:val="22"/>
        </w:rPr>
        <w:t xml:space="preserve">to achieve </w:t>
      </w:r>
      <w:r w:rsidR="00525F2C">
        <w:rPr>
          <w:szCs w:val="22"/>
        </w:rPr>
        <w:t xml:space="preserve">high efficiencies </w:t>
      </w:r>
      <w:r w:rsidR="00440863">
        <w:rPr>
          <w:szCs w:val="22"/>
        </w:rPr>
        <w:t xml:space="preserve">and </w:t>
      </w:r>
      <w:r w:rsidR="005C7185">
        <w:rPr>
          <w:szCs w:val="22"/>
        </w:rPr>
        <w:t>low</w:t>
      </w:r>
      <w:r w:rsidR="00440863">
        <w:rPr>
          <w:szCs w:val="22"/>
        </w:rPr>
        <w:t xml:space="preserve">ing </w:t>
      </w:r>
      <w:r w:rsidR="00525F2C">
        <w:rPr>
          <w:szCs w:val="22"/>
        </w:rPr>
        <w:t>running costs.</w:t>
      </w:r>
      <w:r w:rsidR="00525F2C">
        <w:rPr>
          <w:rStyle w:val="FootnoteReference"/>
          <w:szCs w:val="22"/>
        </w:rPr>
        <w:footnoteReference w:id="24"/>
      </w:r>
      <w:r w:rsidR="00E94A55">
        <w:rPr>
          <w:szCs w:val="22"/>
        </w:rPr>
        <w:t xml:space="preserve"> </w:t>
      </w:r>
      <w:r w:rsidR="00807CE1" w:rsidRPr="00807CE1">
        <w:rPr>
          <w:szCs w:val="22"/>
        </w:rPr>
        <w:tab/>
      </w:r>
    </w:p>
    <w:p w14:paraId="375B3854" w14:textId="77777777" w:rsidR="00807CE1" w:rsidRDefault="00807CE1" w:rsidP="006E7A71">
      <w:pPr>
        <w:rPr>
          <w:szCs w:val="22"/>
        </w:rPr>
      </w:pPr>
    </w:p>
    <w:p w14:paraId="3746135C" w14:textId="4270A945" w:rsidR="006E7A71" w:rsidRDefault="006E7A71" w:rsidP="006E7A71">
      <w:pPr>
        <w:pStyle w:val="Heading3"/>
      </w:pPr>
      <w:bookmarkStart w:id="60" w:name="_Toc233084157"/>
      <w:r w:rsidRPr="0047253B">
        <w:t xml:space="preserve">Low GWP </w:t>
      </w:r>
      <w:r w:rsidR="00807CA8">
        <w:t>synthetic refrigerants</w:t>
      </w:r>
      <w:bookmarkEnd w:id="60"/>
    </w:p>
    <w:p w14:paraId="112EF8BF" w14:textId="2A60D71B" w:rsidR="0086637C" w:rsidRPr="0086637C" w:rsidRDefault="0086637C" w:rsidP="0086637C">
      <w:pPr>
        <w:rPr>
          <w:szCs w:val="22"/>
        </w:rPr>
      </w:pPr>
      <w:r w:rsidRPr="0086637C">
        <w:rPr>
          <w:szCs w:val="22"/>
        </w:rPr>
        <w:t>Driven largely by legislative changes in Europe that will soon require all new cars to have low GWP refrigerants in their air conditioning systems, new classes of synthetic refrigerant, known as olefins, have been in tr</w:t>
      </w:r>
      <w:r w:rsidR="00464568">
        <w:rPr>
          <w:szCs w:val="22"/>
        </w:rPr>
        <w:t>ia</w:t>
      </w:r>
      <w:r w:rsidRPr="0086637C">
        <w:rPr>
          <w:szCs w:val="22"/>
        </w:rPr>
        <w:t xml:space="preserve">ls in European automotive air conditioning systems in recent years. </w:t>
      </w:r>
    </w:p>
    <w:p w14:paraId="52098323" w14:textId="609E0301" w:rsidR="0086637C" w:rsidRPr="0086637C" w:rsidRDefault="0086637C" w:rsidP="0086637C">
      <w:pPr>
        <w:rPr>
          <w:szCs w:val="22"/>
        </w:rPr>
      </w:pPr>
      <w:r w:rsidRPr="0086637C">
        <w:rPr>
          <w:szCs w:val="22"/>
        </w:rPr>
        <w:t xml:space="preserve">The species that is expected to be widely available in the next few years is HFO-1234yf with a GWP of 4, although </w:t>
      </w:r>
      <w:r>
        <w:rPr>
          <w:szCs w:val="22"/>
        </w:rPr>
        <w:t xml:space="preserve">several </w:t>
      </w:r>
      <w:r w:rsidRPr="0086637C">
        <w:rPr>
          <w:szCs w:val="22"/>
        </w:rPr>
        <w:t>vehicle manufacturer</w:t>
      </w:r>
      <w:r>
        <w:rPr>
          <w:szCs w:val="22"/>
        </w:rPr>
        <w:t>s</w:t>
      </w:r>
      <w:r w:rsidRPr="0086637C">
        <w:rPr>
          <w:szCs w:val="22"/>
        </w:rPr>
        <w:t xml:space="preserve"> ha</w:t>
      </w:r>
      <w:r>
        <w:rPr>
          <w:szCs w:val="22"/>
        </w:rPr>
        <w:t>ve</w:t>
      </w:r>
      <w:r w:rsidRPr="0086637C">
        <w:rPr>
          <w:szCs w:val="22"/>
        </w:rPr>
        <w:t xml:space="preserve"> reportedly refused to employ it because of flammability issues. </w:t>
      </w:r>
      <w:r w:rsidR="00740AB9">
        <w:rPr>
          <w:szCs w:val="22"/>
        </w:rPr>
        <w:t>Volkswagen, Daimler, Audi, BMW and Porsche have recently announced plans to develop CO</w:t>
      </w:r>
      <w:r w:rsidR="00740AB9" w:rsidRPr="00740AB9">
        <w:rPr>
          <w:szCs w:val="22"/>
          <w:vertAlign w:val="subscript"/>
        </w:rPr>
        <w:t>2</w:t>
      </w:r>
      <w:r w:rsidR="00740AB9">
        <w:rPr>
          <w:szCs w:val="22"/>
        </w:rPr>
        <w:t xml:space="preserve"> technology. </w:t>
      </w:r>
      <w:r w:rsidRPr="0086637C">
        <w:rPr>
          <w:szCs w:val="22"/>
        </w:rPr>
        <w:t xml:space="preserve">However many others are apparently preparing to replace HFC-134a with HFOs by 2015. </w:t>
      </w:r>
    </w:p>
    <w:p w14:paraId="51F8C80E" w14:textId="574FF8A9" w:rsidR="0086637C" w:rsidRPr="0086637C" w:rsidRDefault="0086637C" w:rsidP="0086637C">
      <w:pPr>
        <w:rPr>
          <w:szCs w:val="22"/>
        </w:rPr>
      </w:pPr>
      <w:r w:rsidRPr="0086637C">
        <w:rPr>
          <w:szCs w:val="22"/>
        </w:rPr>
        <w:t xml:space="preserve">As well as being marketed for use in mobile air conditioning systems, HFO-1234yf is being promoted by international suppliers as being suitable </w:t>
      </w:r>
      <w:r w:rsidR="00464568">
        <w:rPr>
          <w:szCs w:val="22"/>
        </w:rPr>
        <w:t xml:space="preserve">for </w:t>
      </w:r>
      <w:r w:rsidRPr="0086637C">
        <w:rPr>
          <w:szCs w:val="22"/>
        </w:rPr>
        <w:t>beverage vending machines and domestic refrigeration.</w:t>
      </w:r>
    </w:p>
    <w:p w14:paraId="501FA1F8" w14:textId="77777777" w:rsidR="0086637C" w:rsidRPr="0086637C" w:rsidRDefault="0086637C" w:rsidP="0086637C">
      <w:pPr>
        <w:rPr>
          <w:szCs w:val="22"/>
        </w:rPr>
      </w:pPr>
      <w:r w:rsidRPr="0086637C">
        <w:rPr>
          <w:szCs w:val="22"/>
        </w:rPr>
        <w:t>A related gas HFO-1234ze with a GWP of 6 is considered to be a suitable replacement for use in chillers and cascade refrigeration systems as well as in aerosol and foam blowing applications. HFO-1234ze has recently been approved by the Australian Government National Industrial Chemicals Notification and Assessment Scheme for use in Australia. A third new olefin, HFO-1234zd with a GWP of less than 5 is said to be suitable for centrifugal chillers.</w:t>
      </w:r>
    </w:p>
    <w:p w14:paraId="68957B9C" w14:textId="257BB1F5" w:rsidR="0086637C" w:rsidRPr="0086637C" w:rsidRDefault="0086637C" w:rsidP="0086637C">
      <w:pPr>
        <w:rPr>
          <w:szCs w:val="22"/>
        </w:rPr>
      </w:pPr>
      <w:r w:rsidRPr="0086637C">
        <w:rPr>
          <w:szCs w:val="22"/>
        </w:rPr>
        <w:t>Importantly blends of both the HFOs with proprietary mixes of other gases, mostly blends of HFCs, are being trialled in stationary RAC applications. These new blends with GWPs of 200 to 500 are still relatively high, but a great improvement on the current HFC refrigerants where the most common products have GWPs ranging from 1,300 to as high as 3,260.</w:t>
      </w:r>
    </w:p>
    <w:p w14:paraId="166172E3" w14:textId="086E1860" w:rsidR="006E7A71" w:rsidRDefault="0086637C" w:rsidP="006E7A71">
      <w:pPr>
        <w:rPr>
          <w:szCs w:val="22"/>
        </w:rPr>
      </w:pPr>
      <w:r w:rsidRPr="0086637C">
        <w:rPr>
          <w:szCs w:val="22"/>
        </w:rPr>
        <w:t xml:space="preserve">The real question with regard to the rate of transition to low GWP refrigerants is cost, and whether a change </w:t>
      </w:r>
      <w:r w:rsidR="00464568">
        <w:rPr>
          <w:szCs w:val="22"/>
        </w:rPr>
        <w:t>will be</w:t>
      </w:r>
      <w:r w:rsidRPr="0086637C">
        <w:rPr>
          <w:szCs w:val="22"/>
        </w:rPr>
        <w:t xml:space="preserve"> mandated by regulation or market driven. For the moment none of these gases are actually available in the wholesale supply chain so projections of their uptake are based entirely on the gas manufacturer’s projections.</w:t>
      </w:r>
    </w:p>
    <w:p w14:paraId="7CA4E8A2" w14:textId="77777777" w:rsidR="00807CA8" w:rsidRDefault="00807CA8" w:rsidP="006E7A71">
      <w:pPr>
        <w:rPr>
          <w:szCs w:val="22"/>
        </w:rPr>
      </w:pPr>
    </w:p>
    <w:p w14:paraId="06BACAB6" w14:textId="7A988CDF" w:rsidR="006E7A71" w:rsidRDefault="00807CA8" w:rsidP="00807CA8">
      <w:pPr>
        <w:pStyle w:val="Heading3"/>
      </w:pPr>
      <w:bookmarkStart w:id="61" w:name="_Toc233084158"/>
      <w:r w:rsidRPr="00807CA8">
        <w:t xml:space="preserve">Projections of </w:t>
      </w:r>
      <w:r>
        <w:t>l</w:t>
      </w:r>
      <w:r w:rsidRPr="00807CA8">
        <w:t xml:space="preserve">ow GWP </w:t>
      </w:r>
      <w:r>
        <w:t xml:space="preserve">refrigerant </w:t>
      </w:r>
      <w:r w:rsidRPr="00807CA8">
        <w:t xml:space="preserve">and </w:t>
      </w:r>
      <w:r>
        <w:t xml:space="preserve">impact </w:t>
      </w:r>
      <w:r w:rsidRPr="00807CA8">
        <w:t xml:space="preserve">on </w:t>
      </w:r>
      <w:r>
        <w:t>h</w:t>
      </w:r>
      <w:r w:rsidRPr="00807CA8">
        <w:t>igh ODS and GWP refrigerants</w:t>
      </w:r>
      <w:bookmarkEnd w:id="61"/>
    </w:p>
    <w:p w14:paraId="7BB7F0A0" w14:textId="580AE008" w:rsidR="0078619C" w:rsidRPr="0078619C" w:rsidRDefault="0078619C" w:rsidP="0078619C">
      <w:pPr>
        <w:rPr>
          <w:szCs w:val="22"/>
        </w:rPr>
      </w:pPr>
      <w:r w:rsidRPr="0078619C">
        <w:rPr>
          <w:szCs w:val="22"/>
        </w:rPr>
        <w:t xml:space="preserve">Retirement and replacement rates for equipment types, coupled with assessments about the rate of change in equipment design and </w:t>
      </w:r>
      <w:r w:rsidR="00464568">
        <w:rPr>
          <w:szCs w:val="22"/>
        </w:rPr>
        <w:t xml:space="preserve">expectations for </w:t>
      </w:r>
      <w:r w:rsidRPr="0078619C">
        <w:rPr>
          <w:szCs w:val="22"/>
        </w:rPr>
        <w:t xml:space="preserve">gas charges moving to lower GWP gases, have been used to predict </w:t>
      </w:r>
      <w:r w:rsidR="001460E8">
        <w:rPr>
          <w:szCs w:val="22"/>
        </w:rPr>
        <w:t xml:space="preserve">the transition </w:t>
      </w:r>
      <w:r w:rsidRPr="0078619C">
        <w:rPr>
          <w:szCs w:val="22"/>
        </w:rPr>
        <w:t xml:space="preserve">of the bank in each segment for the five years from 2013 to 2017. </w:t>
      </w:r>
    </w:p>
    <w:p w14:paraId="39D647BB" w14:textId="467FA73B" w:rsidR="00807CA8" w:rsidRDefault="0078619C" w:rsidP="00807CA8">
      <w:r w:rsidRPr="0078619C">
        <w:rPr>
          <w:szCs w:val="22"/>
        </w:rPr>
        <w:t>These changes in each segment are used to generate a projection for the entire working bank of gas between 2013 and 2017 as seen in Figure 14 (data from 2010 to 2012 is actual).</w:t>
      </w:r>
    </w:p>
    <w:p w14:paraId="62B1321C" w14:textId="77777777" w:rsidR="00807CA8" w:rsidRDefault="00807CA8" w:rsidP="00807CA8"/>
    <w:p w14:paraId="3631FF84" w14:textId="77777777" w:rsidR="006D240A" w:rsidRDefault="006D240A" w:rsidP="00807CA8"/>
    <w:p w14:paraId="37243D4D" w14:textId="77777777" w:rsidR="006D240A" w:rsidRDefault="006D240A" w:rsidP="00807CA8"/>
    <w:p w14:paraId="04507E5B" w14:textId="77777777" w:rsidR="006D240A" w:rsidRDefault="006D240A" w:rsidP="00807CA8"/>
    <w:p w14:paraId="1F0C1232" w14:textId="77777777" w:rsidR="006D240A" w:rsidRDefault="006D240A" w:rsidP="00807CA8"/>
    <w:p w14:paraId="2D22D74A" w14:textId="77777777" w:rsidR="006D240A" w:rsidRDefault="006D240A" w:rsidP="00807CA8"/>
    <w:p w14:paraId="2CAA0488" w14:textId="77777777" w:rsidR="006D240A" w:rsidRDefault="006D240A" w:rsidP="00807CA8"/>
    <w:p w14:paraId="117C964C" w14:textId="77777777" w:rsidR="006D240A" w:rsidRDefault="006D240A" w:rsidP="00807C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807CA8" w:rsidRPr="005D159D" w14:paraId="1F309AD2" w14:textId="77777777" w:rsidTr="0068265E">
        <w:tc>
          <w:tcPr>
            <w:tcW w:w="9639" w:type="dxa"/>
            <w:vAlign w:val="center"/>
          </w:tcPr>
          <w:p w14:paraId="6C8AAD8B" w14:textId="22A0DD36" w:rsidR="00807CA8" w:rsidRPr="005D159D" w:rsidRDefault="00807CA8" w:rsidP="00807CA8">
            <w:pPr>
              <w:spacing w:after="120"/>
              <w:jc w:val="center"/>
              <w:rPr>
                <w:b/>
                <w:sz w:val="24"/>
              </w:rPr>
            </w:pPr>
            <w:r w:rsidRPr="005D159D">
              <w:rPr>
                <w:b/>
                <w:sz w:val="24"/>
              </w:rPr>
              <w:br w:type="page"/>
            </w:r>
            <w:r>
              <w:rPr>
                <w:b/>
                <w:sz w:val="24"/>
              </w:rPr>
              <w:t>Projected refrigerant bank trend by species from 2010 to 2017</w:t>
            </w:r>
            <w:r w:rsidRPr="005D159D">
              <w:rPr>
                <w:b/>
                <w:sz w:val="24"/>
              </w:rPr>
              <w:t xml:space="preserve"> </w:t>
            </w:r>
          </w:p>
        </w:tc>
      </w:tr>
      <w:tr w:rsidR="00807CA8" w:rsidRPr="00BD20BC" w14:paraId="01CD720E" w14:textId="77777777" w:rsidTr="0068265E">
        <w:tc>
          <w:tcPr>
            <w:tcW w:w="9639" w:type="dxa"/>
            <w:vAlign w:val="center"/>
          </w:tcPr>
          <w:p w14:paraId="26B01E5E" w14:textId="77777777" w:rsidR="00807CA8" w:rsidRDefault="00807CA8" w:rsidP="0068265E">
            <w:pPr>
              <w:jc w:val="center"/>
              <w:rPr>
                <w:sz w:val="16"/>
                <w:szCs w:val="16"/>
              </w:rPr>
            </w:pPr>
          </w:p>
          <w:p w14:paraId="4D89B8D7" w14:textId="1F08AD22" w:rsidR="00807CA8" w:rsidRDefault="006D240A" w:rsidP="0068265E">
            <w:pPr>
              <w:jc w:val="center"/>
              <w:rPr>
                <w:sz w:val="16"/>
                <w:szCs w:val="16"/>
              </w:rPr>
            </w:pPr>
            <w:r>
              <w:rPr>
                <w:noProof/>
                <w:lang w:val="en-US"/>
              </w:rPr>
              <w:drawing>
                <wp:inline distT="0" distB="0" distL="0" distR="0" wp14:anchorId="2AE6C280" wp14:editId="0D496E7D">
                  <wp:extent cx="6017260" cy="2971800"/>
                  <wp:effectExtent l="0" t="0" r="254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784EEE4" w14:textId="77777777" w:rsidR="00807CA8" w:rsidRPr="00BD20BC" w:rsidRDefault="00807CA8" w:rsidP="0068265E">
            <w:pPr>
              <w:jc w:val="center"/>
              <w:rPr>
                <w:sz w:val="16"/>
                <w:szCs w:val="16"/>
              </w:rPr>
            </w:pPr>
          </w:p>
        </w:tc>
      </w:tr>
      <w:tr w:rsidR="00807CA8" w:rsidRPr="00042727" w14:paraId="46AD8AB6" w14:textId="77777777" w:rsidTr="0068265E">
        <w:tc>
          <w:tcPr>
            <w:tcW w:w="9639" w:type="dxa"/>
            <w:vAlign w:val="center"/>
          </w:tcPr>
          <w:p w14:paraId="419D32AA" w14:textId="6494AAD7" w:rsidR="00807CA8" w:rsidRPr="005D159D" w:rsidRDefault="00807CA8" w:rsidP="00807CA8">
            <w:pPr>
              <w:spacing w:before="60" w:after="60"/>
              <w:rPr>
                <w:i/>
              </w:rPr>
            </w:pPr>
            <w:bookmarkStart w:id="62" w:name="_Toc233083990"/>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14</w:t>
            </w:r>
            <w:r w:rsidRPr="005D159D">
              <w:rPr>
                <w:i/>
                <w:sz w:val="20"/>
              </w:rPr>
              <w:fldChar w:fldCharType="end"/>
            </w:r>
            <w:r w:rsidRPr="005D159D">
              <w:rPr>
                <w:i/>
                <w:sz w:val="20"/>
              </w:rPr>
              <w:t xml:space="preserve">: </w:t>
            </w:r>
            <w:r w:rsidRPr="00807CA8">
              <w:rPr>
                <w:i/>
                <w:sz w:val="20"/>
              </w:rPr>
              <w:t xml:space="preserve">Projected </w:t>
            </w:r>
            <w:r>
              <w:rPr>
                <w:i/>
                <w:sz w:val="20"/>
              </w:rPr>
              <w:t>d</w:t>
            </w:r>
            <w:r w:rsidRPr="00807CA8">
              <w:rPr>
                <w:i/>
                <w:sz w:val="20"/>
              </w:rPr>
              <w:t xml:space="preserve">evelopment in the </w:t>
            </w:r>
            <w:r>
              <w:rPr>
                <w:i/>
                <w:sz w:val="20"/>
              </w:rPr>
              <w:t xml:space="preserve">refrigerant bank trend by species from </w:t>
            </w:r>
            <w:r w:rsidRPr="00807CA8">
              <w:rPr>
                <w:i/>
                <w:sz w:val="20"/>
              </w:rPr>
              <w:t xml:space="preserve">2010 </w:t>
            </w:r>
            <w:r>
              <w:rPr>
                <w:i/>
                <w:sz w:val="20"/>
              </w:rPr>
              <w:t xml:space="preserve">to </w:t>
            </w:r>
            <w:r w:rsidRPr="00807CA8">
              <w:rPr>
                <w:i/>
                <w:sz w:val="20"/>
              </w:rPr>
              <w:t>2017 (2010</w:t>
            </w:r>
            <w:r>
              <w:rPr>
                <w:i/>
                <w:sz w:val="20"/>
              </w:rPr>
              <w:t xml:space="preserve"> to </w:t>
            </w:r>
            <w:r w:rsidRPr="00807CA8">
              <w:rPr>
                <w:i/>
                <w:sz w:val="20"/>
              </w:rPr>
              <w:t>2012 actual)</w:t>
            </w:r>
            <w:bookmarkEnd w:id="62"/>
          </w:p>
        </w:tc>
      </w:tr>
    </w:tbl>
    <w:p w14:paraId="06F64408" w14:textId="27E4837C" w:rsidR="00AB0757" w:rsidRDefault="00AB0757" w:rsidP="00AB0757">
      <w:pPr>
        <w:spacing w:before="0"/>
        <w:rPr>
          <w:szCs w:val="22"/>
        </w:rPr>
      </w:pPr>
      <w:r w:rsidRPr="00116557">
        <w:rPr>
          <w:sz w:val="20"/>
          <w:szCs w:val="20"/>
        </w:rPr>
        <w:t xml:space="preserve">(Sources: </w:t>
      </w:r>
      <w:r>
        <w:rPr>
          <w:sz w:val="20"/>
          <w:szCs w:val="20"/>
        </w:rPr>
        <w:t>DSEWPaC 2013b)</w:t>
      </w:r>
    </w:p>
    <w:p w14:paraId="2A06B4D3" w14:textId="545A09A8" w:rsidR="00B03D2E" w:rsidRPr="00B03D2E" w:rsidRDefault="00B03D2E" w:rsidP="00BE78D9">
      <w:pPr>
        <w:spacing w:before="240"/>
        <w:rPr>
          <w:szCs w:val="22"/>
        </w:rPr>
      </w:pPr>
      <w:r w:rsidRPr="00B03D2E">
        <w:rPr>
          <w:szCs w:val="22"/>
        </w:rPr>
        <w:t xml:space="preserve">There are significant differences in </w:t>
      </w:r>
      <w:r w:rsidR="00222D4D">
        <w:rPr>
          <w:szCs w:val="22"/>
        </w:rPr>
        <w:t xml:space="preserve">the </w:t>
      </w:r>
      <w:r w:rsidRPr="00B03D2E">
        <w:rPr>
          <w:szCs w:val="22"/>
        </w:rPr>
        <w:t xml:space="preserve">volumes of working gas required to achieve similar levels of </w:t>
      </w:r>
      <w:r w:rsidR="00222D4D">
        <w:rPr>
          <w:szCs w:val="22"/>
        </w:rPr>
        <w:t>thermal transfer</w:t>
      </w:r>
      <w:r w:rsidRPr="00B03D2E">
        <w:rPr>
          <w:szCs w:val="22"/>
        </w:rPr>
        <w:t xml:space="preserve"> when using some ‘natural’, versus some synthetic refrigerants. Because of this the modelling of the ‘natural’ refrigerants (CO</w:t>
      </w:r>
      <w:r w:rsidRPr="00BE78D9">
        <w:rPr>
          <w:szCs w:val="22"/>
          <w:vertAlign w:val="subscript"/>
        </w:rPr>
        <w:t>2</w:t>
      </w:r>
      <w:r w:rsidRPr="00B03D2E">
        <w:rPr>
          <w:szCs w:val="22"/>
        </w:rPr>
        <w:t xml:space="preserve">, hydrocarbons and ammonia) is done by expressing them in terms of the tonnes of HFCs or HCFCs they are expected to replace, rather than the actual (proportionally smaller volume in the case of hydrocarbons) volumes of natural refrigerants employed. This provides a more accurate picture of the proportion of the working bank that they will comprise in the years ahead. </w:t>
      </w:r>
    </w:p>
    <w:p w14:paraId="5E53D54C" w14:textId="48C41C70" w:rsidR="00B03D2E" w:rsidRPr="00B03D2E" w:rsidRDefault="00B03D2E" w:rsidP="00B03D2E">
      <w:pPr>
        <w:rPr>
          <w:szCs w:val="22"/>
        </w:rPr>
      </w:pPr>
      <w:r w:rsidRPr="00B03D2E">
        <w:rPr>
          <w:szCs w:val="22"/>
        </w:rPr>
        <w:t xml:space="preserve">These projections are notable for the strong decline in the main HCFC presently employed in the bank, HCFC-22, from an estimate of approximately 11,300 tonnes at the commencement of 2012 down to a 2017 estimate of approximately 5,600 tonnes, while the overall bank grows </w:t>
      </w:r>
      <w:r w:rsidR="005B27AA">
        <w:rPr>
          <w:szCs w:val="22"/>
        </w:rPr>
        <w:t xml:space="preserve">steadily </w:t>
      </w:r>
      <w:r w:rsidRPr="00B03D2E">
        <w:rPr>
          <w:szCs w:val="22"/>
        </w:rPr>
        <w:t xml:space="preserve">to more than 46,750 tonnes.  This quite rapid decline </w:t>
      </w:r>
      <w:r w:rsidR="005B27AA">
        <w:rPr>
          <w:szCs w:val="22"/>
        </w:rPr>
        <w:t xml:space="preserve">is a result of </w:t>
      </w:r>
      <w:r w:rsidRPr="00B03D2E">
        <w:rPr>
          <w:szCs w:val="22"/>
        </w:rPr>
        <w:t xml:space="preserve">the accelerating retirement of HCFC charged equipment that was first introduced after the </w:t>
      </w:r>
      <w:r w:rsidR="0090132C">
        <w:rPr>
          <w:szCs w:val="22"/>
        </w:rPr>
        <w:t>phase out</w:t>
      </w:r>
      <w:r w:rsidR="001C4288">
        <w:rPr>
          <w:szCs w:val="22"/>
        </w:rPr>
        <w:t xml:space="preserve"> of </w:t>
      </w:r>
      <w:r w:rsidRPr="00B03D2E">
        <w:rPr>
          <w:szCs w:val="22"/>
        </w:rPr>
        <w:t>CFCs was implemented in the lat</w:t>
      </w:r>
      <w:r w:rsidR="003018C6">
        <w:rPr>
          <w:szCs w:val="22"/>
        </w:rPr>
        <w:t>e</w:t>
      </w:r>
      <w:r w:rsidRPr="00B03D2E">
        <w:rPr>
          <w:szCs w:val="22"/>
        </w:rPr>
        <w:t xml:space="preserve"> 1980s</w:t>
      </w:r>
      <w:r w:rsidR="003018C6">
        <w:rPr>
          <w:szCs w:val="22"/>
        </w:rPr>
        <w:t xml:space="preserve"> (with import and manufacture banned from 1996)</w:t>
      </w:r>
      <w:r w:rsidR="005B27AA">
        <w:rPr>
          <w:szCs w:val="22"/>
        </w:rPr>
        <w:t xml:space="preserve">, combined with </w:t>
      </w:r>
      <w:r w:rsidR="005B27AA" w:rsidRPr="00B03D2E">
        <w:rPr>
          <w:szCs w:val="22"/>
        </w:rPr>
        <w:t>the effect of Australia’s commitment to the phase out of HCFC’s</w:t>
      </w:r>
      <w:r w:rsidRPr="00B03D2E">
        <w:rPr>
          <w:szCs w:val="22"/>
        </w:rPr>
        <w:t>.</w:t>
      </w:r>
    </w:p>
    <w:p w14:paraId="512AABDC" w14:textId="77777777" w:rsidR="00B03D2E" w:rsidRPr="00B03D2E" w:rsidRDefault="00B03D2E" w:rsidP="00B03D2E">
      <w:pPr>
        <w:rPr>
          <w:szCs w:val="22"/>
        </w:rPr>
      </w:pPr>
      <w:r w:rsidRPr="00B03D2E">
        <w:rPr>
          <w:szCs w:val="22"/>
        </w:rPr>
        <w:t>HFC-404A is projected to decline by about 30 per cent in the period to 2017. The industry has been moving away from use of this gas for the past few years ago in preference for ‘natural’ refrigerants (CO</w:t>
      </w:r>
      <w:r w:rsidRPr="00BE78D9">
        <w:rPr>
          <w:szCs w:val="22"/>
          <w:vertAlign w:val="subscript"/>
        </w:rPr>
        <w:t>2</w:t>
      </w:r>
      <w:r w:rsidRPr="00B03D2E">
        <w:rPr>
          <w:szCs w:val="22"/>
        </w:rPr>
        <w:t xml:space="preserve">, hydrocarbons and ammonia), and other HFCs such as HFC-134a on medium temperature commercial refrigeration applications. </w:t>
      </w:r>
    </w:p>
    <w:p w14:paraId="6D0FFC4C" w14:textId="77777777" w:rsidR="00B03D2E" w:rsidRPr="00B03D2E" w:rsidRDefault="00B03D2E" w:rsidP="00B03D2E">
      <w:pPr>
        <w:rPr>
          <w:szCs w:val="22"/>
        </w:rPr>
      </w:pPr>
      <w:r w:rsidRPr="00B03D2E">
        <w:rPr>
          <w:szCs w:val="22"/>
        </w:rPr>
        <w:t xml:space="preserve">HFC-407C is also projected to decline, as it was already being substituted with HFC-410A by equipment manufacturers (local and overseas) prior to the introduction of the equivalent carbon price for HFCs. </w:t>
      </w:r>
    </w:p>
    <w:p w14:paraId="194EE699" w14:textId="77777777" w:rsidR="00B03D2E" w:rsidRDefault="00B03D2E" w:rsidP="00B03D2E">
      <w:pPr>
        <w:rPr>
          <w:szCs w:val="22"/>
        </w:rPr>
      </w:pPr>
      <w:r w:rsidRPr="00B03D2E">
        <w:rPr>
          <w:szCs w:val="22"/>
        </w:rPr>
        <w:t>HFC-134a and HFC-410A are projected to continue to grow (the latter particularly so) and together are expected to comprise nearly 70 per cent of the working bank by 2017. This projection is likely to be reached in the absence of new affordable drop in replacements and significant changes in industry practice.</w:t>
      </w:r>
    </w:p>
    <w:p w14:paraId="7183FD49" w14:textId="22F19934" w:rsidR="003018C6" w:rsidRPr="00B03D2E" w:rsidRDefault="003018C6" w:rsidP="00B03D2E">
      <w:pPr>
        <w:rPr>
          <w:szCs w:val="22"/>
        </w:rPr>
      </w:pPr>
      <w:r w:rsidRPr="003018C6">
        <w:rPr>
          <w:szCs w:val="22"/>
        </w:rPr>
        <w:t xml:space="preserve">Use of HFC-32, which is a component of HFC-410A, is expected to increase as a stand-alone refrigerant. Some equipment manufacturers are well progressed in development of technology using HFC-32 in order </w:t>
      </w:r>
      <w:r w:rsidRPr="003018C6">
        <w:rPr>
          <w:szCs w:val="22"/>
        </w:rPr>
        <w:lastRenderedPageBreak/>
        <w:t>to meet the next stage of the Minimum Energy Performance Standards. HFC-32 also has a comparatively lower GWP of 650 and generally a lower refrigerant charge is required.</w:t>
      </w:r>
    </w:p>
    <w:p w14:paraId="02F14025" w14:textId="7D48AAD3" w:rsidR="00B03D2E" w:rsidRPr="00B03D2E" w:rsidRDefault="00B03D2E" w:rsidP="00B03D2E">
      <w:pPr>
        <w:rPr>
          <w:szCs w:val="22"/>
        </w:rPr>
      </w:pPr>
      <w:r w:rsidRPr="00B03D2E">
        <w:rPr>
          <w:szCs w:val="22"/>
        </w:rPr>
        <w:t xml:space="preserve">As illustrated in </w:t>
      </w:r>
      <w:r w:rsidRPr="00BE78D9">
        <w:rPr>
          <w:i/>
          <w:szCs w:val="22"/>
        </w:rPr>
        <w:t>Figure 14</w:t>
      </w:r>
      <w:r w:rsidRPr="00B03D2E">
        <w:rPr>
          <w:szCs w:val="22"/>
        </w:rPr>
        <w:t>, CO</w:t>
      </w:r>
      <w:r w:rsidRPr="00BE78D9">
        <w:rPr>
          <w:szCs w:val="22"/>
          <w:vertAlign w:val="subscript"/>
        </w:rPr>
        <w:t>2</w:t>
      </w:r>
      <w:r w:rsidRPr="00B03D2E">
        <w:rPr>
          <w:szCs w:val="22"/>
        </w:rPr>
        <w:t xml:space="preserve"> and hydrocarbons are expected to grow to an equivalent tonnage of approximately 2,797 tonnes in 2017, or 6 per cent of the </w:t>
      </w:r>
      <w:r w:rsidR="007173FA">
        <w:rPr>
          <w:szCs w:val="22"/>
        </w:rPr>
        <w:t xml:space="preserve">total </w:t>
      </w:r>
      <w:r w:rsidRPr="00B03D2E">
        <w:rPr>
          <w:szCs w:val="22"/>
        </w:rPr>
        <w:t>refrigerant bank. Ammonia is already widely used in most large cold storage facilities, which was not considered part of the working bank of HCFCs and HFCs in previous models, and therefore the full extent of ammonia refrigerant use is not reflected in this illustration. Expected new uses of ammonia in other applications, such as process refrigeration, only represents 0.2 per cent of the bank. This equates to approximately 89 tonnes, and is not visible on the scale of this illustration.</w:t>
      </w:r>
    </w:p>
    <w:p w14:paraId="7C3686A2" w14:textId="5D3B5D62" w:rsidR="00B03D2E" w:rsidRPr="00B03D2E" w:rsidRDefault="00B03D2E" w:rsidP="00B03D2E">
      <w:pPr>
        <w:rPr>
          <w:szCs w:val="22"/>
        </w:rPr>
      </w:pPr>
      <w:r w:rsidRPr="00B03D2E">
        <w:rPr>
          <w:szCs w:val="22"/>
        </w:rPr>
        <w:t>HFOs are predicted to enter the market around 2015 as imported vehicles charged with HFO-1234yf arrive in Australia and some early adopters take up HFOs in some stationary applications. It has been noted that a significant proportion of HFC-134a charged applications could potentially use HFOs if they were at least comparable in price, and if the HFC-134a equipment were ‘flame proofed’</w:t>
      </w:r>
      <w:r w:rsidR="00234DDB">
        <w:rPr>
          <w:szCs w:val="22"/>
        </w:rPr>
        <w:t>.</w:t>
      </w:r>
      <w:r w:rsidRPr="00B03D2E">
        <w:rPr>
          <w:szCs w:val="22"/>
        </w:rPr>
        <w:t xml:space="preserve"> </w:t>
      </w:r>
      <w:r w:rsidR="00234DDB">
        <w:rPr>
          <w:szCs w:val="22"/>
        </w:rPr>
        <w:t>This w</w:t>
      </w:r>
      <w:r w:rsidRPr="00B03D2E">
        <w:rPr>
          <w:szCs w:val="22"/>
        </w:rPr>
        <w:t>ould be possible in some technology segments where the cost of that work could be outweighed by savings on the lower GWP HFOs. Any price advantage that HFO’s could enjoy in Australia depends largely on the continuing impact of the ECP on the price of high GWP gases.</w:t>
      </w:r>
    </w:p>
    <w:p w14:paraId="0AAF48A1" w14:textId="69A71946" w:rsidR="00807CA8" w:rsidRDefault="00B03D2E" w:rsidP="00807CA8">
      <w:r w:rsidRPr="00B03D2E">
        <w:rPr>
          <w:szCs w:val="22"/>
        </w:rPr>
        <w:t>It must be noted that the 2012 starting point estimate of the working bank does not include any gas held in stock by suppliers of either bulk gas, or of pre-charged equipment. In previous studies it was assumed that stock of bulk gas (to replace gas that had been lost through leaks) and pre-charged equipment was not much greater than was required to meet mar</w:t>
      </w:r>
      <w:r w:rsidR="00BE78D9">
        <w:rPr>
          <w:szCs w:val="22"/>
        </w:rPr>
        <w:t>ket demand, in a timely manner.</w:t>
      </w:r>
    </w:p>
    <w:p w14:paraId="69F3677E" w14:textId="77777777" w:rsidR="00807CA8" w:rsidRDefault="00807CA8" w:rsidP="006E7A71">
      <w:pPr>
        <w:rPr>
          <w:szCs w:val="22"/>
        </w:rPr>
      </w:pPr>
    </w:p>
    <w:p w14:paraId="2F0F2F66" w14:textId="77777777" w:rsidR="000A62D9" w:rsidRDefault="000A62D9">
      <w:pPr>
        <w:spacing w:before="0"/>
        <w:jc w:val="left"/>
        <w:rPr>
          <w:rFonts w:ascii="Calibri" w:eastAsia="Times New Roman" w:hAnsi="Calibri" w:cs="Times New Roman"/>
          <w:b/>
          <w:bCs/>
          <w:kern w:val="32"/>
          <w:sz w:val="32"/>
          <w:szCs w:val="32"/>
          <w:lang w:val="en-US"/>
        </w:rPr>
      </w:pPr>
      <w:r>
        <w:br w:type="page"/>
      </w:r>
    </w:p>
    <w:p w14:paraId="42DC36D6" w14:textId="389B0B59" w:rsidR="00807CA8" w:rsidRDefault="00807CA8" w:rsidP="00807CA8">
      <w:pPr>
        <w:pStyle w:val="Heading1"/>
      </w:pPr>
      <w:bookmarkStart w:id="63" w:name="_Toc233084159"/>
      <w:r>
        <w:lastRenderedPageBreak/>
        <w:t>Energy and emissions</w:t>
      </w:r>
      <w:bookmarkEnd w:id="63"/>
    </w:p>
    <w:p w14:paraId="118F4559" w14:textId="77777777" w:rsidR="00BE78D9" w:rsidRPr="00BE78D9" w:rsidRDefault="00BE78D9" w:rsidP="00BE78D9">
      <w:pPr>
        <w:rPr>
          <w:szCs w:val="22"/>
        </w:rPr>
      </w:pPr>
      <w:r w:rsidRPr="00BE78D9">
        <w:rPr>
          <w:szCs w:val="22"/>
        </w:rPr>
        <w:t>RAC services are a major feature of the Australian energy economy. Based on the extensive ‘bottom up’ analysis made possible with the CHF2 stock model, it is estimated that RAC equipment consumed 59,000 GWh of electricity in 2012, more than 22 per cent of the approximately 265,000 GWh of electricity production in Australia that year.</w:t>
      </w:r>
    </w:p>
    <w:p w14:paraId="2656D80D" w14:textId="5EFD1F7C" w:rsidR="00807CA8" w:rsidRDefault="00BE78D9" w:rsidP="00807CA8">
      <w:r w:rsidRPr="00BE78D9">
        <w:rPr>
          <w:szCs w:val="22"/>
        </w:rPr>
        <w:t xml:space="preserve">The share of electricity consumption by major class of electricity driven technology is illustrated in </w:t>
      </w:r>
      <w:r w:rsidRPr="00BE78D9">
        <w:rPr>
          <w:i/>
          <w:szCs w:val="22"/>
        </w:rPr>
        <w:t>Figure 15</w:t>
      </w:r>
      <w:r w:rsidRPr="00BE78D9">
        <w:rPr>
          <w:szCs w:val="22"/>
        </w:rPr>
        <w:t>.</w:t>
      </w:r>
    </w:p>
    <w:p w14:paraId="6CAB3EA4" w14:textId="77777777" w:rsidR="00807CA8" w:rsidRDefault="00807CA8" w:rsidP="00807C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807CA8" w:rsidRPr="005D159D" w14:paraId="09A104A7" w14:textId="77777777" w:rsidTr="0068265E">
        <w:tc>
          <w:tcPr>
            <w:tcW w:w="9639" w:type="dxa"/>
            <w:vAlign w:val="center"/>
          </w:tcPr>
          <w:p w14:paraId="008F0435" w14:textId="6650D773" w:rsidR="00807CA8" w:rsidRPr="005D159D" w:rsidRDefault="00807CA8" w:rsidP="0068265E">
            <w:pPr>
              <w:spacing w:after="120"/>
              <w:jc w:val="center"/>
              <w:rPr>
                <w:b/>
                <w:sz w:val="24"/>
              </w:rPr>
            </w:pPr>
            <w:r w:rsidRPr="005D159D">
              <w:rPr>
                <w:b/>
                <w:sz w:val="24"/>
              </w:rPr>
              <w:br w:type="page"/>
            </w:r>
            <w:r w:rsidR="0068265E">
              <w:rPr>
                <w:b/>
                <w:sz w:val="24"/>
              </w:rPr>
              <w:t>Electricity consumption by major class (GWh)</w:t>
            </w:r>
            <w:r w:rsidRPr="005D159D">
              <w:rPr>
                <w:b/>
                <w:sz w:val="24"/>
              </w:rPr>
              <w:t xml:space="preserve"> </w:t>
            </w:r>
          </w:p>
        </w:tc>
      </w:tr>
      <w:tr w:rsidR="00807CA8" w:rsidRPr="00BD20BC" w14:paraId="7983CF44" w14:textId="77777777" w:rsidTr="0068265E">
        <w:tc>
          <w:tcPr>
            <w:tcW w:w="9639" w:type="dxa"/>
            <w:vAlign w:val="center"/>
          </w:tcPr>
          <w:p w14:paraId="7D613780" w14:textId="050FDA9D" w:rsidR="00807CA8" w:rsidRDefault="00C16997" w:rsidP="0068265E">
            <w:pPr>
              <w:jc w:val="center"/>
              <w:rPr>
                <w:sz w:val="16"/>
                <w:szCs w:val="16"/>
              </w:rPr>
            </w:pPr>
            <w:r>
              <w:rPr>
                <w:noProof/>
                <w:lang w:val="en-US"/>
              </w:rPr>
              <w:drawing>
                <wp:inline distT="0" distB="0" distL="0" distR="0" wp14:anchorId="4C426877" wp14:editId="491922EF">
                  <wp:extent cx="5486400" cy="381762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59B1510" w14:textId="77777777" w:rsidR="00807CA8" w:rsidRPr="00BD20BC" w:rsidRDefault="00807CA8" w:rsidP="0068265E">
            <w:pPr>
              <w:jc w:val="center"/>
              <w:rPr>
                <w:sz w:val="16"/>
                <w:szCs w:val="16"/>
              </w:rPr>
            </w:pPr>
          </w:p>
        </w:tc>
      </w:tr>
      <w:tr w:rsidR="00807CA8" w:rsidRPr="00042727" w14:paraId="0B044484" w14:textId="77777777" w:rsidTr="0068265E">
        <w:tc>
          <w:tcPr>
            <w:tcW w:w="9639" w:type="dxa"/>
            <w:vAlign w:val="center"/>
          </w:tcPr>
          <w:p w14:paraId="50B35658" w14:textId="43737AF4" w:rsidR="00807CA8" w:rsidRPr="005D159D" w:rsidRDefault="00807CA8" w:rsidP="00807CA8">
            <w:pPr>
              <w:spacing w:before="60" w:after="60"/>
              <w:rPr>
                <w:i/>
              </w:rPr>
            </w:pPr>
            <w:bookmarkStart w:id="64" w:name="_Toc233083991"/>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15</w:t>
            </w:r>
            <w:r w:rsidRPr="005D159D">
              <w:rPr>
                <w:i/>
                <w:sz w:val="20"/>
              </w:rPr>
              <w:fldChar w:fldCharType="end"/>
            </w:r>
            <w:r w:rsidRPr="005D159D">
              <w:rPr>
                <w:i/>
                <w:sz w:val="20"/>
              </w:rPr>
              <w:t xml:space="preserve">: </w:t>
            </w:r>
            <w:r w:rsidRPr="00807CA8">
              <w:rPr>
                <w:i/>
                <w:sz w:val="20"/>
              </w:rPr>
              <w:t xml:space="preserve">Electricity consumption by </w:t>
            </w:r>
            <w:r>
              <w:rPr>
                <w:i/>
                <w:sz w:val="20"/>
              </w:rPr>
              <w:t>major class</w:t>
            </w:r>
            <w:r w:rsidRPr="00807CA8">
              <w:rPr>
                <w:i/>
                <w:sz w:val="20"/>
              </w:rPr>
              <w:t>, GWh and per cent of total</w:t>
            </w:r>
            <w:bookmarkEnd w:id="64"/>
          </w:p>
        </w:tc>
      </w:tr>
    </w:tbl>
    <w:p w14:paraId="7D75D9FD" w14:textId="4FB83150" w:rsidR="003B0686" w:rsidRDefault="003B0686" w:rsidP="003B0686">
      <w:pPr>
        <w:spacing w:before="0"/>
        <w:rPr>
          <w:szCs w:val="22"/>
        </w:rPr>
      </w:pPr>
      <w:r w:rsidRPr="00116557">
        <w:rPr>
          <w:sz w:val="20"/>
          <w:szCs w:val="20"/>
        </w:rPr>
        <w:t xml:space="preserve">(Sources: </w:t>
      </w:r>
      <w:r w:rsidR="00AC0F6F">
        <w:rPr>
          <w:sz w:val="20"/>
          <w:szCs w:val="20"/>
        </w:rPr>
        <w:t>CHF2 stock</w:t>
      </w:r>
      <w:r>
        <w:rPr>
          <w:sz w:val="20"/>
          <w:szCs w:val="20"/>
        </w:rPr>
        <w:t xml:space="preserve"> model)</w:t>
      </w:r>
    </w:p>
    <w:p w14:paraId="2A26AE31" w14:textId="7E843DB0" w:rsidR="00BE78D9" w:rsidRPr="00BE78D9" w:rsidRDefault="00BE78D9" w:rsidP="00BE78D9">
      <w:pPr>
        <w:spacing w:before="240"/>
        <w:rPr>
          <w:szCs w:val="22"/>
        </w:rPr>
      </w:pPr>
      <w:r w:rsidRPr="00BE78D9">
        <w:rPr>
          <w:szCs w:val="22"/>
        </w:rPr>
        <w:t xml:space="preserve">Total electricity consumed is equal to some 212 </w:t>
      </w:r>
      <w:r w:rsidR="00870F76">
        <w:rPr>
          <w:szCs w:val="22"/>
        </w:rPr>
        <w:t>P</w:t>
      </w:r>
      <w:r w:rsidRPr="00BE78D9">
        <w:rPr>
          <w:szCs w:val="22"/>
        </w:rPr>
        <w:t>eta</w:t>
      </w:r>
      <w:r w:rsidR="00870F76">
        <w:rPr>
          <w:szCs w:val="22"/>
        </w:rPr>
        <w:t>j</w:t>
      </w:r>
      <w:r w:rsidRPr="00BE78D9">
        <w:rPr>
          <w:szCs w:val="22"/>
        </w:rPr>
        <w:t>oules (PJ) of energy. With the addition of the estimated 46.5 PJ consumed in liquid fuels providing mobile air conditioning and transport refrigeration</w:t>
      </w:r>
      <w:r w:rsidR="008C1339">
        <w:rPr>
          <w:szCs w:val="22"/>
        </w:rPr>
        <w:t xml:space="preserve"> t</w:t>
      </w:r>
      <w:r w:rsidRPr="00BE78D9">
        <w:rPr>
          <w:szCs w:val="22"/>
        </w:rPr>
        <w:t xml:space="preserve">otal energy consumed for the provision of RAC services in Australia in 2012 was 258.9 PJ equivalent to </w:t>
      </w:r>
      <w:r w:rsidR="00B154FE">
        <w:rPr>
          <w:szCs w:val="22"/>
        </w:rPr>
        <w:t>7</w:t>
      </w:r>
      <w:r w:rsidRPr="00BE78D9">
        <w:rPr>
          <w:szCs w:val="22"/>
        </w:rPr>
        <w:t xml:space="preserve"> per cent of total final energy cons</w:t>
      </w:r>
      <w:r w:rsidR="00B154FE">
        <w:rPr>
          <w:szCs w:val="22"/>
        </w:rPr>
        <w:t>umption in Australia in 2010-11 (BREE 2012).</w:t>
      </w:r>
    </w:p>
    <w:p w14:paraId="3DC52790" w14:textId="664F17BC" w:rsidR="00807CA8" w:rsidRDefault="00BE78D9" w:rsidP="00807CA8">
      <w:pPr>
        <w:rPr>
          <w:szCs w:val="22"/>
        </w:rPr>
      </w:pPr>
      <w:r w:rsidRPr="00BE78D9">
        <w:rPr>
          <w:szCs w:val="22"/>
        </w:rPr>
        <w:t xml:space="preserve">Shares of total energy consumption in the sector are illustrated in </w:t>
      </w:r>
      <w:r w:rsidRPr="00BE78D9">
        <w:rPr>
          <w:i/>
          <w:szCs w:val="22"/>
        </w:rPr>
        <w:t>Figure 16</w:t>
      </w:r>
      <w:r w:rsidRPr="00BE78D9">
        <w:rPr>
          <w:szCs w:val="22"/>
        </w:rPr>
        <w:t xml:space="preserve">. In this figure, transport refrigeration has been identified separately from the refrigerated cold food chain. The primary fuels used in transport refrigeration services (and in mobile air conditioning) are liquid fuels, whereas the </w:t>
      </w:r>
      <w:r>
        <w:rPr>
          <w:szCs w:val="22"/>
        </w:rPr>
        <w:t>r</w:t>
      </w:r>
      <w:r w:rsidRPr="00BE78D9">
        <w:rPr>
          <w:szCs w:val="22"/>
        </w:rPr>
        <w:t xml:space="preserve">efrigerated </w:t>
      </w:r>
      <w:r>
        <w:rPr>
          <w:szCs w:val="22"/>
        </w:rPr>
        <w:t>cold f</w:t>
      </w:r>
      <w:r w:rsidRPr="00BE78D9">
        <w:rPr>
          <w:szCs w:val="22"/>
        </w:rPr>
        <w:t xml:space="preserve">ood </w:t>
      </w:r>
      <w:r>
        <w:rPr>
          <w:szCs w:val="22"/>
        </w:rPr>
        <w:t>c</w:t>
      </w:r>
      <w:r w:rsidRPr="00BE78D9">
        <w:rPr>
          <w:szCs w:val="22"/>
        </w:rPr>
        <w:t>hain is otherwise fuelled by electricity.</w:t>
      </w:r>
    </w:p>
    <w:p w14:paraId="679B00FE" w14:textId="77777777" w:rsidR="00C16997" w:rsidRDefault="00C16997" w:rsidP="00807CA8">
      <w:pPr>
        <w:rPr>
          <w:szCs w:val="22"/>
        </w:rPr>
      </w:pPr>
    </w:p>
    <w:p w14:paraId="408203E3" w14:textId="77777777" w:rsidR="00C16997" w:rsidRDefault="00C16997" w:rsidP="00807CA8"/>
    <w:p w14:paraId="6221EEA1" w14:textId="77777777" w:rsidR="0068265E" w:rsidRDefault="0068265E" w:rsidP="0068265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68265E" w:rsidRPr="005D159D" w14:paraId="252593D5" w14:textId="77777777" w:rsidTr="0068265E">
        <w:tc>
          <w:tcPr>
            <w:tcW w:w="9639" w:type="dxa"/>
            <w:vAlign w:val="center"/>
          </w:tcPr>
          <w:p w14:paraId="4ACC92B9" w14:textId="3CC623C1" w:rsidR="0068265E" w:rsidRPr="005D159D" w:rsidRDefault="0068265E" w:rsidP="0068265E">
            <w:pPr>
              <w:spacing w:after="120"/>
              <w:jc w:val="center"/>
              <w:rPr>
                <w:b/>
                <w:sz w:val="24"/>
              </w:rPr>
            </w:pPr>
            <w:r w:rsidRPr="005D159D">
              <w:rPr>
                <w:b/>
                <w:sz w:val="24"/>
              </w:rPr>
              <w:lastRenderedPageBreak/>
              <w:br w:type="page"/>
            </w:r>
            <w:r>
              <w:rPr>
                <w:b/>
                <w:sz w:val="24"/>
              </w:rPr>
              <w:t>Electricity consumption by major class (PJ)</w:t>
            </w:r>
          </w:p>
        </w:tc>
      </w:tr>
      <w:tr w:rsidR="0068265E" w:rsidRPr="00BD20BC" w14:paraId="2E71DF1C" w14:textId="77777777" w:rsidTr="0068265E">
        <w:tc>
          <w:tcPr>
            <w:tcW w:w="9639" w:type="dxa"/>
            <w:vAlign w:val="center"/>
          </w:tcPr>
          <w:p w14:paraId="316DD6BF" w14:textId="212A227F" w:rsidR="0068265E" w:rsidRDefault="00C16997" w:rsidP="0068265E">
            <w:pPr>
              <w:jc w:val="center"/>
              <w:rPr>
                <w:sz w:val="16"/>
                <w:szCs w:val="16"/>
              </w:rPr>
            </w:pPr>
            <w:r>
              <w:rPr>
                <w:noProof/>
                <w:lang w:val="en-US"/>
              </w:rPr>
              <w:drawing>
                <wp:inline distT="0" distB="0" distL="0" distR="0" wp14:anchorId="687A31EF" wp14:editId="3DA053A9">
                  <wp:extent cx="5486400" cy="3823970"/>
                  <wp:effectExtent l="0" t="0" r="0" b="1143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DD423E5" w14:textId="77777777" w:rsidR="0068265E" w:rsidRPr="00BD20BC" w:rsidRDefault="0068265E" w:rsidP="0068265E">
            <w:pPr>
              <w:jc w:val="center"/>
              <w:rPr>
                <w:sz w:val="16"/>
                <w:szCs w:val="16"/>
              </w:rPr>
            </w:pPr>
          </w:p>
        </w:tc>
      </w:tr>
      <w:tr w:rsidR="0068265E" w:rsidRPr="00042727" w14:paraId="605CCB6B" w14:textId="77777777" w:rsidTr="0068265E">
        <w:tc>
          <w:tcPr>
            <w:tcW w:w="9639" w:type="dxa"/>
            <w:vAlign w:val="center"/>
          </w:tcPr>
          <w:p w14:paraId="6189039F" w14:textId="37BF94D0" w:rsidR="0068265E" w:rsidRPr="005D159D" w:rsidRDefault="0068265E" w:rsidP="0068265E">
            <w:pPr>
              <w:spacing w:before="60" w:after="60"/>
              <w:rPr>
                <w:i/>
              </w:rPr>
            </w:pPr>
            <w:bookmarkStart w:id="65" w:name="_Toc233083992"/>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16</w:t>
            </w:r>
            <w:r w:rsidRPr="005D159D">
              <w:rPr>
                <w:i/>
                <w:sz w:val="20"/>
              </w:rPr>
              <w:fldChar w:fldCharType="end"/>
            </w:r>
            <w:r w:rsidRPr="005D159D">
              <w:rPr>
                <w:i/>
                <w:sz w:val="20"/>
              </w:rPr>
              <w:t xml:space="preserve">: </w:t>
            </w:r>
            <w:r w:rsidRPr="0068265E">
              <w:rPr>
                <w:i/>
                <w:sz w:val="20"/>
              </w:rPr>
              <w:t xml:space="preserve">Energy consumption by </w:t>
            </w:r>
            <w:r>
              <w:rPr>
                <w:i/>
                <w:sz w:val="20"/>
              </w:rPr>
              <w:t>major c</w:t>
            </w:r>
            <w:r w:rsidRPr="0068265E">
              <w:rPr>
                <w:i/>
                <w:sz w:val="20"/>
              </w:rPr>
              <w:t>lass</w:t>
            </w:r>
            <w:r>
              <w:rPr>
                <w:i/>
                <w:sz w:val="20"/>
              </w:rPr>
              <w:t xml:space="preserve"> in </w:t>
            </w:r>
            <w:r w:rsidRPr="0068265E">
              <w:rPr>
                <w:i/>
                <w:sz w:val="20"/>
              </w:rPr>
              <w:t>PJ and per cent of total</w:t>
            </w:r>
            <w:bookmarkEnd w:id="65"/>
          </w:p>
        </w:tc>
      </w:tr>
    </w:tbl>
    <w:p w14:paraId="16255190" w14:textId="441579FD" w:rsidR="005F51BB" w:rsidRPr="005F51BB" w:rsidRDefault="005F51BB" w:rsidP="005F51BB">
      <w:pPr>
        <w:spacing w:before="0"/>
        <w:rPr>
          <w:sz w:val="20"/>
          <w:szCs w:val="20"/>
        </w:rPr>
      </w:pPr>
      <w:r w:rsidRPr="005F51BB">
        <w:rPr>
          <w:sz w:val="20"/>
          <w:szCs w:val="20"/>
        </w:rPr>
        <w:t xml:space="preserve">(Source: </w:t>
      </w:r>
      <w:r w:rsidR="00AC0F6F">
        <w:rPr>
          <w:sz w:val="20"/>
          <w:szCs w:val="20"/>
        </w:rPr>
        <w:t>CHF2 stock</w:t>
      </w:r>
      <w:r w:rsidRPr="005F51BB">
        <w:rPr>
          <w:sz w:val="20"/>
          <w:szCs w:val="20"/>
        </w:rPr>
        <w:t xml:space="preserve"> model)</w:t>
      </w:r>
    </w:p>
    <w:p w14:paraId="596225ED" w14:textId="485212BD" w:rsidR="00916BF8" w:rsidRPr="00916BF8" w:rsidRDefault="00916BF8" w:rsidP="00916BF8">
      <w:pPr>
        <w:spacing w:before="240"/>
        <w:rPr>
          <w:szCs w:val="22"/>
        </w:rPr>
      </w:pPr>
      <w:r w:rsidRPr="00916BF8">
        <w:rPr>
          <w:szCs w:val="22"/>
        </w:rPr>
        <w:t>With emissions from energy consumed in mobile air conditioning services and transport refrigeration included, the indirect emissions from energy consumed to deliver these services is calculated as being more than 57 Mt of CO</w:t>
      </w:r>
      <w:r w:rsidRPr="0068225F">
        <w:rPr>
          <w:szCs w:val="22"/>
          <w:vertAlign w:val="subscript"/>
        </w:rPr>
        <w:t>2</w:t>
      </w:r>
      <w:r w:rsidRPr="00916BF8">
        <w:rPr>
          <w:szCs w:val="22"/>
        </w:rPr>
        <w:t>-e in 2012. This is more than 10 per cent of the total national greenhouse gas inventory (NGGI).</w:t>
      </w:r>
      <w:r w:rsidR="00B154FE">
        <w:rPr>
          <w:rStyle w:val="FootnoteReference"/>
          <w:szCs w:val="22"/>
        </w:rPr>
        <w:footnoteReference w:id="25"/>
      </w:r>
      <w:r w:rsidRPr="00916BF8">
        <w:rPr>
          <w:szCs w:val="22"/>
        </w:rPr>
        <w:t xml:space="preserve"> </w:t>
      </w:r>
    </w:p>
    <w:p w14:paraId="2555D9E1" w14:textId="77777777" w:rsidR="00916BF8" w:rsidRPr="00916BF8" w:rsidRDefault="00916BF8" w:rsidP="00916BF8">
      <w:pPr>
        <w:rPr>
          <w:szCs w:val="22"/>
        </w:rPr>
      </w:pPr>
      <w:r w:rsidRPr="00916BF8">
        <w:rPr>
          <w:szCs w:val="22"/>
        </w:rPr>
        <w:t xml:space="preserve">The share of indirect greenhouse gas emissions produced by energy used to deliver refrigeration and air conditioning services are illustrated in </w:t>
      </w:r>
      <w:r w:rsidRPr="00916BF8">
        <w:rPr>
          <w:i/>
          <w:szCs w:val="22"/>
        </w:rPr>
        <w:t>Figure 17</w:t>
      </w:r>
      <w:r w:rsidRPr="00916BF8">
        <w:rPr>
          <w:szCs w:val="22"/>
        </w:rPr>
        <w:t>.</w:t>
      </w:r>
    </w:p>
    <w:p w14:paraId="17769EF1" w14:textId="77777777" w:rsidR="0068265E" w:rsidRDefault="0068265E" w:rsidP="0068265E"/>
    <w:p w14:paraId="04BFC8D1" w14:textId="77777777" w:rsidR="00C16997" w:rsidRDefault="00C16997" w:rsidP="0068265E"/>
    <w:p w14:paraId="4C87BC50" w14:textId="77777777" w:rsidR="00C16997" w:rsidRDefault="00C16997" w:rsidP="0068265E"/>
    <w:p w14:paraId="0E50205B" w14:textId="77777777" w:rsidR="00C16997" w:rsidRDefault="00C16997" w:rsidP="0068265E"/>
    <w:p w14:paraId="32F60DFD" w14:textId="77777777" w:rsidR="00C16997" w:rsidRDefault="00C16997" w:rsidP="0068265E"/>
    <w:p w14:paraId="24836EF7" w14:textId="77777777" w:rsidR="00C16997" w:rsidRDefault="00C16997" w:rsidP="0068265E"/>
    <w:p w14:paraId="6144BB37" w14:textId="77777777" w:rsidR="00C16997" w:rsidRDefault="00C16997" w:rsidP="0068265E"/>
    <w:p w14:paraId="24CF23BE" w14:textId="77777777" w:rsidR="00C16997" w:rsidRDefault="00C16997" w:rsidP="0068265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68265E" w:rsidRPr="005D159D" w14:paraId="1B92197A" w14:textId="77777777" w:rsidTr="0068265E">
        <w:tc>
          <w:tcPr>
            <w:tcW w:w="9639" w:type="dxa"/>
            <w:vAlign w:val="center"/>
          </w:tcPr>
          <w:p w14:paraId="3CBC36E1" w14:textId="56723369" w:rsidR="0068265E" w:rsidRPr="005D159D" w:rsidRDefault="0068265E" w:rsidP="0068265E">
            <w:pPr>
              <w:spacing w:after="120"/>
              <w:jc w:val="center"/>
              <w:rPr>
                <w:b/>
                <w:sz w:val="24"/>
              </w:rPr>
            </w:pPr>
            <w:r w:rsidRPr="005D159D">
              <w:rPr>
                <w:b/>
                <w:sz w:val="24"/>
              </w:rPr>
              <w:lastRenderedPageBreak/>
              <w:br w:type="page"/>
            </w:r>
            <w:r>
              <w:rPr>
                <w:b/>
                <w:sz w:val="24"/>
              </w:rPr>
              <w:t xml:space="preserve">Electricity </w:t>
            </w:r>
            <w:r w:rsidRPr="0068265E">
              <w:rPr>
                <w:b/>
                <w:sz w:val="24"/>
              </w:rPr>
              <w:t>consumption by major class (Mt CO</w:t>
            </w:r>
            <w:r w:rsidRPr="0068265E">
              <w:rPr>
                <w:b/>
                <w:sz w:val="24"/>
                <w:vertAlign w:val="subscript"/>
              </w:rPr>
              <w:t>2</w:t>
            </w:r>
            <w:r w:rsidRPr="0068265E">
              <w:rPr>
                <w:b/>
                <w:sz w:val="24"/>
              </w:rPr>
              <w:t>-e)</w:t>
            </w:r>
          </w:p>
        </w:tc>
      </w:tr>
      <w:tr w:rsidR="0068265E" w:rsidRPr="00BD20BC" w14:paraId="6CF984AB" w14:textId="77777777" w:rsidTr="0068265E">
        <w:tc>
          <w:tcPr>
            <w:tcW w:w="9639" w:type="dxa"/>
            <w:vAlign w:val="center"/>
          </w:tcPr>
          <w:p w14:paraId="39042655" w14:textId="218A4C8E" w:rsidR="0068265E" w:rsidRDefault="00C16997" w:rsidP="0068265E">
            <w:pPr>
              <w:jc w:val="center"/>
              <w:rPr>
                <w:sz w:val="16"/>
                <w:szCs w:val="16"/>
              </w:rPr>
            </w:pPr>
            <w:r>
              <w:rPr>
                <w:noProof/>
                <w:lang w:val="en-US"/>
              </w:rPr>
              <w:drawing>
                <wp:inline distT="0" distB="0" distL="0" distR="0" wp14:anchorId="51A79CFB" wp14:editId="1265868D">
                  <wp:extent cx="5486400" cy="3823970"/>
                  <wp:effectExtent l="0" t="0" r="0" b="1143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F3F5DAC" w14:textId="77777777" w:rsidR="0068265E" w:rsidRPr="00BD20BC" w:rsidRDefault="0068265E" w:rsidP="0068265E">
            <w:pPr>
              <w:jc w:val="center"/>
              <w:rPr>
                <w:sz w:val="16"/>
                <w:szCs w:val="16"/>
              </w:rPr>
            </w:pPr>
          </w:p>
        </w:tc>
      </w:tr>
      <w:tr w:rsidR="0068265E" w:rsidRPr="00042727" w14:paraId="76BC8035" w14:textId="77777777" w:rsidTr="0068265E">
        <w:tc>
          <w:tcPr>
            <w:tcW w:w="9639" w:type="dxa"/>
            <w:vAlign w:val="center"/>
          </w:tcPr>
          <w:p w14:paraId="3B63979F" w14:textId="231822CC" w:rsidR="0068265E" w:rsidRPr="005D159D" w:rsidRDefault="0068265E" w:rsidP="0068265E">
            <w:pPr>
              <w:spacing w:before="60" w:after="60"/>
              <w:rPr>
                <w:i/>
              </w:rPr>
            </w:pPr>
            <w:bookmarkStart w:id="66" w:name="_Toc233083993"/>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17</w:t>
            </w:r>
            <w:r w:rsidRPr="005D159D">
              <w:rPr>
                <w:i/>
                <w:sz w:val="20"/>
              </w:rPr>
              <w:fldChar w:fldCharType="end"/>
            </w:r>
            <w:r w:rsidRPr="005D159D">
              <w:rPr>
                <w:i/>
                <w:sz w:val="20"/>
              </w:rPr>
              <w:t xml:space="preserve">: </w:t>
            </w:r>
            <w:r w:rsidRPr="0068265E">
              <w:rPr>
                <w:i/>
                <w:sz w:val="20"/>
              </w:rPr>
              <w:t xml:space="preserve">Indirect </w:t>
            </w:r>
            <w:r>
              <w:rPr>
                <w:i/>
                <w:sz w:val="20"/>
              </w:rPr>
              <w:t>e</w:t>
            </w:r>
            <w:r w:rsidRPr="0068265E">
              <w:rPr>
                <w:i/>
                <w:sz w:val="20"/>
              </w:rPr>
              <w:t xml:space="preserve">missions by </w:t>
            </w:r>
            <w:r>
              <w:rPr>
                <w:i/>
                <w:sz w:val="20"/>
              </w:rPr>
              <w:t>major c</w:t>
            </w:r>
            <w:r w:rsidRPr="0068265E">
              <w:rPr>
                <w:i/>
                <w:sz w:val="20"/>
              </w:rPr>
              <w:t>lass</w:t>
            </w:r>
            <w:r>
              <w:rPr>
                <w:i/>
                <w:sz w:val="20"/>
              </w:rPr>
              <w:t xml:space="preserve"> in </w:t>
            </w:r>
            <w:r w:rsidRPr="0068265E">
              <w:rPr>
                <w:i/>
                <w:sz w:val="20"/>
              </w:rPr>
              <w:t>Mt CO</w:t>
            </w:r>
            <w:r w:rsidRPr="0068265E">
              <w:rPr>
                <w:i/>
                <w:sz w:val="20"/>
                <w:vertAlign w:val="subscript"/>
              </w:rPr>
              <w:t>2</w:t>
            </w:r>
            <w:r w:rsidRPr="0068265E">
              <w:rPr>
                <w:i/>
                <w:sz w:val="20"/>
              </w:rPr>
              <w:t>-e and per cent</w:t>
            </w:r>
            <w:bookmarkEnd w:id="66"/>
          </w:p>
        </w:tc>
      </w:tr>
    </w:tbl>
    <w:p w14:paraId="34B3A7E4" w14:textId="7BCF0610" w:rsidR="005F51BB" w:rsidRPr="005F51BB" w:rsidRDefault="005F51BB" w:rsidP="005F51BB">
      <w:pPr>
        <w:spacing w:before="0"/>
        <w:rPr>
          <w:sz w:val="20"/>
          <w:szCs w:val="20"/>
        </w:rPr>
      </w:pPr>
      <w:r w:rsidRPr="005F51BB">
        <w:rPr>
          <w:sz w:val="20"/>
          <w:szCs w:val="20"/>
        </w:rPr>
        <w:t xml:space="preserve">(Source: </w:t>
      </w:r>
      <w:r w:rsidR="00AC0F6F">
        <w:rPr>
          <w:sz w:val="20"/>
          <w:szCs w:val="20"/>
        </w:rPr>
        <w:t>CHF2 stock</w:t>
      </w:r>
      <w:r w:rsidRPr="005F51BB">
        <w:rPr>
          <w:sz w:val="20"/>
          <w:szCs w:val="20"/>
        </w:rPr>
        <w:t xml:space="preserve"> model)</w:t>
      </w:r>
    </w:p>
    <w:p w14:paraId="406B3B24" w14:textId="77777777" w:rsidR="0068225F" w:rsidRPr="0068225F" w:rsidRDefault="0068225F" w:rsidP="0068225F">
      <w:pPr>
        <w:spacing w:before="240"/>
        <w:rPr>
          <w:szCs w:val="22"/>
        </w:rPr>
      </w:pPr>
      <w:r w:rsidRPr="0068225F">
        <w:rPr>
          <w:szCs w:val="22"/>
        </w:rPr>
        <w:t xml:space="preserve">In something of an obvious ‘positive’ feedback loop, though with potentially very negative consequences, the demand for RAC services goes up strongly on hot days, significantly increasing demand for electricity.  </w:t>
      </w:r>
    </w:p>
    <w:p w14:paraId="6CC899E9" w14:textId="77777777" w:rsidR="0068225F" w:rsidRPr="0068225F" w:rsidRDefault="0068225F" w:rsidP="0068225F">
      <w:pPr>
        <w:rPr>
          <w:szCs w:val="22"/>
        </w:rPr>
      </w:pPr>
      <w:r w:rsidRPr="0068225F">
        <w:rPr>
          <w:szCs w:val="22"/>
        </w:rPr>
        <w:t xml:space="preserve">Hot days and peak electrical demand combine to decrease the efficiency of the electrical distribution systems. The higher the temperature of the distribution system components, particularly the transmission lines, the greater the resistance to transmission and thus the greater the transmission losses incurred. </w:t>
      </w:r>
    </w:p>
    <w:p w14:paraId="66C56492" w14:textId="77777777" w:rsidR="0068225F" w:rsidRPr="0068225F" w:rsidRDefault="0068225F" w:rsidP="0068225F">
      <w:pPr>
        <w:rPr>
          <w:szCs w:val="22"/>
        </w:rPr>
      </w:pPr>
      <w:r w:rsidRPr="0068225F">
        <w:rPr>
          <w:szCs w:val="22"/>
        </w:rPr>
        <w:t>These increased losses feedback directly into the average greenhouse gas emissions calculated for every kWh of electricity consumed, and into the total national emissions.</w:t>
      </w:r>
    </w:p>
    <w:p w14:paraId="3DB028A7" w14:textId="7C928612" w:rsidR="0068225F" w:rsidRPr="0068225F" w:rsidRDefault="0068225F" w:rsidP="0068225F">
      <w:pPr>
        <w:rPr>
          <w:szCs w:val="22"/>
        </w:rPr>
      </w:pPr>
      <w:r w:rsidRPr="0068225F">
        <w:rPr>
          <w:szCs w:val="22"/>
        </w:rPr>
        <w:t xml:space="preserve">Rapid growth in installed air conditioning, starting in earnest around the turn of the century, has often been noted in the last decade as a major driver of new </w:t>
      </w:r>
      <w:r w:rsidR="008C1339">
        <w:rPr>
          <w:szCs w:val="22"/>
        </w:rPr>
        <w:t xml:space="preserve">electricity demand </w:t>
      </w:r>
      <w:r w:rsidRPr="0068225F">
        <w:rPr>
          <w:szCs w:val="22"/>
        </w:rPr>
        <w:t xml:space="preserve">and </w:t>
      </w:r>
      <w:r w:rsidR="008C1339">
        <w:rPr>
          <w:szCs w:val="22"/>
        </w:rPr>
        <w:t xml:space="preserve">of </w:t>
      </w:r>
      <w:r w:rsidRPr="0068225F">
        <w:rPr>
          <w:szCs w:val="22"/>
        </w:rPr>
        <w:t>peak electric</w:t>
      </w:r>
      <w:r w:rsidR="008C1339">
        <w:rPr>
          <w:szCs w:val="22"/>
        </w:rPr>
        <w:t>ity</w:t>
      </w:r>
      <w:r w:rsidRPr="0068225F">
        <w:rPr>
          <w:szCs w:val="22"/>
        </w:rPr>
        <w:t xml:space="preserve"> demand, requiring very large investments in transmission and distribution infrastructure. This investment in electrical infrastructure has been the main reason for electricity price increases in Australia in recent years.  As a result, it could be said that everyone who pays an electricity bill is paying for the increased use of residential and commercial air conditioning, whether they own air conditioning devices or not. </w:t>
      </w:r>
    </w:p>
    <w:p w14:paraId="2A1472EC" w14:textId="00D25FE4" w:rsidR="0068225F" w:rsidRPr="0068225F" w:rsidRDefault="0068225F" w:rsidP="0068225F">
      <w:pPr>
        <w:rPr>
          <w:szCs w:val="22"/>
        </w:rPr>
      </w:pPr>
      <w:r w:rsidRPr="0068225F">
        <w:rPr>
          <w:szCs w:val="22"/>
        </w:rPr>
        <w:t>One oft</w:t>
      </w:r>
      <w:r w:rsidR="00A31052">
        <w:rPr>
          <w:szCs w:val="22"/>
        </w:rPr>
        <w:t xml:space="preserve">en </w:t>
      </w:r>
      <w:r w:rsidRPr="0068225F">
        <w:rPr>
          <w:szCs w:val="22"/>
        </w:rPr>
        <w:t xml:space="preserve">quoted figure in this regard is that for every new </w:t>
      </w:r>
      <w:r w:rsidR="00966005">
        <w:rPr>
          <w:szCs w:val="22"/>
        </w:rPr>
        <w:t xml:space="preserve">2 </w:t>
      </w:r>
      <w:r w:rsidRPr="0068225F">
        <w:rPr>
          <w:szCs w:val="22"/>
        </w:rPr>
        <w:t xml:space="preserve">kW </w:t>
      </w:r>
      <w:r w:rsidR="00966005">
        <w:rPr>
          <w:szCs w:val="22"/>
        </w:rPr>
        <w:t xml:space="preserve">(electrical input) </w:t>
      </w:r>
      <w:r w:rsidRPr="0068225F">
        <w:rPr>
          <w:szCs w:val="22"/>
        </w:rPr>
        <w:t>of air conditioning capacity added to the electrical distribution networks, some $7,</w:t>
      </w:r>
      <w:r w:rsidR="00966005">
        <w:rPr>
          <w:szCs w:val="22"/>
        </w:rPr>
        <w:t>0</w:t>
      </w:r>
      <w:r w:rsidRPr="0068225F">
        <w:rPr>
          <w:szCs w:val="22"/>
        </w:rPr>
        <w:t>00 in costs for network augmentation are imposed on the system</w:t>
      </w:r>
      <w:r w:rsidR="00966005">
        <w:rPr>
          <w:szCs w:val="22"/>
        </w:rPr>
        <w:t xml:space="preserve"> (DRET 2011)</w:t>
      </w:r>
      <w:r w:rsidRPr="0068225F">
        <w:rPr>
          <w:szCs w:val="22"/>
        </w:rPr>
        <w:t xml:space="preserve">. While the source of this statement and its veracity cannot be tested, we are very confident in the overall estimates of energy use to provide cooling services. Of course there are some uncertainties. Although overall we believe that the estimates of total energy use are accurate within </w:t>
      </w:r>
      <w:r w:rsidR="007527D5">
        <w:rPr>
          <w:rFonts w:cs="Times New Roman"/>
          <w:szCs w:val="22"/>
        </w:rPr>
        <w:t>±</w:t>
      </w:r>
      <w:r w:rsidRPr="0068225F">
        <w:rPr>
          <w:szCs w:val="22"/>
        </w:rPr>
        <w:t>1</w:t>
      </w:r>
      <w:r w:rsidR="00870CF9">
        <w:rPr>
          <w:szCs w:val="22"/>
        </w:rPr>
        <w:t>5</w:t>
      </w:r>
      <w:r w:rsidRPr="0068225F">
        <w:rPr>
          <w:szCs w:val="22"/>
        </w:rPr>
        <w:t xml:space="preserve"> per cent.</w:t>
      </w:r>
    </w:p>
    <w:p w14:paraId="6D89A2EB" w14:textId="6F615667" w:rsidR="0068225F" w:rsidRPr="0068225F" w:rsidRDefault="0068225F" w:rsidP="0068225F">
      <w:pPr>
        <w:rPr>
          <w:szCs w:val="22"/>
        </w:rPr>
      </w:pPr>
      <w:r w:rsidRPr="0068225F">
        <w:rPr>
          <w:szCs w:val="22"/>
        </w:rPr>
        <w:t xml:space="preserve">For instance the stock model itself is a complex construct in which some errors could well be incorporated due to poor underlying data or flawed assumptions. For instance the retirement rates for equipment are to a </w:t>
      </w:r>
      <w:r w:rsidRPr="0068225F">
        <w:rPr>
          <w:szCs w:val="22"/>
        </w:rPr>
        <w:lastRenderedPageBreak/>
        <w:t xml:space="preserve">large degree deduced from secondary sources, such as warranty periods and manufacturers public information, not on any extensive quantitative </w:t>
      </w:r>
      <w:r w:rsidR="008C1339">
        <w:rPr>
          <w:szCs w:val="22"/>
        </w:rPr>
        <w:t xml:space="preserve">or field </w:t>
      </w:r>
      <w:r w:rsidRPr="0068225F">
        <w:rPr>
          <w:szCs w:val="22"/>
        </w:rPr>
        <w:t xml:space="preserve">research. The methodology for arriving at the equipment stocks in the model are discussed in </w:t>
      </w:r>
      <w:r w:rsidR="007527D5" w:rsidRPr="007527D5">
        <w:rPr>
          <w:i/>
          <w:szCs w:val="22"/>
        </w:rPr>
        <w:t>Appendix A: Methodology</w:t>
      </w:r>
      <w:r w:rsidRPr="0068225F">
        <w:rPr>
          <w:szCs w:val="22"/>
        </w:rPr>
        <w:t xml:space="preserve">. However overall we are confident that the stock model is robust and </w:t>
      </w:r>
      <w:r w:rsidR="007527D5">
        <w:rPr>
          <w:szCs w:val="22"/>
        </w:rPr>
        <w:t xml:space="preserve">an </w:t>
      </w:r>
      <w:r w:rsidRPr="0068225F">
        <w:rPr>
          <w:szCs w:val="22"/>
        </w:rPr>
        <w:t xml:space="preserve">error in any one </w:t>
      </w:r>
      <w:r w:rsidR="008C1339">
        <w:rPr>
          <w:szCs w:val="22"/>
        </w:rPr>
        <w:t xml:space="preserve">equipment </w:t>
      </w:r>
      <w:r w:rsidRPr="0068225F">
        <w:rPr>
          <w:szCs w:val="22"/>
        </w:rPr>
        <w:t xml:space="preserve">category would not exceed </w:t>
      </w:r>
      <w:r w:rsidR="007527D5">
        <w:rPr>
          <w:rFonts w:cs="Times New Roman"/>
          <w:szCs w:val="22"/>
        </w:rPr>
        <w:t>±</w:t>
      </w:r>
      <w:r w:rsidR="00870CF9">
        <w:rPr>
          <w:rFonts w:cs="Times New Roman"/>
          <w:szCs w:val="22"/>
        </w:rPr>
        <w:t>10</w:t>
      </w:r>
      <w:r w:rsidRPr="0068225F">
        <w:rPr>
          <w:szCs w:val="22"/>
        </w:rPr>
        <w:t xml:space="preserve"> per cent.</w:t>
      </w:r>
    </w:p>
    <w:p w14:paraId="543C13BF" w14:textId="459EFB34" w:rsidR="0068225F" w:rsidRPr="0068225F" w:rsidRDefault="0068225F" w:rsidP="0068225F">
      <w:pPr>
        <w:rPr>
          <w:szCs w:val="22"/>
        </w:rPr>
      </w:pPr>
      <w:r w:rsidRPr="0068225F">
        <w:rPr>
          <w:szCs w:val="22"/>
        </w:rPr>
        <w:t>The total energy consumption for RAC systems calculated from the stock model is dependent on the estimated average annual hours of use of equipment in each category. Many of these estimates of hours of use have been informed by manufacturer’s data, estimates from previous studies into particular equipment categories</w:t>
      </w:r>
      <w:r w:rsidR="008C1339">
        <w:rPr>
          <w:szCs w:val="22"/>
        </w:rPr>
        <w:t>,</w:t>
      </w:r>
      <w:r w:rsidRPr="0068225F">
        <w:rPr>
          <w:szCs w:val="22"/>
        </w:rPr>
        <w:t xml:space="preserve"> and </w:t>
      </w:r>
      <w:r w:rsidR="008C1339">
        <w:rPr>
          <w:szCs w:val="22"/>
        </w:rPr>
        <w:t xml:space="preserve">from </w:t>
      </w:r>
      <w:r w:rsidRPr="0068225F">
        <w:rPr>
          <w:szCs w:val="22"/>
        </w:rPr>
        <w:t xml:space="preserve">first-hand experience of some categories. However, even if adjusting annual hours of use to </w:t>
      </w:r>
      <w:r w:rsidR="008C1339">
        <w:rPr>
          <w:szCs w:val="22"/>
        </w:rPr>
        <w:t xml:space="preserve">the </w:t>
      </w:r>
      <w:r w:rsidRPr="0068225F">
        <w:rPr>
          <w:szCs w:val="22"/>
        </w:rPr>
        <w:t>lowest likely estimates for the equipment categories (</w:t>
      </w:r>
      <w:r w:rsidR="008C1339">
        <w:rPr>
          <w:szCs w:val="22"/>
        </w:rPr>
        <w:t xml:space="preserve">in those categories </w:t>
      </w:r>
      <w:r w:rsidRPr="0068225F">
        <w:rPr>
          <w:szCs w:val="22"/>
        </w:rPr>
        <w:t xml:space="preserve">where there is less certainty), the </w:t>
      </w:r>
      <w:r w:rsidR="008C1339">
        <w:rPr>
          <w:szCs w:val="22"/>
        </w:rPr>
        <w:t xml:space="preserve">end result is a less than </w:t>
      </w:r>
      <w:r w:rsidRPr="0068225F">
        <w:rPr>
          <w:szCs w:val="22"/>
        </w:rPr>
        <w:t>10 per cent reduction in the estimates of total energy use.</w:t>
      </w:r>
    </w:p>
    <w:p w14:paraId="0880AD22" w14:textId="77777777" w:rsidR="00CB6C27" w:rsidRDefault="0068225F" w:rsidP="0068225F">
      <w:pPr>
        <w:rPr>
          <w:szCs w:val="22"/>
        </w:rPr>
      </w:pPr>
      <w:r w:rsidRPr="0068225F">
        <w:rPr>
          <w:szCs w:val="22"/>
        </w:rPr>
        <w:t>In reality, given what we know about equipment in the field, it is possible that estimated energy use is low. This is particularly relevant in the smaller equipment sizes where hundreds of thousands, and in some cases millions, of pieces of equipment are likely to be quite poorly serviced.</w:t>
      </w:r>
      <w:r w:rsidR="008C1339">
        <w:rPr>
          <w:szCs w:val="22"/>
        </w:rPr>
        <w:t xml:space="preserve"> Routine maintenance of air conditioning equipment (or lack of it) can have a profound effect on overall energy use in RAC equipment. </w:t>
      </w:r>
    </w:p>
    <w:p w14:paraId="1FCE6253" w14:textId="29B94C66" w:rsidR="0068225F" w:rsidRPr="0068225F" w:rsidRDefault="00CB6C27" w:rsidP="0068225F">
      <w:pPr>
        <w:rPr>
          <w:szCs w:val="22"/>
        </w:rPr>
      </w:pPr>
      <w:r>
        <w:rPr>
          <w:szCs w:val="22"/>
        </w:rPr>
        <w:t>M</w:t>
      </w:r>
      <w:r w:rsidR="008C1339">
        <w:rPr>
          <w:szCs w:val="22"/>
        </w:rPr>
        <w:t>aintenance of optimal refrigerant charge at the design specification of the compressor and condenser employed</w:t>
      </w:r>
      <w:r>
        <w:rPr>
          <w:szCs w:val="22"/>
        </w:rPr>
        <w:t xml:space="preserve"> in a piece of equipment</w:t>
      </w:r>
      <w:r w:rsidR="008C1339">
        <w:rPr>
          <w:szCs w:val="22"/>
        </w:rPr>
        <w:t xml:space="preserve"> ensure the most effi</w:t>
      </w:r>
      <w:r>
        <w:rPr>
          <w:szCs w:val="22"/>
        </w:rPr>
        <w:t>cient transfer of heat possible. However</w:t>
      </w:r>
      <w:r w:rsidR="008C1339">
        <w:rPr>
          <w:szCs w:val="22"/>
        </w:rPr>
        <w:t xml:space="preserve"> cleaning of air filters and removing grime from heat exchange surfaces are very simple measures that have a direct impact on energy efficiency in RAC equipmen</w:t>
      </w:r>
      <w:r>
        <w:rPr>
          <w:szCs w:val="22"/>
        </w:rPr>
        <w:t xml:space="preserve">t as well. Unfortunately even such simple cleaning of RAC equipment is often not done. </w:t>
      </w:r>
      <w:r w:rsidR="008C1339">
        <w:rPr>
          <w:szCs w:val="22"/>
        </w:rPr>
        <w:t xml:space="preserve">The HVAC HESS estimated in 2007 that just routine cleaning of </w:t>
      </w:r>
      <w:r>
        <w:rPr>
          <w:szCs w:val="22"/>
        </w:rPr>
        <w:t xml:space="preserve">heat exchange surfaces and changing of air filters in commercial HVAC systems in Australia could reduce energy related greenhouse gas emissions </w:t>
      </w:r>
      <w:r w:rsidR="005301C9">
        <w:rPr>
          <w:szCs w:val="22"/>
        </w:rPr>
        <w:t>significantly</w:t>
      </w:r>
      <w:r>
        <w:rPr>
          <w:szCs w:val="22"/>
        </w:rPr>
        <w:t>.</w:t>
      </w:r>
    </w:p>
    <w:p w14:paraId="388F5C1A" w14:textId="051CE433" w:rsidR="0068265E" w:rsidRDefault="0068265E" w:rsidP="0068265E"/>
    <w:p w14:paraId="5A53E169" w14:textId="132EE0C6" w:rsidR="00807CA8" w:rsidRDefault="0068265E" w:rsidP="007B6646">
      <w:pPr>
        <w:pStyle w:val="Heading2"/>
        <w:ind w:left="567" w:hanging="567"/>
      </w:pPr>
      <w:bookmarkStart w:id="67" w:name="_Toc233084160"/>
      <w:r w:rsidRPr="0068265E">
        <w:t xml:space="preserve">HVAC </w:t>
      </w:r>
      <w:r>
        <w:t>e</w:t>
      </w:r>
      <w:r w:rsidRPr="0068265E">
        <w:t xml:space="preserve">nergy </w:t>
      </w:r>
      <w:r>
        <w:t>u</w:t>
      </w:r>
      <w:r w:rsidRPr="0068265E">
        <w:t xml:space="preserve">se in </w:t>
      </w:r>
      <w:r>
        <w:t>b</w:t>
      </w:r>
      <w:r w:rsidRPr="0068265E">
        <w:t>uildings</w:t>
      </w:r>
      <w:bookmarkEnd w:id="67"/>
    </w:p>
    <w:p w14:paraId="6B8BFBF6" w14:textId="77777777" w:rsidR="00CF4EED" w:rsidRPr="00CF4EED" w:rsidRDefault="00CF4EED" w:rsidP="00CF4EED">
      <w:pPr>
        <w:rPr>
          <w:szCs w:val="22"/>
        </w:rPr>
      </w:pPr>
      <w:r w:rsidRPr="00CF4EED">
        <w:rPr>
          <w:szCs w:val="22"/>
        </w:rPr>
        <w:t>There are few alternative sources of data available against which to check any of the outputs of the CHF2 model. However one recent study of energy use in commercial buildings does provide a very useful reference point against which to compare the CHF2 bottom up calculations.</w:t>
      </w:r>
    </w:p>
    <w:p w14:paraId="744DFB55" w14:textId="4FC20215" w:rsidR="00CF4EED" w:rsidRPr="00CF4EED" w:rsidRDefault="00CF4EED" w:rsidP="00CF4EED">
      <w:pPr>
        <w:rPr>
          <w:szCs w:val="22"/>
        </w:rPr>
      </w:pPr>
      <w:r w:rsidRPr="00CF4EED">
        <w:rPr>
          <w:szCs w:val="22"/>
        </w:rPr>
        <w:t xml:space="preserve">Prepared by ‘pitt&amp;sherry’, on behalf of the Department of Climate Change and Energy Efficiency, ‘Baseline Energy Consumption and Greenhouse Emissions in Commercial Buildings in Australia’ (CBBS), has been published as </w:t>
      </w:r>
      <w:r w:rsidR="00CB6C27">
        <w:rPr>
          <w:szCs w:val="22"/>
        </w:rPr>
        <w:t xml:space="preserve">a </w:t>
      </w:r>
      <w:r w:rsidRPr="00CF4EED">
        <w:rPr>
          <w:szCs w:val="22"/>
        </w:rPr>
        <w:t>reference work under the Creative Commons licence</w:t>
      </w:r>
      <w:r w:rsidR="006671F3">
        <w:rPr>
          <w:rStyle w:val="FootnoteReference"/>
          <w:szCs w:val="22"/>
        </w:rPr>
        <w:footnoteReference w:id="26"/>
      </w:r>
      <w:r w:rsidRPr="00CF4EED">
        <w:rPr>
          <w:szCs w:val="22"/>
        </w:rPr>
        <w:t xml:space="preserve"> so that researchers can use it as a common starting point for more detailed studies, and hopefully add to the body of knowledge in this field</w:t>
      </w:r>
      <w:r>
        <w:rPr>
          <w:szCs w:val="22"/>
        </w:rPr>
        <w:t xml:space="preserve"> (</w:t>
      </w:r>
      <w:r w:rsidRPr="00CF4EED">
        <w:rPr>
          <w:szCs w:val="22"/>
        </w:rPr>
        <w:t>DCCEE 2012b).</w:t>
      </w:r>
    </w:p>
    <w:p w14:paraId="6EAFEC87" w14:textId="77777777" w:rsidR="00CF4EED" w:rsidRPr="00CF4EED" w:rsidRDefault="00CF4EED" w:rsidP="00CF4EED">
      <w:pPr>
        <w:rPr>
          <w:szCs w:val="22"/>
        </w:rPr>
      </w:pPr>
      <w:r w:rsidRPr="00CF4EED">
        <w:rPr>
          <w:szCs w:val="22"/>
        </w:rPr>
        <w:t xml:space="preserve">The CBBS estimated total energy consumption in all commercial buildings in Australia to have been some 142.7 PJ in 2012, a figure that is predicted to rise to just under 170 PJ by 2020.  </w:t>
      </w:r>
    </w:p>
    <w:p w14:paraId="6E11F299" w14:textId="5EBADC11" w:rsidR="00CF4EED" w:rsidRPr="00CF4EED" w:rsidRDefault="00CF4EED" w:rsidP="00CF4EED">
      <w:pPr>
        <w:rPr>
          <w:szCs w:val="22"/>
        </w:rPr>
      </w:pPr>
      <w:r w:rsidRPr="00CF4EED">
        <w:rPr>
          <w:szCs w:val="22"/>
        </w:rPr>
        <w:t xml:space="preserve">Analysis of commercial building energy use in the 1990s, using data from a small selection of commercial and educational building energy audits, concluded at the time that as much as 30 per cent of energy in commercial buildings was being used in HVAC systems. </w:t>
      </w:r>
    </w:p>
    <w:p w14:paraId="4194C5A7" w14:textId="4C929BF9" w:rsidR="00CF4EED" w:rsidRPr="00CF4EED" w:rsidRDefault="00CF4EED" w:rsidP="00CF4EED">
      <w:pPr>
        <w:rPr>
          <w:szCs w:val="22"/>
        </w:rPr>
      </w:pPr>
      <w:r w:rsidRPr="00CF4EED">
        <w:rPr>
          <w:szCs w:val="22"/>
        </w:rPr>
        <w:t xml:space="preserve">The extensive CBBS analysis revises this estimate </w:t>
      </w:r>
      <w:r w:rsidR="00CB6C27">
        <w:rPr>
          <w:szCs w:val="22"/>
        </w:rPr>
        <w:t>upwards,</w:t>
      </w:r>
      <w:r w:rsidRPr="00CF4EED">
        <w:rPr>
          <w:szCs w:val="22"/>
        </w:rPr>
        <w:t xml:space="preserve"> calculat</w:t>
      </w:r>
      <w:r w:rsidR="00CB6C27">
        <w:rPr>
          <w:szCs w:val="22"/>
        </w:rPr>
        <w:t>ing</w:t>
      </w:r>
      <w:r w:rsidRPr="00CF4EED">
        <w:rPr>
          <w:szCs w:val="22"/>
        </w:rPr>
        <w:t xml:space="preserve"> that HVAC energy use in commercial buildings ranges from 40 per cent to 52 per cent depending o</w:t>
      </w:r>
      <w:r>
        <w:rPr>
          <w:szCs w:val="22"/>
        </w:rPr>
        <w:t xml:space="preserve">f </w:t>
      </w:r>
      <w:r w:rsidRPr="00CF4EED">
        <w:rPr>
          <w:szCs w:val="22"/>
        </w:rPr>
        <w:t>the building use.</w:t>
      </w:r>
    </w:p>
    <w:p w14:paraId="036F6B11" w14:textId="77777777" w:rsidR="00CF4EED" w:rsidRPr="00CF4EED" w:rsidRDefault="00CF4EED" w:rsidP="00CF4EED">
      <w:pPr>
        <w:rPr>
          <w:szCs w:val="22"/>
        </w:rPr>
      </w:pPr>
      <w:r w:rsidRPr="00CF4EED">
        <w:rPr>
          <w:szCs w:val="22"/>
        </w:rPr>
        <w:t>The study which involved reviewing the energy consumption records and energy audits of more than 5,600 buildings, estimated that total non-residential non-industrial floor space in Australia in 2009 stood at approximately 143.3 million square metres.</w:t>
      </w:r>
    </w:p>
    <w:p w14:paraId="730F737E" w14:textId="754372D5" w:rsidR="0068265E" w:rsidRDefault="00CF4EED" w:rsidP="0068265E">
      <w:r w:rsidRPr="00CF4EED">
        <w:rPr>
          <w:szCs w:val="22"/>
        </w:rPr>
        <w:t xml:space="preserve">In terms of overall energy consumption, retail buildings accounted for the largest share of energy consumption in commercial buildings, consuming approximately 47 PJ or 35 per cent of the total (see </w:t>
      </w:r>
      <w:r w:rsidRPr="00D10AF8">
        <w:rPr>
          <w:i/>
          <w:szCs w:val="22"/>
        </w:rPr>
        <w:t>Figure 18</w:t>
      </w:r>
      <w:r w:rsidRPr="00CF4EED">
        <w:rPr>
          <w:szCs w:val="22"/>
        </w:rPr>
        <w:t>).  ‘Stand alone’ office buildings represented the second largest share with nearly 34 PJ or 25 per cent of the total energy consumption.</w:t>
      </w:r>
    </w:p>
    <w:p w14:paraId="32CEA202" w14:textId="77777777" w:rsidR="0068265E" w:rsidRDefault="0068265E" w:rsidP="0068265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68265E" w:rsidRPr="005D159D" w14:paraId="31CF1313" w14:textId="77777777" w:rsidTr="0068265E">
        <w:tc>
          <w:tcPr>
            <w:tcW w:w="9639" w:type="dxa"/>
            <w:vAlign w:val="center"/>
          </w:tcPr>
          <w:p w14:paraId="3C29FCAB" w14:textId="68F1AC72" w:rsidR="0068265E" w:rsidRPr="005D159D" w:rsidRDefault="0068265E" w:rsidP="0068265E">
            <w:pPr>
              <w:spacing w:after="120"/>
              <w:jc w:val="center"/>
              <w:rPr>
                <w:b/>
                <w:sz w:val="24"/>
              </w:rPr>
            </w:pPr>
            <w:r w:rsidRPr="005D159D">
              <w:rPr>
                <w:b/>
                <w:sz w:val="24"/>
              </w:rPr>
              <w:br w:type="page"/>
            </w:r>
            <w:r>
              <w:rPr>
                <w:b/>
                <w:sz w:val="24"/>
              </w:rPr>
              <w:t xml:space="preserve">Electricity </w:t>
            </w:r>
            <w:r w:rsidRPr="0068265E">
              <w:rPr>
                <w:b/>
                <w:sz w:val="24"/>
              </w:rPr>
              <w:t xml:space="preserve">consumption by </w:t>
            </w:r>
            <w:r>
              <w:rPr>
                <w:b/>
                <w:sz w:val="24"/>
              </w:rPr>
              <w:t xml:space="preserve">building type </w:t>
            </w:r>
            <w:r w:rsidRPr="0068265E">
              <w:rPr>
                <w:b/>
                <w:sz w:val="24"/>
              </w:rPr>
              <w:t>(</w:t>
            </w:r>
            <w:r>
              <w:rPr>
                <w:b/>
                <w:sz w:val="24"/>
              </w:rPr>
              <w:t>PJ</w:t>
            </w:r>
            <w:r w:rsidRPr="0068265E">
              <w:rPr>
                <w:b/>
                <w:sz w:val="24"/>
              </w:rPr>
              <w:t>)</w:t>
            </w:r>
          </w:p>
        </w:tc>
      </w:tr>
      <w:tr w:rsidR="0068265E" w:rsidRPr="00BD20BC" w14:paraId="6771602E" w14:textId="77777777" w:rsidTr="0068265E">
        <w:tc>
          <w:tcPr>
            <w:tcW w:w="9639" w:type="dxa"/>
            <w:vAlign w:val="center"/>
          </w:tcPr>
          <w:p w14:paraId="701B8968" w14:textId="77777777" w:rsidR="0068265E" w:rsidRDefault="0068265E" w:rsidP="0068265E">
            <w:pPr>
              <w:jc w:val="center"/>
              <w:rPr>
                <w:sz w:val="16"/>
                <w:szCs w:val="16"/>
              </w:rPr>
            </w:pPr>
          </w:p>
          <w:p w14:paraId="6B733BE3" w14:textId="7304C170" w:rsidR="0068265E" w:rsidRDefault="00F27CE6" w:rsidP="0068265E">
            <w:pPr>
              <w:jc w:val="center"/>
              <w:rPr>
                <w:sz w:val="16"/>
                <w:szCs w:val="16"/>
              </w:rPr>
            </w:pPr>
            <w:r w:rsidRPr="003271A9">
              <w:rPr>
                <w:rFonts w:eastAsia="Trebuchet MS"/>
                <w:noProof/>
                <w:lang w:val="en-US"/>
              </w:rPr>
              <w:drawing>
                <wp:inline distT="0" distB="0" distL="0" distR="0" wp14:anchorId="187DE3B8" wp14:editId="5866C814">
                  <wp:extent cx="4152938" cy="2878666"/>
                  <wp:effectExtent l="0" t="0" r="0" b="0"/>
                  <wp:docPr id="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ECD5CE4" w14:textId="77777777" w:rsidR="0068265E" w:rsidRPr="00BD20BC" w:rsidRDefault="0068265E" w:rsidP="0068265E">
            <w:pPr>
              <w:jc w:val="center"/>
              <w:rPr>
                <w:sz w:val="16"/>
                <w:szCs w:val="16"/>
              </w:rPr>
            </w:pPr>
          </w:p>
        </w:tc>
      </w:tr>
      <w:tr w:rsidR="0068265E" w:rsidRPr="00042727" w14:paraId="70264230" w14:textId="77777777" w:rsidTr="0068265E">
        <w:tc>
          <w:tcPr>
            <w:tcW w:w="9639" w:type="dxa"/>
            <w:vAlign w:val="center"/>
          </w:tcPr>
          <w:p w14:paraId="0383BE40" w14:textId="7775F303" w:rsidR="0068265E" w:rsidRPr="005D159D" w:rsidRDefault="0068265E" w:rsidP="0068265E">
            <w:pPr>
              <w:spacing w:before="60" w:after="60"/>
              <w:rPr>
                <w:i/>
              </w:rPr>
            </w:pPr>
            <w:bookmarkStart w:id="68" w:name="_Toc233083994"/>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18</w:t>
            </w:r>
            <w:r w:rsidRPr="005D159D">
              <w:rPr>
                <w:i/>
                <w:sz w:val="20"/>
              </w:rPr>
              <w:fldChar w:fldCharType="end"/>
            </w:r>
            <w:r w:rsidRPr="005D159D">
              <w:rPr>
                <w:i/>
                <w:sz w:val="20"/>
              </w:rPr>
              <w:t xml:space="preserve">: </w:t>
            </w:r>
            <w:r w:rsidRPr="0068265E">
              <w:rPr>
                <w:i/>
                <w:sz w:val="20"/>
              </w:rPr>
              <w:t xml:space="preserve">Total </w:t>
            </w:r>
            <w:r>
              <w:rPr>
                <w:i/>
                <w:sz w:val="20"/>
              </w:rPr>
              <w:t>e</w:t>
            </w:r>
            <w:r w:rsidRPr="0068265E">
              <w:rPr>
                <w:i/>
                <w:sz w:val="20"/>
              </w:rPr>
              <w:t xml:space="preserve">nergy </w:t>
            </w:r>
            <w:r>
              <w:rPr>
                <w:i/>
                <w:sz w:val="20"/>
              </w:rPr>
              <w:t>c</w:t>
            </w:r>
            <w:r w:rsidRPr="0068265E">
              <w:rPr>
                <w:i/>
                <w:sz w:val="20"/>
              </w:rPr>
              <w:t xml:space="preserve">onsumption by </w:t>
            </w:r>
            <w:r>
              <w:rPr>
                <w:i/>
                <w:sz w:val="20"/>
              </w:rPr>
              <w:t>b</w:t>
            </w:r>
            <w:r w:rsidRPr="0068265E">
              <w:rPr>
                <w:i/>
                <w:sz w:val="20"/>
              </w:rPr>
              <w:t xml:space="preserve">uilding </w:t>
            </w:r>
            <w:r>
              <w:rPr>
                <w:i/>
                <w:sz w:val="20"/>
              </w:rPr>
              <w:t>t</w:t>
            </w:r>
            <w:r w:rsidRPr="0068265E">
              <w:rPr>
                <w:i/>
                <w:sz w:val="20"/>
              </w:rPr>
              <w:t>ype</w:t>
            </w:r>
            <w:r>
              <w:rPr>
                <w:i/>
                <w:sz w:val="20"/>
              </w:rPr>
              <w:t xml:space="preserve"> in </w:t>
            </w:r>
            <w:r w:rsidRPr="0068265E">
              <w:rPr>
                <w:i/>
                <w:sz w:val="20"/>
              </w:rPr>
              <w:t>PJ</w:t>
            </w:r>
            <w:r>
              <w:rPr>
                <w:i/>
                <w:sz w:val="20"/>
              </w:rPr>
              <w:t xml:space="preserve"> and </w:t>
            </w:r>
            <w:r w:rsidRPr="0068265E">
              <w:rPr>
                <w:i/>
                <w:sz w:val="20"/>
              </w:rPr>
              <w:t>per cent</w:t>
            </w:r>
            <w:bookmarkEnd w:id="68"/>
          </w:p>
        </w:tc>
      </w:tr>
    </w:tbl>
    <w:p w14:paraId="048D22A7" w14:textId="762FFABB" w:rsidR="00FA5B51" w:rsidRPr="00FA5B51" w:rsidRDefault="00FA5B51" w:rsidP="00FA5B51">
      <w:pPr>
        <w:spacing w:before="0"/>
        <w:rPr>
          <w:sz w:val="20"/>
          <w:szCs w:val="20"/>
        </w:rPr>
      </w:pPr>
      <w:r w:rsidRPr="00FA5B51">
        <w:rPr>
          <w:sz w:val="20"/>
          <w:szCs w:val="20"/>
        </w:rPr>
        <w:t>(Source</w:t>
      </w:r>
      <w:r>
        <w:rPr>
          <w:sz w:val="20"/>
          <w:szCs w:val="20"/>
        </w:rPr>
        <w:t>:</w:t>
      </w:r>
      <w:r w:rsidRPr="00FA5B51">
        <w:rPr>
          <w:sz w:val="20"/>
          <w:szCs w:val="20"/>
        </w:rPr>
        <w:t xml:space="preserve"> DCCEE 2012b</w:t>
      </w:r>
      <w:r w:rsidR="00D10AF8">
        <w:rPr>
          <w:sz w:val="20"/>
          <w:szCs w:val="20"/>
        </w:rPr>
        <w:t>, CBBS Volume 1, page 5</w:t>
      </w:r>
      <w:r w:rsidRPr="00FA5B51">
        <w:rPr>
          <w:sz w:val="20"/>
          <w:szCs w:val="20"/>
        </w:rPr>
        <w:t>)</w:t>
      </w:r>
    </w:p>
    <w:p w14:paraId="0BF1D8DD" w14:textId="5ED5AB2C" w:rsidR="00D10AF8" w:rsidRPr="00D10AF8" w:rsidRDefault="00D10AF8" w:rsidP="00D10AF8">
      <w:pPr>
        <w:rPr>
          <w:szCs w:val="22"/>
        </w:rPr>
      </w:pPr>
      <w:r w:rsidRPr="00D10AF8">
        <w:rPr>
          <w:szCs w:val="22"/>
        </w:rPr>
        <w:t>However, if ‘non-stand-alone’ offices are also considered, that is office space situated in mixed use buildings, total energy consumption in offices in Australia could be significantly higher by approximately 26 PJ</w:t>
      </w:r>
      <w:r w:rsidR="00CB6C27">
        <w:rPr>
          <w:szCs w:val="22"/>
        </w:rPr>
        <w:t>.</w:t>
      </w:r>
      <w:r w:rsidR="00D36EB6">
        <w:rPr>
          <w:szCs w:val="22"/>
        </w:rPr>
        <w:t xml:space="preserve"> </w:t>
      </w:r>
      <w:r w:rsidR="00CB6C27">
        <w:rPr>
          <w:szCs w:val="22"/>
        </w:rPr>
        <w:t>T</w:t>
      </w:r>
      <w:r w:rsidRPr="00D10AF8">
        <w:rPr>
          <w:szCs w:val="22"/>
        </w:rPr>
        <w:t xml:space="preserve">his would </w:t>
      </w:r>
      <w:r w:rsidR="00CB6C27">
        <w:rPr>
          <w:szCs w:val="22"/>
        </w:rPr>
        <w:t xml:space="preserve">mean </w:t>
      </w:r>
      <w:r w:rsidRPr="00D10AF8">
        <w:rPr>
          <w:szCs w:val="22"/>
        </w:rPr>
        <w:t xml:space="preserve">total energy </w:t>
      </w:r>
      <w:r w:rsidR="00CB6C27">
        <w:rPr>
          <w:szCs w:val="22"/>
        </w:rPr>
        <w:t xml:space="preserve">use </w:t>
      </w:r>
      <w:r w:rsidRPr="00D10AF8">
        <w:rPr>
          <w:szCs w:val="22"/>
        </w:rPr>
        <w:t xml:space="preserve">in all office building types in Australia </w:t>
      </w:r>
      <w:r w:rsidR="00CB6C27">
        <w:rPr>
          <w:szCs w:val="22"/>
        </w:rPr>
        <w:t>is</w:t>
      </w:r>
      <w:r w:rsidRPr="00D10AF8">
        <w:rPr>
          <w:szCs w:val="22"/>
        </w:rPr>
        <w:t xml:space="preserve"> nearly 60</w:t>
      </w:r>
      <w:r w:rsidR="0049214B">
        <w:rPr>
          <w:szCs w:val="22"/>
        </w:rPr>
        <w:t xml:space="preserve"> </w:t>
      </w:r>
      <w:r w:rsidRPr="00D10AF8">
        <w:rPr>
          <w:szCs w:val="22"/>
        </w:rPr>
        <w:t>P</w:t>
      </w:r>
      <w:r>
        <w:rPr>
          <w:szCs w:val="22"/>
        </w:rPr>
        <w:t>J</w:t>
      </w:r>
      <w:r w:rsidRPr="00D10AF8">
        <w:rPr>
          <w:szCs w:val="22"/>
        </w:rPr>
        <w:t xml:space="preserve">, much greater than that in retail buildings.  </w:t>
      </w:r>
    </w:p>
    <w:p w14:paraId="58195D2B" w14:textId="77777777" w:rsidR="00D10AF8" w:rsidRPr="00D10AF8" w:rsidRDefault="00D10AF8" w:rsidP="00D10AF8">
      <w:pPr>
        <w:rPr>
          <w:szCs w:val="22"/>
        </w:rPr>
      </w:pPr>
      <w:r w:rsidRPr="00D10AF8">
        <w:rPr>
          <w:szCs w:val="22"/>
        </w:rPr>
        <w:t xml:space="preserve">The study uncovered sufficient detailed energy use data in office buildings to determine that around 83 per cent of all energy used in office buildings is electrical with the balance provided by gas. More than half of the gas consumed is used for space heating as illustrated in </w:t>
      </w:r>
      <w:r w:rsidRPr="00D10AF8">
        <w:rPr>
          <w:i/>
          <w:szCs w:val="22"/>
        </w:rPr>
        <w:t>Figure 19</w:t>
      </w:r>
      <w:r w:rsidRPr="00D10AF8">
        <w:rPr>
          <w:szCs w:val="22"/>
        </w:rPr>
        <w:t>.</w:t>
      </w:r>
    </w:p>
    <w:p w14:paraId="5CE34B52" w14:textId="77777777" w:rsidR="00774C96" w:rsidRDefault="00774C96" w:rsidP="00774C96"/>
    <w:p w14:paraId="38C03DBB" w14:textId="77777777" w:rsidR="00F27CE6" w:rsidRDefault="00F27CE6" w:rsidP="00774C96"/>
    <w:p w14:paraId="420CF5F8" w14:textId="77777777" w:rsidR="00F27CE6" w:rsidRDefault="00F27CE6" w:rsidP="00774C96"/>
    <w:p w14:paraId="0644F3B4" w14:textId="77777777" w:rsidR="00F27CE6" w:rsidRDefault="00F27CE6" w:rsidP="00774C96"/>
    <w:p w14:paraId="1E45F43E" w14:textId="77777777" w:rsidR="00F27CE6" w:rsidRDefault="00F27CE6" w:rsidP="00774C96"/>
    <w:p w14:paraId="7CB7BCAC" w14:textId="77777777" w:rsidR="00F27CE6" w:rsidRDefault="00F27CE6" w:rsidP="00774C96"/>
    <w:p w14:paraId="2FCDFDA2" w14:textId="77777777" w:rsidR="00F27CE6" w:rsidRDefault="00F27CE6" w:rsidP="00774C96"/>
    <w:p w14:paraId="0C88001A" w14:textId="77777777" w:rsidR="00F27CE6" w:rsidRDefault="00F27CE6" w:rsidP="00774C96"/>
    <w:p w14:paraId="5878AD86" w14:textId="77777777" w:rsidR="00F27CE6" w:rsidRDefault="00F27CE6" w:rsidP="00774C96"/>
    <w:p w14:paraId="28A5E3D8" w14:textId="77777777" w:rsidR="00F27CE6" w:rsidRDefault="00F27CE6" w:rsidP="00774C96"/>
    <w:p w14:paraId="7F229A19" w14:textId="77777777" w:rsidR="00F27CE6" w:rsidRDefault="00F27CE6" w:rsidP="00774C96"/>
    <w:p w14:paraId="6D7EBFF8" w14:textId="77777777" w:rsidR="00F27CE6" w:rsidRDefault="00F27CE6" w:rsidP="00774C96"/>
    <w:p w14:paraId="329775EB" w14:textId="77777777" w:rsidR="00F27CE6" w:rsidRDefault="00F27CE6" w:rsidP="00774C9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774C96" w:rsidRPr="005D159D" w14:paraId="5FDA9155" w14:textId="77777777" w:rsidTr="00A2756C">
        <w:tc>
          <w:tcPr>
            <w:tcW w:w="9639" w:type="dxa"/>
            <w:vAlign w:val="center"/>
          </w:tcPr>
          <w:p w14:paraId="16CD5FA2" w14:textId="49812DE5" w:rsidR="00774C96" w:rsidRPr="005D159D" w:rsidRDefault="00774C96" w:rsidP="00774C96">
            <w:pPr>
              <w:spacing w:after="120"/>
              <w:jc w:val="center"/>
              <w:rPr>
                <w:b/>
                <w:sz w:val="24"/>
              </w:rPr>
            </w:pPr>
            <w:r w:rsidRPr="005D159D">
              <w:rPr>
                <w:b/>
                <w:sz w:val="24"/>
              </w:rPr>
              <w:lastRenderedPageBreak/>
              <w:br w:type="page"/>
            </w:r>
            <w:r>
              <w:rPr>
                <w:b/>
                <w:sz w:val="24"/>
              </w:rPr>
              <w:t>Natural gas consumption end-use shares 1999 to 2012</w:t>
            </w:r>
          </w:p>
        </w:tc>
      </w:tr>
      <w:tr w:rsidR="00774C96" w:rsidRPr="00BD20BC" w14:paraId="68620BCC" w14:textId="77777777" w:rsidTr="00A2756C">
        <w:tc>
          <w:tcPr>
            <w:tcW w:w="9639" w:type="dxa"/>
            <w:vAlign w:val="center"/>
          </w:tcPr>
          <w:p w14:paraId="5F064EA8" w14:textId="77777777" w:rsidR="00774C96" w:rsidRDefault="00774C96" w:rsidP="00A2756C">
            <w:pPr>
              <w:jc w:val="center"/>
              <w:rPr>
                <w:sz w:val="16"/>
                <w:szCs w:val="16"/>
              </w:rPr>
            </w:pPr>
          </w:p>
          <w:p w14:paraId="100468A3" w14:textId="5C43C747" w:rsidR="00774C96" w:rsidRDefault="00F27CE6" w:rsidP="00A2756C">
            <w:pPr>
              <w:jc w:val="center"/>
              <w:rPr>
                <w:sz w:val="16"/>
                <w:szCs w:val="16"/>
              </w:rPr>
            </w:pPr>
            <w:r w:rsidRPr="00C179A2">
              <w:rPr>
                <w:rFonts w:eastAsia="Trebuchet MS"/>
                <w:noProof/>
                <w:lang w:val="en-US"/>
              </w:rPr>
              <w:drawing>
                <wp:inline distT="0" distB="0" distL="0" distR="0" wp14:anchorId="2F40DB11" wp14:editId="5B4A02AF">
                  <wp:extent cx="4248150" cy="2762250"/>
                  <wp:effectExtent l="0" t="0" r="0" b="6350"/>
                  <wp:docPr id="7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42EF462" w14:textId="77777777" w:rsidR="00774C96" w:rsidRPr="00BD20BC" w:rsidRDefault="00774C96" w:rsidP="00A2756C">
            <w:pPr>
              <w:jc w:val="center"/>
              <w:rPr>
                <w:sz w:val="16"/>
                <w:szCs w:val="16"/>
              </w:rPr>
            </w:pPr>
          </w:p>
        </w:tc>
      </w:tr>
      <w:tr w:rsidR="00774C96" w:rsidRPr="00042727" w14:paraId="7945EEB0" w14:textId="77777777" w:rsidTr="00A2756C">
        <w:tc>
          <w:tcPr>
            <w:tcW w:w="9639" w:type="dxa"/>
            <w:vAlign w:val="center"/>
          </w:tcPr>
          <w:p w14:paraId="146B73CB" w14:textId="184F0160" w:rsidR="00774C96" w:rsidRPr="005D159D" w:rsidRDefault="00774C96" w:rsidP="00774C96">
            <w:pPr>
              <w:spacing w:before="60" w:after="60"/>
              <w:rPr>
                <w:i/>
              </w:rPr>
            </w:pPr>
            <w:bookmarkStart w:id="69" w:name="_Toc233083995"/>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19</w:t>
            </w:r>
            <w:r w:rsidRPr="005D159D">
              <w:rPr>
                <w:i/>
                <w:sz w:val="20"/>
              </w:rPr>
              <w:fldChar w:fldCharType="end"/>
            </w:r>
            <w:r w:rsidRPr="005D159D">
              <w:rPr>
                <w:i/>
                <w:sz w:val="20"/>
              </w:rPr>
              <w:t xml:space="preserve">: </w:t>
            </w:r>
            <w:r w:rsidRPr="00774C96">
              <w:rPr>
                <w:i/>
                <w:sz w:val="20"/>
              </w:rPr>
              <w:t xml:space="preserve">Offices (All), </w:t>
            </w:r>
            <w:r>
              <w:rPr>
                <w:i/>
                <w:sz w:val="20"/>
              </w:rPr>
              <w:t>n</w:t>
            </w:r>
            <w:r w:rsidRPr="00774C96">
              <w:rPr>
                <w:i/>
                <w:sz w:val="20"/>
              </w:rPr>
              <w:t xml:space="preserve">atural </w:t>
            </w:r>
            <w:r>
              <w:rPr>
                <w:i/>
                <w:sz w:val="20"/>
              </w:rPr>
              <w:t>g</w:t>
            </w:r>
            <w:r w:rsidRPr="00774C96">
              <w:rPr>
                <w:i/>
                <w:sz w:val="20"/>
              </w:rPr>
              <w:t xml:space="preserve">as </w:t>
            </w:r>
            <w:r>
              <w:rPr>
                <w:i/>
                <w:sz w:val="20"/>
              </w:rPr>
              <w:t>consumption e</w:t>
            </w:r>
            <w:r w:rsidRPr="00774C96">
              <w:rPr>
                <w:i/>
                <w:sz w:val="20"/>
              </w:rPr>
              <w:t>nd-</w:t>
            </w:r>
            <w:r>
              <w:rPr>
                <w:i/>
                <w:sz w:val="20"/>
              </w:rPr>
              <w:t>u</w:t>
            </w:r>
            <w:r w:rsidRPr="00774C96">
              <w:rPr>
                <w:i/>
                <w:sz w:val="20"/>
              </w:rPr>
              <w:t xml:space="preserve">se </w:t>
            </w:r>
            <w:r>
              <w:rPr>
                <w:i/>
                <w:sz w:val="20"/>
              </w:rPr>
              <w:t>s</w:t>
            </w:r>
            <w:r w:rsidRPr="00774C96">
              <w:rPr>
                <w:i/>
                <w:sz w:val="20"/>
              </w:rPr>
              <w:t>hares, 1999 - 2012</w:t>
            </w:r>
            <w:bookmarkEnd w:id="69"/>
          </w:p>
        </w:tc>
      </w:tr>
    </w:tbl>
    <w:p w14:paraId="63F0234C" w14:textId="0E87144C" w:rsidR="00D10AF8" w:rsidRPr="00FA5B51" w:rsidRDefault="00D10AF8" w:rsidP="00D10AF8">
      <w:pPr>
        <w:spacing w:before="0"/>
        <w:rPr>
          <w:sz w:val="20"/>
          <w:szCs w:val="20"/>
        </w:rPr>
      </w:pPr>
      <w:r w:rsidRPr="00FA5B51">
        <w:rPr>
          <w:sz w:val="20"/>
          <w:szCs w:val="20"/>
        </w:rPr>
        <w:t>(Source</w:t>
      </w:r>
      <w:r>
        <w:rPr>
          <w:sz w:val="20"/>
          <w:szCs w:val="20"/>
        </w:rPr>
        <w:t>:</w:t>
      </w:r>
      <w:r w:rsidRPr="00FA5B51">
        <w:rPr>
          <w:sz w:val="20"/>
          <w:szCs w:val="20"/>
        </w:rPr>
        <w:t xml:space="preserve"> DCCEE 2012b</w:t>
      </w:r>
      <w:r>
        <w:rPr>
          <w:sz w:val="20"/>
          <w:szCs w:val="20"/>
        </w:rPr>
        <w:t>, CBBS Volume 1, page 45</w:t>
      </w:r>
      <w:r w:rsidRPr="00FA5B51">
        <w:rPr>
          <w:sz w:val="20"/>
          <w:szCs w:val="20"/>
        </w:rPr>
        <w:t>)</w:t>
      </w:r>
    </w:p>
    <w:p w14:paraId="0AE2BBC5" w14:textId="1451EF34" w:rsidR="00774C96" w:rsidRDefault="00D10AF8" w:rsidP="00774C96">
      <w:r w:rsidRPr="00D10AF8">
        <w:rPr>
          <w:szCs w:val="22"/>
        </w:rPr>
        <w:t>CBBS also calculates the end-uses</w:t>
      </w:r>
      <w:r w:rsidR="00CB6C27">
        <w:rPr>
          <w:szCs w:val="22"/>
        </w:rPr>
        <w:t xml:space="preserve"> of electricity</w:t>
      </w:r>
      <w:r w:rsidRPr="00D10AF8">
        <w:rPr>
          <w:szCs w:val="22"/>
        </w:rPr>
        <w:t xml:space="preserve"> in offices, and concluded that 43 per cent of electricity used in office buildings is consumed for HVAC services as illustrated in </w:t>
      </w:r>
      <w:r w:rsidRPr="00EB7732">
        <w:rPr>
          <w:i/>
          <w:szCs w:val="22"/>
        </w:rPr>
        <w:t>Figure 20</w:t>
      </w:r>
      <w:r w:rsidRPr="00D10AF8">
        <w:rPr>
          <w:szCs w:val="22"/>
        </w:rPr>
        <w:t>.</w:t>
      </w:r>
    </w:p>
    <w:p w14:paraId="24CE8231" w14:textId="77777777" w:rsidR="00774C96" w:rsidRDefault="00774C96" w:rsidP="00774C9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774C96" w:rsidRPr="005D159D" w14:paraId="4810A495" w14:textId="77777777" w:rsidTr="00A2756C">
        <w:tc>
          <w:tcPr>
            <w:tcW w:w="9639" w:type="dxa"/>
            <w:vAlign w:val="center"/>
          </w:tcPr>
          <w:p w14:paraId="216558E9" w14:textId="2337F895" w:rsidR="00774C96" w:rsidRPr="005D159D" w:rsidRDefault="00774C96" w:rsidP="00774C96">
            <w:pPr>
              <w:spacing w:after="120"/>
              <w:jc w:val="center"/>
              <w:rPr>
                <w:b/>
                <w:sz w:val="24"/>
              </w:rPr>
            </w:pPr>
            <w:r w:rsidRPr="005D159D">
              <w:rPr>
                <w:b/>
                <w:sz w:val="24"/>
              </w:rPr>
              <w:br w:type="page"/>
            </w:r>
            <w:r>
              <w:rPr>
                <w:b/>
                <w:sz w:val="24"/>
              </w:rPr>
              <w:t xml:space="preserve">Electricity </w:t>
            </w:r>
            <w:r w:rsidRPr="0068265E">
              <w:rPr>
                <w:b/>
                <w:sz w:val="24"/>
              </w:rPr>
              <w:t>consumption</w:t>
            </w:r>
            <w:r>
              <w:rPr>
                <w:b/>
                <w:sz w:val="24"/>
              </w:rPr>
              <w:t xml:space="preserve"> end-use shares 1999 to 2012</w:t>
            </w:r>
          </w:p>
        </w:tc>
      </w:tr>
      <w:tr w:rsidR="00774C96" w:rsidRPr="00BD20BC" w14:paraId="5CE7B539" w14:textId="77777777" w:rsidTr="00A2756C">
        <w:tc>
          <w:tcPr>
            <w:tcW w:w="9639" w:type="dxa"/>
            <w:vAlign w:val="center"/>
          </w:tcPr>
          <w:p w14:paraId="4186BBF9" w14:textId="77777777" w:rsidR="00774C96" w:rsidRDefault="00774C96" w:rsidP="00A2756C">
            <w:pPr>
              <w:jc w:val="center"/>
              <w:rPr>
                <w:sz w:val="16"/>
                <w:szCs w:val="16"/>
              </w:rPr>
            </w:pPr>
          </w:p>
          <w:p w14:paraId="68E6231C" w14:textId="111989AA" w:rsidR="00774C96" w:rsidRDefault="00F27CE6" w:rsidP="00A2756C">
            <w:pPr>
              <w:jc w:val="center"/>
              <w:rPr>
                <w:sz w:val="16"/>
                <w:szCs w:val="16"/>
              </w:rPr>
            </w:pPr>
            <w:r w:rsidRPr="00115864">
              <w:rPr>
                <w:rFonts w:eastAsia="Arial Narrow"/>
                <w:noProof/>
                <w:color w:val="FFFFFF" w:themeColor="background1"/>
                <w:szCs w:val="20"/>
                <w:lang w:val="en-US"/>
              </w:rPr>
              <w:drawing>
                <wp:inline distT="0" distB="0" distL="0" distR="0" wp14:anchorId="1BC30172" wp14:editId="231B3F38">
                  <wp:extent cx="4700587" cy="2738438"/>
                  <wp:effectExtent l="0" t="0" r="0" b="0"/>
                  <wp:docPr id="95"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FDDD957" w14:textId="77777777" w:rsidR="00774C96" w:rsidRPr="00BD20BC" w:rsidRDefault="00774C96" w:rsidP="00A2756C">
            <w:pPr>
              <w:jc w:val="center"/>
              <w:rPr>
                <w:sz w:val="16"/>
                <w:szCs w:val="16"/>
              </w:rPr>
            </w:pPr>
          </w:p>
        </w:tc>
      </w:tr>
      <w:tr w:rsidR="00774C96" w:rsidRPr="00042727" w14:paraId="2C2ABF16" w14:textId="77777777" w:rsidTr="00A2756C">
        <w:tc>
          <w:tcPr>
            <w:tcW w:w="9639" w:type="dxa"/>
            <w:vAlign w:val="center"/>
          </w:tcPr>
          <w:p w14:paraId="402024A6" w14:textId="75096345" w:rsidR="00774C96" w:rsidRPr="005D159D" w:rsidRDefault="00774C96" w:rsidP="00774C96">
            <w:pPr>
              <w:spacing w:before="60" w:after="60"/>
              <w:rPr>
                <w:i/>
              </w:rPr>
            </w:pPr>
            <w:bookmarkStart w:id="70" w:name="_Toc233083996"/>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20</w:t>
            </w:r>
            <w:r w:rsidRPr="005D159D">
              <w:rPr>
                <w:i/>
                <w:sz w:val="20"/>
              </w:rPr>
              <w:fldChar w:fldCharType="end"/>
            </w:r>
            <w:r w:rsidRPr="005D159D">
              <w:rPr>
                <w:i/>
                <w:sz w:val="20"/>
              </w:rPr>
              <w:t xml:space="preserve">: </w:t>
            </w:r>
            <w:r w:rsidRPr="00774C96">
              <w:rPr>
                <w:i/>
                <w:sz w:val="20"/>
              </w:rPr>
              <w:t xml:space="preserve">Offices (All), </w:t>
            </w:r>
            <w:r>
              <w:rPr>
                <w:i/>
                <w:sz w:val="20"/>
              </w:rPr>
              <w:t>electricity consumption e</w:t>
            </w:r>
            <w:r w:rsidRPr="00774C96">
              <w:rPr>
                <w:i/>
                <w:sz w:val="20"/>
              </w:rPr>
              <w:t>nd-</w:t>
            </w:r>
            <w:r>
              <w:rPr>
                <w:i/>
                <w:sz w:val="20"/>
              </w:rPr>
              <w:t>u</w:t>
            </w:r>
            <w:r w:rsidRPr="00774C96">
              <w:rPr>
                <w:i/>
                <w:sz w:val="20"/>
              </w:rPr>
              <w:t xml:space="preserve">se </w:t>
            </w:r>
            <w:r>
              <w:rPr>
                <w:i/>
                <w:sz w:val="20"/>
              </w:rPr>
              <w:t>s</w:t>
            </w:r>
            <w:r w:rsidRPr="00774C96">
              <w:rPr>
                <w:i/>
                <w:sz w:val="20"/>
              </w:rPr>
              <w:t>hares, 1999 - 2012</w:t>
            </w:r>
            <w:bookmarkEnd w:id="70"/>
          </w:p>
        </w:tc>
      </w:tr>
    </w:tbl>
    <w:p w14:paraId="09091208" w14:textId="77777777" w:rsidR="00EB7732" w:rsidRPr="00FA5B51" w:rsidRDefault="00EB7732" w:rsidP="00EB7732">
      <w:pPr>
        <w:spacing w:before="0"/>
        <w:rPr>
          <w:sz w:val="20"/>
          <w:szCs w:val="20"/>
        </w:rPr>
      </w:pPr>
      <w:r w:rsidRPr="00FA5B51">
        <w:rPr>
          <w:sz w:val="20"/>
          <w:szCs w:val="20"/>
        </w:rPr>
        <w:t>(Source</w:t>
      </w:r>
      <w:r>
        <w:rPr>
          <w:sz w:val="20"/>
          <w:szCs w:val="20"/>
        </w:rPr>
        <w:t>:</w:t>
      </w:r>
      <w:r w:rsidRPr="00FA5B51">
        <w:rPr>
          <w:sz w:val="20"/>
          <w:szCs w:val="20"/>
        </w:rPr>
        <w:t xml:space="preserve"> DCCEE 2012b</w:t>
      </w:r>
      <w:r>
        <w:rPr>
          <w:sz w:val="20"/>
          <w:szCs w:val="20"/>
        </w:rPr>
        <w:t xml:space="preserve">, CBBS Volume 1, page </w:t>
      </w:r>
      <w:r w:rsidRPr="00B028BE">
        <w:rPr>
          <w:sz w:val="20"/>
          <w:szCs w:val="20"/>
        </w:rPr>
        <w:t>45</w:t>
      </w:r>
      <w:r w:rsidRPr="00FA5B51">
        <w:rPr>
          <w:sz w:val="20"/>
          <w:szCs w:val="20"/>
        </w:rPr>
        <w:t>)</w:t>
      </w:r>
    </w:p>
    <w:p w14:paraId="363F6785" w14:textId="17D87A40" w:rsidR="0049008B" w:rsidRPr="00B00DEB" w:rsidRDefault="00EB7732" w:rsidP="00EB7732">
      <w:pPr>
        <w:spacing w:before="240"/>
        <w:rPr>
          <w:szCs w:val="22"/>
        </w:rPr>
      </w:pPr>
      <w:r w:rsidRPr="0049008B">
        <w:rPr>
          <w:szCs w:val="22"/>
        </w:rPr>
        <w:lastRenderedPageBreak/>
        <w:t>While it is not possible to determine exactly how much of the fan power used in ventilation is used to distribute heated air (as opposed to being used in dis</w:t>
      </w:r>
      <w:r w:rsidRPr="0007306E">
        <w:rPr>
          <w:szCs w:val="22"/>
        </w:rPr>
        <w:t>tributing cool air), based on anecdotal evidence and first hand experience, the vast majority of fan power throughout the year, even in build</w:t>
      </w:r>
      <w:r w:rsidRPr="0049008B">
        <w:rPr>
          <w:szCs w:val="22"/>
        </w:rPr>
        <w:t>ings in cooler climates, is used in either removing heat</w:t>
      </w:r>
      <w:r w:rsidR="00F94BC5" w:rsidRPr="0049008B">
        <w:rPr>
          <w:szCs w:val="22"/>
        </w:rPr>
        <w:t xml:space="preserve"> (cooling)</w:t>
      </w:r>
      <w:r w:rsidRPr="0049008B">
        <w:rPr>
          <w:szCs w:val="22"/>
        </w:rPr>
        <w:t xml:space="preserve">, or distributing cool air. </w:t>
      </w:r>
    </w:p>
    <w:p w14:paraId="7A106488" w14:textId="2BAE52A6" w:rsidR="00EB7732" w:rsidRPr="0049008B" w:rsidRDefault="00C779CF" w:rsidP="00B00DEB">
      <w:pPr>
        <w:spacing w:before="240"/>
        <w:rPr>
          <w:szCs w:val="22"/>
        </w:rPr>
      </w:pPr>
      <w:r w:rsidRPr="00B00DEB">
        <w:rPr>
          <w:szCs w:val="22"/>
        </w:rPr>
        <w:t>F</w:t>
      </w:r>
      <w:r w:rsidR="00EB7732" w:rsidRPr="0049008B">
        <w:rPr>
          <w:szCs w:val="22"/>
        </w:rPr>
        <w:t>or the purposes of this exercise</w:t>
      </w:r>
      <w:r w:rsidR="0049008B" w:rsidRPr="00B00DEB">
        <w:rPr>
          <w:szCs w:val="22"/>
        </w:rPr>
        <w:t xml:space="preserve"> we have attributed </w:t>
      </w:r>
      <w:r w:rsidR="000443BD">
        <w:rPr>
          <w:szCs w:val="22"/>
        </w:rPr>
        <w:t xml:space="preserve">15 to 20 </w:t>
      </w:r>
      <w:r w:rsidR="00EB7732" w:rsidRPr="0049008B">
        <w:rPr>
          <w:szCs w:val="22"/>
        </w:rPr>
        <w:t>per cent of all electricity</w:t>
      </w:r>
      <w:r w:rsidR="0049008B" w:rsidRPr="00B00DEB">
        <w:rPr>
          <w:szCs w:val="22"/>
        </w:rPr>
        <w:t xml:space="preserve"> consumed in HVAC to</w:t>
      </w:r>
      <w:r w:rsidR="00EB7732" w:rsidRPr="0049008B">
        <w:rPr>
          <w:szCs w:val="22"/>
        </w:rPr>
        <w:t xml:space="preserve"> fans for distribution of </w:t>
      </w:r>
      <w:r w:rsidR="0049008B">
        <w:rPr>
          <w:szCs w:val="22"/>
        </w:rPr>
        <w:t>warm</w:t>
      </w:r>
      <w:r w:rsidR="00EB7732" w:rsidRPr="0049008B">
        <w:rPr>
          <w:szCs w:val="22"/>
        </w:rPr>
        <w:t xml:space="preserve"> air</w:t>
      </w:r>
      <w:r w:rsidR="0049008B">
        <w:rPr>
          <w:szCs w:val="22"/>
        </w:rPr>
        <w:t xml:space="preserve"> for space heating</w:t>
      </w:r>
      <w:r w:rsidR="00EB7732" w:rsidRPr="0049008B">
        <w:rPr>
          <w:szCs w:val="22"/>
        </w:rPr>
        <w:t>.</w:t>
      </w:r>
      <w:r w:rsidR="00410DFA" w:rsidRPr="0049008B">
        <w:rPr>
          <w:rStyle w:val="FootnoteReference"/>
          <w:szCs w:val="22"/>
        </w:rPr>
        <w:footnoteReference w:id="27"/>
      </w:r>
      <w:r w:rsidR="0049008B" w:rsidRPr="00B00DEB">
        <w:rPr>
          <w:szCs w:val="22"/>
        </w:rPr>
        <w:t xml:space="preserve"> This is equivalent to </w:t>
      </w:r>
      <w:r w:rsidR="000443BD">
        <w:rPr>
          <w:szCs w:val="22"/>
        </w:rPr>
        <w:t xml:space="preserve">around </w:t>
      </w:r>
      <w:r w:rsidR="0049008B" w:rsidRPr="00B00DEB">
        <w:rPr>
          <w:szCs w:val="22"/>
        </w:rPr>
        <w:t>8 per cent of all electricity use in commercial buildings.</w:t>
      </w:r>
      <w:r w:rsidR="00B00DEB">
        <w:rPr>
          <w:szCs w:val="22"/>
        </w:rPr>
        <w:t xml:space="preserve"> </w:t>
      </w:r>
      <w:r w:rsidR="0049008B">
        <w:rPr>
          <w:szCs w:val="22"/>
        </w:rPr>
        <w:t xml:space="preserve">Subtracting this amount from total electrical use for HVAC in commercial buildings as calculated in the CBBS, </w:t>
      </w:r>
      <w:r w:rsidR="00EB7732" w:rsidRPr="0049008B">
        <w:rPr>
          <w:szCs w:val="22"/>
        </w:rPr>
        <w:t>we c</w:t>
      </w:r>
      <w:r w:rsidR="0049008B">
        <w:rPr>
          <w:szCs w:val="22"/>
        </w:rPr>
        <w:t>an</w:t>
      </w:r>
      <w:r w:rsidR="00EB7732" w:rsidRPr="0049008B">
        <w:rPr>
          <w:szCs w:val="22"/>
        </w:rPr>
        <w:t xml:space="preserve"> say that 35 per cent of all energy used in commercial buildings is used for air conditioning and cooling ventilation (ACCV), all of which is electrical.</w:t>
      </w:r>
    </w:p>
    <w:p w14:paraId="61EDC006" w14:textId="77777777" w:rsidR="00EB7732" w:rsidRPr="0049008B" w:rsidRDefault="00EB7732" w:rsidP="00EB7732">
      <w:pPr>
        <w:rPr>
          <w:szCs w:val="22"/>
        </w:rPr>
      </w:pPr>
      <w:r w:rsidRPr="0049008B">
        <w:rPr>
          <w:szCs w:val="22"/>
        </w:rPr>
        <w:t>Across all building types for which sufficient data was available to allow calculation of end-use energy shares, the building type that had the highest proportion of HVAC energy us</w:t>
      </w:r>
      <w:r w:rsidRPr="0007306E">
        <w:rPr>
          <w:szCs w:val="22"/>
        </w:rPr>
        <w:t>e was hotels, with 52 per cent, followed by universities at 50 per cent, hospitals at 47 per cent, public buildings at 47 per cent and schools at 27 per cent</w:t>
      </w:r>
      <w:r w:rsidRPr="0049008B">
        <w:rPr>
          <w:szCs w:val="22"/>
        </w:rPr>
        <w:t xml:space="preserve">. </w:t>
      </w:r>
    </w:p>
    <w:p w14:paraId="78EC8184" w14:textId="262DBE99" w:rsidR="00EB7732" w:rsidRPr="00EB7732" w:rsidRDefault="00EB7732" w:rsidP="00EB7732">
      <w:pPr>
        <w:rPr>
          <w:szCs w:val="22"/>
        </w:rPr>
      </w:pPr>
      <w:r w:rsidRPr="0049008B">
        <w:rPr>
          <w:szCs w:val="22"/>
        </w:rPr>
        <w:t>If we make a similar adjustment to these values to allow for fan energy used in distribution of warm air, the figures for ACCV are adjusted to: hotels, 44 per cent, Universities 42 per cent, hospitals 39 per cent</w:t>
      </w:r>
      <w:r w:rsidR="00C22DCB" w:rsidRPr="0049008B">
        <w:rPr>
          <w:szCs w:val="22"/>
        </w:rPr>
        <w:t xml:space="preserve"> and </w:t>
      </w:r>
      <w:r w:rsidRPr="0049008B">
        <w:rPr>
          <w:szCs w:val="22"/>
        </w:rPr>
        <w:t>public buildings 39 per cent</w:t>
      </w:r>
      <w:r w:rsidR="00C22DCB" w:rsidRPr="0049008B">
        <w:rPr>
          <w:szCs w:val="22"/>
        </w:rPr>
        <w:t xml:space="preserve">. </w:t>
      </w:r>
      <w:r w:rsidR="00C22DCB" w:rsidRPr="00B00DEB">
        <w:rPr>
          <w:szCs w:val="22"/>
        </w:rPr>
        <w:t>This adjustment is not required for s</w:t>
      </w:r>
      <w:r w:rsidRPr="00B00DEB">
        <w:rPr>
          <w:szCs w:val="22"/>
        </w:rPr>
        <w:t xml:space="preserve">chools </w:t>
      </w:r>
      <w:r w:rsidR="00C22DCB" w:rsidRPr="00B00DEB">
        <w:rPr>
          <w:szCs w:val="22"/>
        </w:rPr>
        <w:t>as they are rarely conditioned using chillers and boilers (typically split systems, gas space heaters, evaporative coolers and other unitary air conditioning equipment or systems)</w:t>
      </w:r>
      <w:r w:rsidR="00C22DCB" w:rsidRPr="0049008B">
        <w:rPr>
          <w:szCs w:val="22"/>
        </w:rPr>
        <w:t>.</w:t>
      </w:r>
    </w:p>
    <w:p w14:paraId="24318EE7" w14:textId="2A00D853" w:rsidR="00EB7732" w:rsidRPr="00EB7732" w:rsidRDefault="00EB7732" w:rsidP="00EB7732">
      <w:pPr>
        <w:rPr>
          <w:szCs w:val="22"/>
        </w:rPr>
      </w:pPr>
      <w:r w:rsidRPr="00EB7732">
        <w:rPr>
          <w:szCs w:val="22"/>
        </w:rPr>
        <w:t xml:space="preserve">Only average fuel mix observations were available for shopping centres rather than time series.  Taking all shopping centres as a whole, the average fuel mix was found to be completely dominated by electricity at around 97.5 per cent, with the balance accounted for by natural gas. Within shopping centre tenancies, electricity’s share on average is even higher, at over 99 per cent (natural gas is the balance).  </w:t>
      </w:r>
    </w:p>
    <w:p w14:paraId="1C4407C4" w14:textId="77777777" w:rsidR="00EB7732" w:rsidRPr="00EB7732" w:rsidRDefault="00EB7732" w:rsidP="00EB7732">
      <w:pPr>
        <w:rPr>
          <w:szCs w:val="22"/>
        </w:rPr>
      </w:pPr>
      <w:r w:rsidRPr="00EB7732">
        <w:rPr>
          <w:szCs w:val="22"/>
        </w:rPr>
        <w:t>No statistically significant end-use information was available in this data set, however it is likely that the modest amounts of gas consumed in shopping centres are associated with space heating, cooking and domestic hot water applications.</w:t>
      </w:r>
    </w:p>
    <w:p w14:paraId="78EAA77E" w14:textId="77777777" w:rsidR="00EB7732" w:rsidRPr="00EB7732" w:rsidRDefault="00EB7732" w:rsidP="00EB7732">
      <w:pPr>
        <w:rPr>
          <w:szCs w:val="22"/>
        </w:rPr>
      </w:pPr>
      <w:r w:rsidRPr="00EB7732">
        <w:rPr>
          <w:szCs w:val="22"/>
        </w:rPr>
        <w:t>Similar to shopping centres, supermarket energy consumption was found to be completely dominated by electricity, with an average for all supermarkets of over 99 per cent, with the balance being natural gas.</w:t>
      </w:r>
    </w:p>
    <w:p w14:paraId="5D287CF1" w14:textId="5C02ECB4" w:rsidR="00EB7732" w:rsidRPr="00EB7732" w:rsidRDefault="00EB7732" w:rsidP="00EB7732">
      <w:pPr>
        <w:rPr>
          <w:szCs w:val="22"/>
        </w:rPr>
      </w:pPr>
      <w:r w:rsidRPr="00EB7732">
        <w:rPr>
          <w:szCs w:val="22"/>
        </w:rPr>
        <w:t xml:space="preserve">Given the near absence of gas use, and insufficient data to arrive at energy end-use shares, for the purposes of this exercise we will allocate the average of the other three building types ACCV energy use </w:t>
      </w:r>
      <w:r w:rsidR="0049008B">
        <w:rPr>
          <w:szCs w:val="22"/>
        </w:rPr>
        <w:t xml:space="preserve">of </w:t>
      </w:r>
      <w:r w:rsidR="0049008B" w:rsidRPr="00EB7732">
        <w:rPr>
          <w:szCs w:val="22"/>
        </w:rPr>
        <w:t xml:space="preserve">41.5 per cent </w:t>
      </w:r>
      <w:r w:rsidRPr="00EB7732">
        <w:rPr>
          <w:szCs w:val="22"/>
        </w:rPr>
        <w:t xml:space="preserve">to </w:t>
      </w:r>
      <w:r w:rsidR="0049008B">
        <w:rPr>
          <w:szCs w:val="22"/>
        </w:rPr>
        <w:t xml:space="preserve">the </w:t>
      </w:r>
      <w:r w:rsidRPr="00EB7732">
        <w:rPr>
          <w:szCs w:val="22"/>
        </w:rPr>
        <w:t xml:space="preserve">ACCV energy use in shopping centres and supermarkets. By using these energy end-use shares we can calculate total ACCV energy use in the categories of buildings (non-residential, non-industrial) that the CBBS studied as set out in </w:t>
      </w:r>
      <w:r w:rsidRPr="00C22DCB">
        <w:rPr>
          <w:i/>
          <w:szCs w:val="22"/>
        </w:rPr>
        <w:t xml:space="preserve">Table </w:t>
      </w:r>
      <w:r w:rsidR="007E186B">
        <w:rPr>
          <w:i/>
          <w:szCs w:val="22"/>
        </w:rPr>
        <w:t>19</w:t>
      </w:r>
      <w:r w:rsidRPr="00EB7732">
        <w:rPr>
          <w:szCs w:val="22"/>
        </w:rPr>
        <w:t>.</w:t>
      </w:r>
    </w:p>
    <w:p w14:paraId="7164E5D5" w14:textId="77777777" w:rsidR="00FA5B51" w:rsidRDefault="00FA5B51" w:rsidP="00774C96">
      <w:pPr>
        <w:rPr>
          <w:szCs w:val="22"/>
        </w:rPr>
      </w:pPr>
    </w:p>
    <w:p w14:paraId="1C076460" w14:textId="474956FD" w:rsidR="00041B83" w:rsidRPr="00D16B26" w:rsidRDefault="00041B83" w:rsidP="00041B83">
      <w:pPr>
        <w:rPr>
          <w:i/>
          <w:szCs w:val="22"/>
        </w:rPr>
      </w:pPr>
      <w:bookmarkStart w:id="71" w:name="_Toc233084063"/>
      <w:r w:rsidRPr="00D16B26">
        <w:rPr>
          <w:i/>
          <w:szCs w:val="22"/>
        </w:rPr>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19</w:t>
      </w:r>
      <w:r w:rsidRPr="00D16B26">
        <w:rPr>
          <w:i/>
          <w:szCs w:val="22"/>
        </w:rPr>
        <w:fldChar w:fldCharType="end"/>
      </w:r>
      <w:r w:rsidRPr="00D16B26">
        <w:rPr>
          <w:i/>
          <w:szCs w:val="22"/>
        </w:rPr>
        <w:t xml:space="preserve">: </w:t>
      </w:r>
      <w:r w:rsidR="002764B9" w:rsidRPr="002764B9">
        <w:rPr>
          <w:i/>
          <w:szCs w:val="22"/>
        </w:rPr>
        <w:t xml:space="preserve">Total </w:t>
      </w:r>
      <w:r w:rsidR="002764B9">
        <w:rPr>
          <w:i/>
          <w:szCs w:val="22"/>
        </w:rPr>
        <w:t>a</w:t>
      </w:r>
      <w:r w:rsidR="002764B9" w:rsidRPr="002764B9">
        <w:rPr>
          <w:i/>
          <w:szCs w:val="22"/>
        </w:rPr>
        <w:t xml:space="preserve">ir conditioning and </w:t>
      </w:r>
      <w:r w:rsidR="002764B9">
        <w:rPr>
          <w:i/>
          <w:szCs w:val="22"/>
        </w:rPr>
        <w:t>c</w:t>
      </w:r>
      <w:r w:rsidR="002764B9" w:rsidRPr="002764B9">
        <w:rPr>
          <w:i/>
          <w:szCs w:val="22"/>
        </w:rPr>
        <w:t xml:space="preserve">ooling </w:t>
      </w:r>
      <w:r w:rsidR="002764B9">
        <w:rPr>
          <w:i/>
          <w:szCs w:val="22"/>
        </w:rPr>
        <w:t>v</w:t>
      </w:r>
      <w:r w:rsidR="002764B9" w:rsidRPr="002764B9">
        <w:rPr>
          <w:i/>
          <w:szCs w:val="22"/>
        </w:rPr>
        <w:t xml:space="preserve">entilation </w:t>
      </w:r>
      <w:r w:rsidR="002764B9">
        <w:rPr>
          <w:i/>
          <w:szCs w:val="22"/>
        </w:rPr>
        <w:t>e</w:t>
      </w:r>
      <w:r w:rsidR="002764B9" w:rsidRPr="002764B9">
        <w:rPr>
          <w:i/>
          <w:szCs w:val="22"/>
        </w:rPr>
        <w:t>nergy use in CBBS building stock</w:t>
      </w:r>
      <w:bookmarkEnd w:id="71"/>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410"/>
        <w:gridCol w:w="2268"/>
        <w:gridCol w:w="2551"/>
      </w:tblGrid>
      <w:tr w:rsidR="00041B83" w:rsidRPr="00923150" w14:paraId="3920A931" w14:textId="77777777" w:rsidTr="00041B83">
        <w:trPr>
          <w:trHeight w:val="456"/>
        </w:trPr>
        <w:tc>
          <w:tcPr>
            <w:tcW w:w="2410" w:type="dxa"/>
            <w:tcBorders>
              <w:top w:val="single" w:sz="4" w:space="0" w:color="000000"/>
              <w:right w:val="single" w:sz="4" w:space="0" w:color="FFFFFF" w:themeColor="background1"/>
            </w:tcBorders>
            <w:shd w:val="clear" w:color="auto" w:fill="000000"/>
            <w:vAlign w:val="center"/>
          </w:tcPr>
          <w:p w14:paraId="62A2657B" w14:textId="4BE7FF46" w:rsidR="00041B83" w:rsidRPr="003E19E1" w:rsidRDefault="00041B83" w:rsidP="00A2756C">
            <w:pPr>
              <w:spacing w:before="60" w:after="60"/>
              <w:jc w:val="left"/>
            </w:pPr>
            <w:r w:rsidRPr="00E93A27">
              <w:t>Building Type</w:t>
            </w:r>
          </w:p>
        </w:tc>
        <w:tc>
          <w:tcPr>
            <w:tcW w:w="2410"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0B1BF8C7" w14:textId="74AF3E12" w:rsidR="00041B83" w:rsidRPr="003E19E1" w:rsidRDefault="00041B83" w:rsidP="00041B83">
            <w:pPr>
              <w:spacing w:before="60" w:after="60"/>
              <w:jc w:val="left"/>
            </w:pPr>
            <w:r w:rsidRPr="00E93A27">
              <w:t xml:space="preserve">2012 Energy </w:t>
            </w:r>
            <w:r>
              <w:t>u</w:t>
            </w:r>
            <w:r w:rsidRPr="00E93A27">
              <w:t>se</w:t>
            </w:r>
            <w:r>
              <w:t xml:space="preserve"> (PJ)</w:t>
            </w:r>
          </w:p>
        </w:tc>
        <w:tc>
          <w:tcPr>
            <w:tcW w:w="2268"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4B239CA5" w14:textId="5B86F219" w:rsidR="00041B83" w:rsidRPr="003E19E1" w:rsidRDefault="00041B83" w:rsidP="00A2756C">
            <w:pPr>
              <w:spacing w:before="60" w:after="60"/>
              <w:jc w:val="left"/>
            </w:pPr>
            <w:r>
              <w:t>ACCV Energy use (%)</w:t>
            </w:r>
          </w:p>
        </w:tc>
        <w:tc>
          <w:tcPr>
            <w:tcW w:w="2551" w:type="dxa"/>
            <w:tcBorders>
              <w:top w:val="single" w:sz="4" w:space="0" w:color="000000"/>
              <w:left w:val="single" w:sz="4" w:space="0" w:color="FFFFFF" w:themeColor="background1"/>
            </w:tcBorders>
            <w:shd w:val="clear" w:color="auto" w:fill="000000"/>
            <w:vAlign w:val="center"/>
          </w:tcPr>
          <w:p w14:paraId="303D422E" w14:textId="61CEF481" w:rsidR="00041B83" w:rsidRPr="003F2CDC" w:rsidRDefault="00041B83" w:rsidP="00041B83">
            <w:pPr>
              <w:spacing w:before="60" w:after="60"/>
              <w:jc w:val="center"/>
            </w:pPr>
            <w:r>
              <w:t>ACCV energy use (PJ)</w:t>
            </w:r>
          </w:p>
        </w:tc>
      </w:tr>
      <w:tr w:rsidR="002764B9" w:rsidRPr="00923150" w14:paraId="0B23A798" w14:textId="77777777" w:rsidTr="002764B9">
        <w:trPr>
          <w:trHeight w:val="456"/>
        </w:trPr>
        <w:tc>
          <w:tcPr>
            <w:tcW w:w="2410" w:type="dxa"/>
            <w:tcBorders>
              <w:top w:val="single" w:sz="4" w:space="0" w:color="000000"/>
            </w:tcBorders>
            <w:vAlign w:val="center"/>
          </w:tcPr>
          <w:p w14:paraId="35078568" w14:textId="0281E9D3" w:rsidR="002764B9" w:rsidRDefault="002764B9" w:rsidP="00A2756C">
            <w:pPr>
              <w:spacing w:before="60" w:after="60"/>
              <w:jc w:val="left"/>
              <w:rPr>
                <w:sz w:val="20"/>
              </w:rPr>
            </w:pPr>
            <w:r w:rsidRPr="00723E9F">
              <w:t>Stand Alone Offices</w:t>
            </w:r>
          </w:p>
        </w:tc>
        <w:tc>
          <w:tcPr>
            <w:tcW w:w="2410" w:type="dxa"/>
            <w:tcBorders>
              <w:top w:val="single" w:sz="4" w:space="0" w:color="000000"/>
            </w:tcBorders>
            <w:vAlign w:val="center"/>
          </w:tcPr>
          <w:p w14:paraId="7C95C0FE" w14:textId="325C57B9" w:rsidR="002764B9" w:rsidRDefault="002764B9" w:rsidP="002764B9">
            <w:pPr>
              <w:spacing w:before="60" w:after="60"/>
              <w:jc w:val="center"/>
              <w:rPr>
                <w:sz w:val="20"/>
              </w:rPr>
            </w:pPr>
            <w:r w:rsidRPr="00A25241">
              <w:t>34.8</w:t>
            </w:r>
          </w:p>
        </w:tc>
        <w:tc>
          <w:tcPr>
            <w:tcW w:w="2268" w:type="dxa"/>
            <w:tcBorders>
              <w:top w:val="single" w:sz="4" w:space="0" w:color="000000"/>
            </w:tcBorders>
            <w:vAlign w:val="center"/>
          </w:tcPr>
          <w:p w14:paraId="1819C4CA" w14:textId="1B9E19AB" w:rsidR="002764B9" w:rsidRPr="008343EF" w:rsidRDefault="002764B9" w:rsidP="002764B9">
            <w:pPr>
              <w:spacing w:before="60" w:after="60"/>
              <w:jc w:val="center"/>
              <w:rPr>
                <w:sz w:val="20"/>
              </w:rPr>
            </w:pPr>
            <w:r w:rsidRPr="00A25241">
              <w:t>39%</w:t>
            </w:r>
          </w:p>
        </w:tc>
        <w:tc>
          <w:tcPr>
            <w:tcW w:w="2551" w:type="dxa"/>
            <w:tcBorders>
              <w:top w:val="single" w:sz="4" w:space="0" w:color="000000"/>
            </w:tcBorders>
            <w:vAlign w:val="center"/>
          </w:tcPr>
          <w:p w14:paraId="2F9F3E3E" w14:textId="1B4B7736" w:rsidR="002764B9" w:rsidRPr="00923150" w:rsidRDefault="002764B9" w:rsidP="002764B9">
            <w:pPr>
              <w:spacing w:before="60" w:after="60"/>
              <w:jc w:val="center"/>
              <w:rPr>
                <w:sz w:val="20"/>
              </w:rPr>
            </w:pPr>
            <w:r w:rsidRPr="00A25241">
              <w:t>13.6</w:t>
            </w:r>
          </w:p>
        </w:tc>
      </w:tr>
      <w:tr w:rsidR="002764B9" w:rsidRPr="00923150" w14:paraId="1A2D3F39" w14:textId="77777777" w:rsidTr="002764B9">
        <w:trPr>
          <w:trHeight w:val="456"/>
        </w:trPr>
        <w:tc>
          <w:tcPr>
            <w:tcW w:w="2410" w:type="dxa"/>
            <w:tcBorders>
              <w:top w:val="single" w:sz="4" w:space="0" w:color="000000"/>
            </w:tcBorders>
            <w:vAlign w:val="center"/>
          </w:tcPr>
          <w:p w14:paraId="3CBBB5C8" w14:textId="45B2E64B" w:rsidR="002764B9" w:rsidRPr="00481C6A" w:rsidRDefault="002764B9" w:rsidP="00A2756C">
            <w:pPr>
              <w:spacing w:before="60" w:after="60"/>
              <w:jc w:val="left"/>
            </w:pPr>
            <w:r w:rsidRPr="00723E9F">
              <w:t>Hotels</w:t>
            </w:r>
          </w:p>
        </w:tc>
        <w:tc>
          <w:tcPr>
            <w:tcW w:w="2410" w:type="dxa"/>
            <w:tcBorders>
              <w:top w:val="single" w:sz="4" w:space="0" w:color="000000"/>
            </w:tcBorders>
            <w:vAlign w:val="center"/>
          </w:tcPr>
          <w:p w14:paraId="08398171" w14:textId="39290E09" w:rsidR="002764B9" w:rsidRPr="007A225B" w:rsidRDefault="002764B9" w:rsidP="002764B9">
            <w:pPr>
              <w:spacing w:before="60" w:after="60"/>
              <w:jc w:val="center"/>
            </w:pPr>
            <w:r w:rsidRPr="00A25241">
              <w:t>16.1</w:t>
            </w:r>
          </w:p>
        </w:tc>
        <w:tc>
          <w:tcPr>
            <w:tcW w:w="2268" w:type="dxa"/>
            <w:tcBorders>
              <w:top w:val="single" w:sz="4" w:space="0" w:color="000000"/>
            </w:tcBorders>
            <w:vAlign w:val="center"/>
          </w:tcPr>
          <w:p w14:paraId="21278E5D" w14:textId="770C4AAE" w:rsidR="002764B9" w:rsidRPr="00D22FDF" w:rsidRDefault="002764B9" w:rsidP="002764B9">
            <w:pPr>
              <w:spacing w:before="60" w:after="60"/>
              <w:jc w:val="center"/>
            </w:pPr>
            <w:r w:rsidRPr="00A25241">
              <w:t>44%</w:t>
            </w:r>
          </w:p>
        </w:tc>
        <w:tc>
          <w:tcPr>
            <w:tcW w:w="2551" w:type="dxa"/>
            <w:tcBorders>
              <w:top w:val="single" w:sz="4" w:space="0" w:color="000000"/>
            </w:tcBorders>
            <w:vAlign w:val="center"/>
          </w:tcPr>
          <w:p w14:paraId="058D561D" w14:textId="2D99E621" w:rsidR="002764B9" w:rsidRPr="00F515AE" w:rsidRDefault="002764B9" w:rsidP="002764B9">
            <w:pPr>
              <w:spacing w:before="60" w:after="60"/>
              <w:jc w:val="center"/>
            </w:pPr>
            <w:r w:rsidRPr="00A25241">
              <w:t>7.1</w:t>
            </w:r>
          </w:p>
        </w:tc>
      </w:tr>
      <w:tr w:rsidR="002764B9" w:rsidRPr="00923150" w14:paraId="33280B41" w14:textId="77777777" w:rsidTr="002764B9">
        <w:trPr>
          <w:trHeight w:val="456"/>
        </w:trPr>
        <w:tc>
          <w:tcPr>
            <w:tcW w:w="2410" w:type="dxa"/>
            <w:tcBorders>
              <w:top w:val="single" w:sz="4" w:space="0" w:color="000000"/>
            </w:tcBorders>
            <w:vAlign w:val="center"/>
          </w:tcPr>
          <w:p w14:paraId="54DF3962" w14:textId="6D11D393" w:rsidR="002764B9" w:rsidRDefault="002764B9" w:rsidP="00A2756C">
            <w:pPr>
              <w:spacing w:before="60" w:after="60"/>
              <w:jc w:val="left"/>
              <w:rPr>
                <w:sz w:val="20"/>
              </w:rPr>
            </w:pPr>
            <w:r w:rsidRPr="00723E9F">
              <w:t>Retail</w:t>
            </w:r>
          </w:p>
        </w:tc>
        <w:tc>
          <w:tcPr>
            <w:tcW w:w="2410" w:type="dxa"/>
            <w:tcBorders>
              <w:top w:val="single" w:sz="4" w:space="0" w:color="000000"/>
            </w:tcBorders>
            <w:vAlign w:val="center"/>
          </w:tcPr>
          <w:p w14:paraId="12A94FFA" w14:textId="041E4FA4" w:rsidR="002764B9" w:rsidRDefault="002764B9" w:rsidP="002764B9">
            <w:pPr>
              <w:spacing w:before="60" w:after="60"/>
              <w:jc w:val="center"/>
              <w:rPr>
                <w:sz w:val="20"/>
              </w:rPr>
            </w:pPr>
            <w:r w:rsidRPr="00A25241">
              <w:t>50.4</w:t>
            </w:r>
          </w:p>
        </w:tc>
        <w:tc>
          <w:tcPr>
            <w:tcW w:w="2268" w:type="dxa"/>
            <w:tcBorders>
              <w:top w:val="single" w:sz="4" w:space="0" w:color="000000"/>
            </w:tcBorders>
            <w:vAlign w:val="center"/>
          </w:tcPr>
          <w:p w14:paraId="046DE877" w14:textId="19E1FD47" w:rsidR="002764B9" w:rsidRPr="008343EF" w:rsidRDefault="002764B9" w:rsidP="002764B9">
            <w:pPr>
              <w:spacing w:before="60" w:after="60"/>
              <w:jc w:val="center"/>
              <w:rPr>
                <w:sz w:val="20"/>
              </w:rPr>
            </w:pPr>
            <w:r w:rsidRPr="00A25241">
              <w:t>42%</w:t>
            </w:r>
          </w:p>
        </w:tc>
        <w:tc>
          <w:tcPr>
            <w:tcW w:w="2551" w:type="dxa"/>
            <w:tcBorders>
              <w:top w:val="single" w:sz="4" w:space="0" w:color="000000"/>
            </w:tcBorders>
            <w:vAlign w:val="center"/>
          </w:tcPr>
          <w:p w14:paraId="077BCB04" w14:textId="0DBE5733" w:rsidR="002764B9" w:rsidRPr="00923150" w:rsidRDefault="002764B9" w:rsidP="002764B9">
            <w:pPr>
              <w:spacing w:before="60" w:after="60"/>
              <w:jc w:val="center"/>
              <w:rPr>
                <w:sz w:val="20"/>
              </w:rPr>
            </w:pPr>
            <w:r w:rsidRPr="00A25241">
              <w:t>21.2</w:t>
            </w:r>
          </w:p>
        </w:tc>
      </w:tr>
      <w:tr w:rsidR="002764B9" w:rsidRPr="00923150" w14:paraId="205D6E56" w14:textId="77777777" w:rsidTr="002764B9">
        <w:trPr>
          <w:trHeight w:val="456"/>
        </w:trPr>
        <w:tc>
          <w:tcPr>
            <w:tcW w:w="2410" w:type="dxa"/>
            <w:tcBorders>
              <w:top w:val="single" w:sz="4" w:space="0" w:color="000000"/>
            </w:tcBorders>
            <w:vAlign w:val="center"/>
          </w:tcPr>
          <w:p w14:paraId="22449C4D" w14:textId="6314BD66" w:rsidR="002764B9" w:rsidRDefault="002764B9" w:rsidP="00A2756C">
            <w:pPr>
              <w:spacing w:before="60" w:after="60"/>
              <w:jc w:val="left"/>
              <w:rPr>
                <w:sz w:val="20"/>
              </w:rPr>
            </w:pPr>
            <w:r w:rsidRPr="00723E9F">
              <w:t>Hospitals</w:t>
            </w:r>
          </w:p>
        </w:tc>
        <w:tc>
          <w:tcPr>
            <w:tcW w:w="2410" w:type="dxa"/>
            <w:tcBorders>
              <w:top w:val="single" w:sz="4" w:space="0" w:color="000000"/>
            </w:tcBorders>
            <w:vAlign w:val="center"/>
          </w:tcPr>
          <w:p w14:paraId="3D2CE7BA" w14:textId="5A24012A" w:rsidR="002764B9" w:rsidRDefault="002764B9" w:rsidP="002764B9">
            <w:pPr>
              <w:spacing w:before="60" w:after="60"/>
              <w:jc w:val="center"/>
              <w:rPr>
                <w:sz w:val="20"/>
              </w:rPr>
            </w:pPr>
            <w:r w:rsidRPr="00A25241">
              <w:t>20.2</w:t>
            </w:r>
          </w:p>
        </w:tc>
        <w:tc>
          <w:tcPr>
            <w:tcW w:w="2268" w:type="dxa"/>
            <w:tcBorders>
              <w:top w:val="single" w:sz="4" w:space="0" w:color="000000"/>
            </w:tcBorders>
            <w:vAlign w:val="center"/>
          </w:tcPr>
          <w:p w14:paraId="7EC2956C" w14:textId="324D8698" w:rsidR="002764B9" w:rsidRPr="008343EF" w:rsidRDefault="002764B9" w:rsidP="002764B9">
            <w:pPr>
              <w:spacing w:before="60" w:after="60"/>
              <w:jc w:val="center"/>
              <w:rPr>
                <w:sz w:val="20"/>
              </w:rPr>
            </w:pPr>
            <w:r w:rsidRPr="00A25241">
              <w:t>39%</w:t>
            </w:r>
          </w:p>
        </w:tc>
        <w:tc>
          <w:tcPr>
            <w:tcW w:w="2551" w:type="dxa"/>
            <w:tcBorders>
              <w:top w:val="single" w:sz="4" w:space="0" w:color="000000"/>
            </w:tcBorders>
            <w:vAlign w:val="center"/>
          </w:tcPr>
          <w:p w14:paraId="09EB3BAF" w14:textId="633142FE" w:rsidR="002764B9" w:rsidRPr="00923150" w:rsidRDefault="002764B9" w:rsidP="002764B9">
            <w:pPr>
              <w:spacing w:before="60" w:after="60"/>
              <w:jc w:val="center"/>
              <w:rPr>
                <w:sz w:val="20"/>
              </w:rPr>
            </w:pPr>
            <w:r w:rsidRPr="00A25241">
              <w:t>7.9</w:t>
            </w:r>
          </w:p>
        </w:tc>
      </w:tr>
      <w:tr w:rsidR="002764B9" w:rsidRPr="00923150" w14:paraId="42B17E36" w14:textId="77777777" w:rsidTr="002764B9">
        <w:trPr>
          <w:trHeight w:val="456"/>
        </w:trPr>
        <w:tc>
          <w:tcPr>
            <w:tcW w:w="2410" w:type="dxa"/>
            <w:tcBorders>
              <w:top w:val="single" w:sz="4" w:space="0" w:color="000000"/>
            </w:tcBorders>
            <w:vAlign w:val="center"/>
          </w:tcPr>
          <w:p w14:paraId="3B5E90D7" w14:textId="41026DD1" w:rsidR="002764B9" w:rsidRDefault="002764B9" w:rsidP="00A2756C">
            <w:pPr>
              <w:spacing w:before="60" w:after="60"/>
              <w:jc w:val="left"/>
              <w:rPr>
                <w:sz w:val="20"/>
              </w:rPr>
            </w:pPr>
            <w:r w:rsidRPr="00723E9F">
              <w:t>Schools</w:t>
            </w:r>
          </w:p>
        </w:tc>
        <w:tc>
          <w:tcPr>
            <w:tcW w:w="2410" w:type="dxa"/>
            <w:tcBorders>
              <w:top w:val="single" w:sz="4" w:space="0" w:color="000000"/>
            </w:tcBorders>
            <w:vAlign w:val="center"/>
          </w:tcPr>
          <w:p w14:paraId="35E75967" w14:textId="73E3F8F1" w:rsidR="002764B9" w:rsidRDefault="002764B9" w:rsidP="002764B9">
            <w:pPr>
              <w:spacing w:before="60" w:after="60"/>
              <w:jc w:val="center"/>
              <w:rPr>
                <w:sz w:val="20"/>
              </w:rPr>
            </w:pPr>
            <w:r w:rsidRPr="00A25241">
              <w:t>7.7</w:t>
            </w:r>
          </w:p>
        </w:tc>
        <w:tc>
          <w:tcPr>
            <w:tcW w:w="2268" w:type="dxa"/>
            <w:tcBorders>
              <w:top w:val="single" w:sz="4" w:space="0" w:color="000000"/>
            </w:tcBorders>
            <w:vAlign w:val="center"/>
          </w:tcPr>
          <w:p w14:paraId="075DA155" w14:textId="0BD21A42" w:rsidR="002764B9" w:rsidRPr="008343EF" w:rsidRDefault="002764B9" w:rsidP="002764B9">
            <w:pPr>
              <w:spacing w:before="60" w:after="60"/>
              <w:jc w:val="center"/>
              <w:rPr>
                <w:sz w:val="20"/>
              </w:rPr>
            </w:pPr>
            <w:r w:rsidRPr="00A25241">
              <w:t>19%</w:t>
            </w:r>
          </w:p>
        </w:tc>
        <w:tc>
          <w:tcPr>
            <w:tcW w:w="2551" w:type="dxa"/>
            <w:tcBorders>
              <w:top w:val="single" w:sz="4" w:space="0" w:color="000000"/>
            </w:tcBorders>
            <w:vAlign w:val="center"/>
          </w:tcPr>
          <w:p w14:paraId="2E02F659" w14:textId="16460E40" w:rsidR="002764B9" w:rsidRPr="00923150" w:rsidRDefault="002764B9" w:rsidP="002764B9">
            <w:pPr>
              <w:spacing w:before="60" w:after="60"/>
              <w:jc w:val="center"/>
              <w:rPr>
                <w:sz w:val="20"/>
              </w:rPr>
            </w:pPr>
            <w:r w:rsidRPr="00A25241">
              <w:t>1.5</w:t>
            </w:r>
          </w:p>
        </w:tc>
      </w:tr>
      <w:tr w:rsidR="002764B9" w:rsidRPr="00923150" w14:paraId="10FA188B" w14:textId="77777777" w:rsidTr="002764B9">
        <w:trPr>
          <w:trHeight w:val="456"/>
        </w:trPr>
        <w:tc>
          <w:tcPr>
            <w:tcW w:w="2410" w:type="dxa"/>
            <w:tcBorders>
              <w:top w:val="single" w:sz="4" w:space="0" w:color="000000"/>
            </w:tcBorders>
            <w:vAlign w:val="center"/>
          </w:tcPr>
          <w:p w14:paraId="2E43BB34" w14:textId="32E9AE81" w:rsidR="002764B9" w:rsidRDefault="002764B9" w:rsidP="00A2756C">
            <w:pPr>
              <w:spacing w:before="60" w:after="60"/>
              <w:jc w:val="left"/>
              <w:rPr>
                <w:sz w:val="20"/>
              </w:rPr>
            </w:pPr>
            <w:r w:rsidRPr="00723E9F">
              <w:lastRenderedPageBreak/>
              <w:t>Universities and VET</w:t>
            </w:r>
          </w:p>
        </w:tc>
        <w:tc>
          <w:tcPr>
            <w:tcW w:w="2410" w:type="dxa"/>
            <w:tcBorders>
              <w:top w:val="single" w:sz="4" w:space="0" w:color="000000"/>
            </w:tcBorders>
            <w:vAlign w:val="center"/>
          </w:tcPr>
          <w:p w14:paraId="77718EB5" w14:textId="189D708A" w:rsidR="002764B9" w:rsidRDefault="002764B9" w:rsidP="002764B9">
            <w:pPr>
              <w:spacing w:before="60" w:after="60"/>
              <w:jc w:val="center"/>
              <w:rPr>
                <w:sz w:val="20"/>
              </w:rPr>
            </w:pPr>
            <w:r w:rsidRPr="00A25241">
              <w:t>11.2</w:t>
            </w:r>
          </w:p>
        </w:tc>
        <w:tc>
          <w:tcPr>
            <w:tcW w:w="2268" w:type="dxa"/>
            <w:tcBorders>
              <w:top w:val="single" w:sz="4" w:space="0" w:color="000000"/>
            </w:tcBorders>
            <w:vAlign w:val="center"/>
          </w:tcPr>
          <w:p w14:paraId="5A7CA745" w14:textId="6AF315F4" w:rsidR="002764B9" w:rsidRPr="008343EF" w:rsidRDefault="002764B9" w:rsidP="002764B9">
            <w:pPr>
              <w:spacing w:before="60" w:after="60"/>
              <w:jc w:val="center"/>
              <w:rPr>
                <w:sz w:val="20"/>
              </w:rPr>
            </w:pPr>
            <w:r w:rsidRPr="00A25241">
              <w:t>42%</w:t>
            </w:r>
          </w:p>
        </w:tc>
        <w:tc>
          <w:tcPr>
            <w:tcW w:w="2551" w:type="dxa"/>
            <w:tcBorders>
              <w:top w:val="single" w:sz="4" w:space="0" w:color="000000"/>
            </w:tcBorders>
            <w:vAlign w:val="center"/>
          </w:tcPr>
          <w:p w14:paraId="7B29E318" w14:textId="0A9E17D9" w:rsidR="002764B9" w:rsidRPr="00923150" w:rsidRDefault="002764B9" w:rsidP="002764B9">
            <w:pPr>
              <w:spacing w:before="60" w:after="60"/>
              <w:jc w:val="center"/>
              <w:rPr>
                <w:sz w:val="20"/>
              </w:rPr>
            </w:pPr>
            <w:r w:rsidRPr="00A25241">
              <w:t>4.7</w:t>
            </w:r>
          </w:p>
        </w:tc>
      </w:tr>
      <w:tr w:rsidR="002764B9" w:rsidRPr="00923150" w14:paraId="0A27BF79" w14:textId="77777777" w:rsidTr="002764B9">
        <w:trPr>
          <w:trHeight w:val="456"/>
        </w:trPr>
        <w:tc>
          <w:tcPr>
            <w:tcW w:w="2410" w:type="dxa"/>
            <w:tcBorders>
              <w:top w:val="single" w:sz="4" w:space="0" w:color="000000"/>
            </w:tcBorders>
            <w:vAlign w:val="center"/>
          </w:tcPr>
          <w:p w14:paraId="658C33AE" w14:textId="0A2F6683" w:rsidR="002764B9" w:rsidRDefault="002764B9" w:rsidP="00A2756C">
            <w:pPr>
              <w:spacing w:before="60" w:after="60"/>
              <w:jc w:val="left"/>
              <w:rPr>
                <w:sz w:val="20"/>
              </w:rPr>
            </w:pPr>
            <w:r w:rsidRPr="00723E9F">
              <w:t>Public Buildings</w:t>
            </w:r>
          </w:p>
        </w:tc>
        <w:tc>
          <w:tcPr>
            <w:tcW w:w="2410" w:type="dxa"/>
            <w:tcBorders>
              <w:top w:val="single" w:sz="4" w:space="0" w:color="000000"/>
            </w:tcBorders>
            <w:vAlign w:val="center"/>
          </w:tcPr>
          <w:p w14:paraId="4EA79A56" w14:textId="6E058A04" w:rsidR="002764B9" w:rsidRDefault="002764B9" w:rsidP="002764B9">
            <w:pPr>
              <w:spacing w:before="60" w:after="60"/>
              <w:jc w:val="center"/>
              <w:rPr>
                <w:sz w:val="20"/>
              </w:rPr>
            </w:pPr>
            <w:r w:rsidRPr="00A25241">
              <w:t>2.3</w:t>
            </w:r>
          </w:p>
        </w:tc>
        <w:tc>
          <w:tcPr>
            <w:tcW w:w="2268" w:type="dxa"/>
            <w:tcBorders>
              <w:top w:val="single" w:sz="4" w:space="0" w:color="000000"/>
            </w:tcBorders>
            <w:vAlign w:val="center"/>
          </w:tcPr>
          <w:p w14:paraId="0ED8C650" w14:textId="658C9F68" w:rsidR="002764B9" w:rsidRPr="008343EF" w:rsidRDefault="002764B9" w:rsidP="002764B9">
            <w:pPr>
              <w:spacing w:before="60" w:after="60"/>
              <w:jc w:val="center"/>
              <w:rPr>
                <w:sz w:val="20"/>
              </w:rPr>
            </w:pPr>
            <w:r w:rsidRPr="00A25241">
              <w:t>39%</w:t>
            </w:r>
          </w:p>
        </w:tc>
        <w:tc>
          <w:tcPr>
            <w:tcW w:w="2551" w:type="dxa"/>
            <w:tcBorders>
              <w:top w:val="single" w:sz="4" w:space="0" w:color="000000"/>
            </w:tcBorders>
            <w:vAlign w:val="center"/>
          </w:tcPr>
          <w:p w14:paraId="2D3CA236" w14:textId="5ECC3E9B" w:rsidR="002764B9" w:rsidRPr="00923150" w:rsidRDefault="002764B9" w:rsidP="002764B9">
            <w:pPr>
              <w:spacing w:before="60" w:after="60"/>
              <w:jc w:val="center"/>
              <w:rPr>
                <w:sz w:val="20"/>
              </w:rPr>
            </w:pPr>
            <w:r w:rsidRPr="00A25241">
              <w:t>0.9</w:t>
            </w:r>
          </w:p>
        </w:tc>
      </w:tr>
      <w:tr w:rsidR="002764B9" w:rsidRPr="003E19E1" w14:paraId="40E8482A" w14:textId="77777777" w:rsidTr="002764B9">
        <w:trPr>
          <w:trHeight w:val="456"/>
        </w:trPr>
        <w:tc>
          <w:tcPr>
            <w:tcW w:w="2410" w:type="dxa"/>
            <w:tcBorders>
              <w:top w:val="double" w:sz="4" w:space="0" w:color="auto"/>
            </w:tcBorders>
            <w:vAlign w:val="center"/>
          </w:tcPr>
          <w:p w14:paraId="01D5DDF6" w14:textId="7016F69F" w:rsidR="002764B9" w:rsidRPr="003E19E1" w:rsidRDefault="002764B9" w:rsidP="00A2756C">
            <w:pPr>
              <w:spacing w:before="60" w:after="60"/>
              <w:jc w:val="left"/>
              <w:rPr>
                <w:szCs w:val="22"/>
              </w:rPr>
            </w:pPr>
            <w:r>
              <w:t>Total</w:t>
            </w:r>
          </w:p>
        </w:tc>
        <w:tc>
          <w:tcPr>
            <w:tcW w:w="2410" w:type="dxa"/>
            <w:tcBorders>
              <w:top w:val="double" w:sz="4" w:space="0" w:color="auto"/>
            </w:tcBorders>
            <w:vAlign w:val="center"/>
          </w:tcPr>
          <w:p w14:paraId="04B0E550" w14:textId="5C8ABABD" w:rsidR="002764B9" w:rsidRPr="003E19E1" w:rsidRDefault="002764B9" w:rsidP="002764B9">
            <w:pPr>
              <w:spacing w:before="60" w:after="60"/>
              <w:jc w:val="center"/>
              <w:rPr>
                <w:szCs w:val="22"/>
              </w:rPr>
            </w:pPr>
            <w:r w:rsidRPr="00A25241">
              <w:t>142.7</w:t>
            </w:r>
          </w:p>
        </w:tc>
        <w:tc>
          <w:tcPr>
            <w:tcW w:w="2268" w:type="dxa"/>
            <w:tcBorders>
              <w:top w:val="double" w:sz="4" w:space="0" w:color="auto"/>
            </w:tcBorders>
            <w:vAlign w:val="center"/>
          </w:tcPr>
          <w:p w14:paraId="1159D15C" w14:textId="5D4E368B" w:rsidR="002764B9" w:rsidRPr="003E19E1" w:rsidRDefault="002764B9" w:rsidP="002764B9">
            <w:pPr>
              <w:spacing w:before="60" w:after="60"/>
              <w:jc w:val="center"/>
              <w:rPr>
                <w:szCs w:val="22"/>
              </w:rPr>
            </w:pPr>
          </w:p>
        </w:tc>
        <w:tc>
          <w:tcPr>
            <w:tcW w:w="2551" w:type="dxa"/>
            <w:tcBorders>
              <w:top w:val="double" w:sz="4" w:space="0" w:color="auto"/>
            </w:tcBorders>
            <w:vAlign w:val="center"/>
          </w:tcPr>
          <w:p w14:paraId="3DC16FBC" w14:textId="74759125" w:rsidR="002764B9" w:rsidRPr="003E19E1" w:rsidRDefault="002764B9" w:rsidP="002764B9">
            <w:pPr>
              <w:spacing w:before="60" w:after="60"/>
              <w:jc w:val="center"/>
              <w:rPr>
                <w:szCs w:val="22"/>
              </w:rPr>
            </w:pPr>
            <w:r w:rsidRPr="00A25241">
              <w:t>56.8</w:t>
            </w:r>
          </w:p>
        </w:tc>
      </w:tr>
    </w:tbl>
    <w:p w14:paraId="189C0613" w14:textId="040E1655" w:rsidR="00BF14F6" w:rsidRPr="00FA5B51" w:rsidRDefault="00BF14F6" w:rsidP="00BF14F6">
      <w:pPr>
        <w:spacing w:before="0"/>
        <w:rPr>
          <w:sz w:val="20"/>
          <w:szCs w:val="20"/>
        </w:rPr>
      </w:pPr>
      <w:r w:rsidRPr="00FA5B51">
        <w:rPr>
          <w:sz w:val="20"/>
          <w:szCs w:val="20"/>
        </w:rPr>
        <w:t>(Source</w:t>
      </w:r>
      <w:r>
        <w:rPr>
          <w:sz w:val="20"/>
          <w:szCs w:val="20"/>
        </w:rPr>
        <w:t>:</w:t>
      </w:r>
      <w:r w:rsidRPr="00FA5B51">
        <w:rPr>
          <w:sz w:val="20"/>
          <w:szCs w:val="20"/>
        </w:rPr>
        <w:t xml:space="preserve"> DCCEE 2012b</w:t>
      </w:r>
      <w:r w:rsidR="004006CE">
        <w:rPr>
          <w:sz w:val="20"/>
          <w:szCs w:val="20"/>
        </w:rPr>
        <w:t>, CBBS Volume 1, page 3</w:t>
      </w:r>
      <w:r w:rsidRPr="00FA5B51">
        <w:rPr>
          <w:sz w:val="20"/>
          <w:szCs w:val="20"/>
        </w:rPr>
        <w:t>)</w:t>
      </w:r>
    </w:p>
    <w:p w14:paraId="65DD4702" w14:textId="77777777" w:rsidR="00C22DCB" w:rsidRPr="00C22DCB" w:rsidRDefault="00C22DCB" w:rsidP="00A64C9C">
      <w:pPr>
        <w:spacing w:before="240"/>
        <w:rPr>
          <w:szCs w:val="22"/>
        </w:rPr>
      </w:pPr>
      <w:r w:rsidRPr="00C22DCB">
        <w:rPr>
          <w:szCs w:val="22"/>
        </w:rPr>
        <w:t>Thus, using the results of the CBBS top down study, we can calculate that some 56.8 PJ is used in non-residential and non-industrial ACCV. This is all electrical energy used and is equivalent to 15,782 GWh.</w:t>
      </w:r>
    </w:p>
    <w:p w14:paraId="74FA0964" w14:textId="31385E1E" w:rsidR="00C22DCB" w:rsidRPr="00C22DCB" w:rsidRDefault="00C22DCB" w:rsidP="00C22DCB">
      <w:pPr>
        <w:rPr>
          <w:szCs w:val="22"/>
        </w:rPr>
      </w:pPr>
      <w:r w:rsidRPr="00C22DCB">
        <w:rPr>
          <w:szCs w:val="22"/>
        </w:rPr>
        <w:t>The CHF2 stock model calculates at total of 36,845 GWh of electricity consumed in all stationary air conditioning systems (including heat pumps used for hot water)</w:t>
      </w:r>
      <w:r w:rsidR="0007306E">
        <w:rPr>
          <w:szCs w:val="22"/>
        </w:rPr>
        <w:t>. This value is arrived at</w:t>
      </w:r>
      <w:r w:rsidRPr="00C22DCB">
        <w:rPr>
          <w:szCs w:val="22"/>
        </w:rPr>
        <w:t xml:space="preserve"> using the bottom up approach of multiplying equipment counts by their average electrical consumption</w:t>
      </w:r>
      <w:r w:rsidR="0007306E">
        <w:rPr>
          <w:szCs w:val="22"/>
        </w:rPr>
        <w:t>,</w:t>
      </w:r>
      <w:r w:rsidRPr="00C22DCB">
        <w:rPr>
          <w:szCs w:val="22"/>
        </w:rPr>
        <w:t xml:space="preserve"> and </w:t>
      </w:r>
      <w:r w:rsidR="0007306E">
        <w:rPr>
          <w:szCs w:val="22"/>
        </w:rPr>
        <w:t xml:space="preserve">by </w:t>
      </w:r>
      <w:r w:rsidRPr="00C22DCB">
        <w:rPr>
          <w:szCs w:val="22"/>
        </w:rPr>
        <w:t>average annual hours of use.</w:t>
      </w:r>
    </w:p>
    <w:p w14:paraId="37473039" w14:textId="77777777" w:rsidR="00C22DCB" w:rsidRPr="00C22DCB" w:rsidRDefault="00C22DCB" w:rsidP="00C22DCB">
      <w:pPr>
        <w:rPr>
          <w:szCs w:val="22"/>
        </w:rPr>
      </w:pPr>
      <w:r w:rsidRPr="00C22DCB">
        <w:rPr>
          <w:szCs w:val="22"/>
        </w:rPr>
        <w:t>Of that total, approximately 32 per cent, or 11,771 GWh is calculated as being consumed in residential applications, leaving some 25,074 GWh as the estimate of electrical consumption in all non-residential uses of stationary air conditioning.</w:t>
      </w:r>
    </w:p>
    <w:p w14:paraId="4111CDF4" w14:textId="6F8CCD6F" w:rsidR="00C22DCB" w:rsidRPr="00C22DCB" w:rsidRDefault="00C22DCB" w:rsidP="00C22DCB">
      <w:pPr>
        <w:rPr>
          <w:szCs w:val="22"/>
        </w:rPr>
      </w:pPr>
      <w:r w:rsidRPr="00C22DCB">
        <w:rPr>
          <w:szCs w:val="22"/>
        </w:rPr>
        <w:t>There are several equipment categories that can be removed from that total to provide a comparison with the CBBS figure. The approximately 181 GWh of electricity calculated as being used in hot water heat pumps can be safely removed</w:t>
      </w:r>
      <w:r w:rsidR="0007306E">
        <w:rPr>
          <w:szCs w:val="22"/>
        </w:rPr>
        <w:t>,</w:t>
      </w:r>
      <w:r w:rsidRPr="00C22DCB">
        <w:rPr>
          <w:szCs w:val="22"/>
        </w:rPr>
        <w:t xml:space="preserve"> as this end-use would not have been included in any of the CBBS</w:t>
      </w:r>
      <w:r w:rsidR="0007306E">
        <w:rPr>
          <w:szCs w:val="22"/>
        </w:rPr>
        <w:t xml:space="preserve"> calculations of</w:t>
      </w:r>
      <w:r w:rsidRPr="00C22DCB">
        <w:rPr>
          <w:szCs w:val="22"/>
        </w:rPr>
        <w:t xml:space="preserve"> HVAC </w:t>
      </w:r>
      <w:r w:rsidR="0007306E">
        <w:rPr>
          <w:szCs w:val="22"/>
        </w:rPr>
        <w:t xml:space="preserve">electricity </w:t>
      </w:r>
      <w:r w:rsidRPr="00C22DCB">
        <w:rPr>
          <w:szCs w:val="22"/>
        </w:rPr>
        <w:t>use.  More significantly the 1,478 GWh of electricity calculated as being used in close control air conditioners can probably be safely excluded. These specialised systems are more likely to be found in specialised computer bunkers and server farms</w:t>
      </w:r>
      <w:r w:rsidR="0007306E">
        <w:rPr>
          <w:szCs w:val="22"/>
        </w:rPr>
        <w:t>.</w:t>
      </w:r>
      <w:r w:rsidRPr="00C22DCB">
        <w:rPr>
          <w:szCs w:val="22"/>
        </w:rPr>
        <w:t xml:space="preserve"> </w:t>
      </w:r>
      <w:r w:rsidR="0007306E">
        <w:rPr>
          <w:szCs w:val="22"/>
        </w:rPr>
        <w:t>When they are housed in</w:t>
      </w:r>
      <w:r w:rsidRPr="00C22DCB">
        <w:rPr>
          <w:szCs w:val="22"/>
        </w:rPr>
        <w:t xml:space="preserve"> </w:t>
      </w:r>
      <w:r w:rsidR="0007306E">
        <w:rPr>
          <w:szCs w:val="22"/>
        </w:rPr>
        <w:t xml:space="preserve">part </w:t>
      </w:r>
      <w:r w:rsidRPr="00C22DCB">
        <w:rPr>
          <w:szCs w:val="22"/>
        </w:rPr>
        <w:t>of a larger office building</w:t>
      </w:r>
      <w:r w:rsidR="0007306E">
        <w:rPr>
          <w:szCs w:val="22"/>
        </w:rPr>
        <w:t>,</w:t>
      </w:r>
      <w:r w:rsidRPr="00C22DCB">
        <w:rPr>
          <w:szCs w:val="22"/>
        </w:rPr>
        <w:t xml:space="preserve"> </w:t>
      </w:r>
      <w:r w:rsidR="0007306E">
        <w:rPr>
          <w:szCs w:val="22"/>
        </w:rPr>
        <w:t>t</w:t>
      </w:r>
      <w:r w:rsidRPr="00C22DCB">
        <w:rPr>
          <w:szCs w:val="22"/>
        </w:rPr>
        <w:t xml:space="preserve">he inclusion of uninterruptible power supplies </w:t>
      </w:r>
      <w:r w:rsidR="0007306E">
        <w:rPr>
          <w:szCs w:val="22"/>
        </w:rPr>
        <w:t xml:space="preserve">will generally mean they </w:t>
      </w:r>
      <w:r w:rsidRPr="00C22DCB">
        <w:rPr>
          <w:szCs w:val="22"/>
        </w:rPr>
        <w:t xml:space="preserve">have their own power </w:t>
      </w:r>
      <w:r w:rsidR="0007306E">
        <w:rPr>
          <w:szCs w:val="22"/>
        </w:rPr>
        <w:t>circuits</w:t>
      </w:r>
      <w:r w:rsidRPr="00C22DCB">
        <w:rPr>
          <w:szCs w:val="22"/>
        </w:rPr>
        <w:t xml:space="preserve"> and </w:t>
      </w:r>
      <w:r w:rsidR="0007306E">
        <w:rPr>
          <w:szCs w:val="22"/>
        </w:rPr>
        <w:t>are</w:t>
      </w:r>
      <w:r w:rsidRPr="00C22DCB">
        <w:rPr>
          <w:szCs w:val="22"/>
        </w:rPr>
        <w:t xml:space="preserve"> metered separately to a normal commercial office building. </w:t>
      </w:r>
    </w:p>
    <w:p w14:paraId="2454CF27" w14:textId="77777777" w:rsidR="0007306E" w:rsidRDefault="00C22DCB" w:rsidP="00C22DCB">
      <w:pPr>
        <w:rPr>
          <w:szCs w:val="22"/>
        </w:rPr>
      </w:pPr>
      <w:r w:rsidRPr="00C22DCB">
        <w:rPr>
          <w:szCs w:val="22"/>
        </w:rPr>
        <w:t xml:space="preserve">These two exclusions reduce the CHF2 estimation of electricity used in commercial stationary air conditioning applications to 23,382 GWh. </w:t>
      </w:r>
    </w:p>
    <w:p w14:paraId="6316DBE9" w14:textId="16054D0C" w:rsidR="00C22DCB" w:rsidRDefault="00C22DCB" w:rsidP="00C22DCB">
      <w:pPr>
        <w:rPr>
          <w:szCs w:val="22"/>
        </w:rPr>
      </w:pPr>
      <w:r w:rsidRPr="00C22DCB">
        <w:rPr>
          <w:szCs w:val="22"/>
        </w:rPr>
        <w:t xml:space="preserve">Further, the CHF2 stock model allocates portions of </w:t>
      </w:r>
      <w:r w:rsidR="0007306E">
        <w:rPr>
          <w:szCs w:val="22"/>
        </w:rPr>
        <w:t xml:space="preserve">the stocks of </w:t>
      </w:r>
      <w:r w:rsidRPr="00C22DCB">
        <w:rPr>
          <w:szCs w:val="22"/>
        </w:rPr>
        <w:t xml:space="preserve">smaller air conditioning devices to non-residential applications. </w:t>
      </w:r>
      <w:r w:rsidR="0007306E">
        <w:rPr>
          <w:szCs w:val="22"/>
        </w:rPr>
        <w:t>L</w:t>
      </w:r>
      <w:r w:rsidRPr="00C22DCB">
        <w:rPr>
          <w:szCs w:val="22"/>
        </w:rPr>
        <w:t xml:space="preserve">arge numbers of small split systems for instance have been installed during the last decade in small businesses </w:t>
      </w:r>
      <w:r w:rsidR="0007306E">
        <w:rPr>
          <w:szCs w:val="22"/>
        </w:rPr>
        <w:t xml:space="preserve">in industrial areas </w:t>
      </w:r>
      <w:r w:rsidRPr="00C22DCB">
        <w:rPr>
          <w:szCs w:val="22"/>
        </w:rPr>
        <w:t xml:space="preserve">ranging from the offices found in </w:t>
      </w:r>
      <w:r w:rsidR="0007306E">
        <w:rPr>
          <w:szCs w:val="22"/>
        </w:rPr>
        <w:t>warehouses, storage and transport businesses,</w:t>
      </w:r>
      <w:r w:rsidRPr="00C22DCB">
        <w:rPr>
          <w:szCs w:val="22"/>
        </w:rPr>
        <w:t xml:space="preserve"> </w:t>
      </w:r>
      <w:r w:rsidR="0007306E">
        <w:rPr>
          <w:szCs w:val="22"/>
        </w:rPr>
        <w:t xml:space="preserve">in </w:t>
      </w:r>
      <w:r w:rsidRPr="00C22DCB">
        <w:rPr>
          <w:szCs w:val="22"/>
        </w:rPr>
        <w:t xml:space="preserve">workshops, </w:t>
      </w:r>
      <w:r w:rsidR="0007306E">
        <w:rPr>
          <w:szCs w:val="22"/>
        </w:rPr>
        <w:t>and in large appliance, furniture and hardware stores that previously may not have been air</w:t>
      </w:r>
      <w:r w:rsidR="00B26A45">
        <w:rPr>
          <w:szCs w:val="22"/>
        </w:rPr>
        <w:t xml:space="preserve"> </w:t>
      </w:r>
      <w:r w:rsidR="0007306E">
        <w:rPr>
          <w:szCs w:val="22"/>
        </w:rPr>
        <w:t>conditioned. Air conditioning is also commonly found</w:t>
      </w:r>
      <w:r w:rsidRPr="00C22DCB">
        <w:rPr>
          <w:szCs w:val="22"/>
        </w:rPr>
        <w:t xml:space="preserve"> </w:t>
      </w:r>
      <w:r w:rsidR="0007306E">
        <w:rPr>
          <w:szCs w:val="22"/>
        </w:rPr>
        <w:t xml:space="preserve">in </w:t>
      </w:r>
      <w:r w:rsidRPr="00C22DCB">
        <w:rPr>
          <w:szCs w:val="22"/>
        </w:rPr>
        <w:t>small retail outlets in suburban shopping centres and along commercial ‘strips’</w:t>
      </w:r>
      <w:r w:rsidR="0007306E">
        <w:rPr>
          <w:szCs w:val="22"/>
        </w:rPr>
        <w:t>,</w:t>
      </w:r>
      <w:r w:rsidRPr="00C22DCB">
        <w:rPr>
          <w:szCs w:val="22"/>
        </w:rPr>
        <w:t xml:space="preserve"> and in open malls all over the country. The proportion of the stock in different equipment categories allocated to non-residential uses are based on interviews with equipment importers, resellers and installers and are allocated as per </w:t>
      </w:r>
      <w:r w:rsidR="007E186B" w:rsidRPr="0074598F">
        <w:rPr>
          <w:i/>
          <w:szCs w:val="22"/>
        </w:rPr>
        <w:t>Table 4</w:t>
      </w:r>
      <w:r w:rsidR="00876382">
        <w:rPr>
          <w:i/>
          <w:szCs w:val="22"/>
        </w:rPr>
        <w:t>1</w:t>
      </w:r>
      <w:r w:rsidR="000610C5">
        <w:rPr>
          <w:i/>
          <w:szCs w:val="22"/>
        </w:rPr>
        <w:t xml:space="preserve"> </w:t>
      </w:r>
      <w:r w:rsidRPr="00C22DCB">
        <w:rPr>
          <w:szCs w:val="22"/>
        </w:rPr>
        <w:t xml:space="preserve">in </w:t>
      </w:r>
      <w:r w:rsidR="0074598F" w:rsidRPr="0074598F">
        <w:rPr>
          <w:i/>
          <w:szCs w:val="22"/>
        </w:rPr>
        <w:t>Appendix B: Technical resources and assumptions</w:t>
      </w:r>
      <w:r w:rsidRPr="00C22DCB">
        <w:rPr>
          <w:szCs w:val="22"/>
        </w:rPr>
        <w:t>.</w:t>
      </w:r>
    </w:p>
    <w:p w14:paraId="54B8A616" w14:textId="68DF257C" w:rsidR="000610C5" w:rsidRPr="007E186B" w:rsidRDefault="000610C5" w:rsidP="000610C5">
      <w:pPr>
        <w:rPr>
          <w:szCs w:val="22"/>
        </w:rPr>
      </w:pPr>
      <w:r w:rsidRPr="007E186B">
        <w:rPr>
          <w:szCs w:val="22"/>
        </w:rPr>
        <w:t>The authors of the CBBS study noted the limitations of their study, in terms of the building types analysed,</w:t>
      </w:r>
      <w:r w:rsidR="006B5E98">
        <w:rPr>
          <w:szCs w:val="22"/>
        </w:rPr>
        <w:t xml:space="preserve"> </w:t>
      </w:r>
      <w:r w:rsidRPr="007E186B">
        <w:rPr>
          <w:szCs w:val="22"/>
        </w:rPr>
        <w:t>that excluded ‘non-stand alone’ offices, retail stores of all types outside of shopping centres and all industrial building types. These exclusions cover a significant proportion of building use in Australia.  Because CHF2 has allocated proportions of the energy used in categories of smaller types of equipment to exactly these sort</w:t>
      </w:r>
      <w:r w:rsidR="00876382">
        <w:rPr>
          <w:szCs w:val="22"/>
        </w:rPr>
        <w:t>s</w:t>
      </w:r>
      <w:r w:rsidRPr="007E186B">
        <w:rPr>
          <w:szCs w:val="22"/>
        </w:rPr>
        <w:t xml:space="preserve"> of end-uses, the energy calculated as consumed in these equipment types must be excluded from the comparison. </w:t>
      </w:r>
    </w:p>
    <w:p w14:paraId="4AC86A3D" w14:textId="57C9F2B8" w:rsidR="000610C5" w:rsidRPr="007E186B" w:rsidRDefault="000610C5" w:rsidP="000610C5">
      <w:pPr>
        <w:rPr>
          <w:szCs w:val="22"/>
        </w:rPr>
      </w:pPr>
      <w:r w:rsidRPr="000610C5">
        <w:rPr>
          <w:i/>
          <w:szCs w:val="22"/>
        </w:rPr>
        <w:t>Table 20</w:t>
      </w:r>
      <w:r w:rsidRPr="007E186B">
        <w:rPr>
          <w:szCs w:val="22"/>
        </w:rPr>
        <w:t xml:space="preserve"> lists the smaller equipment categories in question, and the percentage of the energy calculated by CHF2 as being used in non-residential applications. This percentage has been further deducted from the   calculated total stationary air conditioning energy.  </w:t>
      </w:r>
    </w:p>
    <w:p w14:paraId="05A0949C" w14:textId="77777777" w:rsidR="000610C5" w:rsidRPr="007E186B" w:rsidRDefault="000610C5" w:rsidP="000610C5">
      <w:pPr>
        <w:rPr>
          <w:szCs w:val="22"/>
        </w:rPr>
      </w:pPr>
      <w:r w:rsidRPr="007E186B">
        <w:rPr>
          <w:szCs w:val="22"/>
        </w:rPr>
        <w:t>The essential assumption here is that all chillers are used in the type of buildings that are captured in the CBBS study, as are the majority of 3 phase ducted systems and the majority of VRF multi-splits. All of the smaller, non-ducted systems, all unitary systems and some of the larger 3 phase ducted systems and VRF systems are used in the classes of buildings that fell outside of the scope of the CBBS analysis.</w:t>
      </w:r>
    </w:p>
    <w:p w14:paraId="6AA4292B" w14:textId="77777777" w:rsidR="000610C5" w:rsidRPr="00C22DCB" w:rsidRDefault="000610C5" w:rsidP="000610C5">
      <w:pPr>
        <w:rPr>
          <w:szCs w:val="22"/>
        </w:rPr>
      </w:pPr>
    </w:p>
    <w:p w14:paraId="0B220090" w14:textId="754C9460" w:rsidR="00A2756C" w:rsidRPr="00D16B26" w:rsidRDefault="00A2756C" w:rsidP="00A2756C">
      <w:pPr>
        <w:rPr>
          <w:i/>
          <w:szCs w:val="22"/>
        </w:rPr>
      </w:pPr>
      <w:bookmarkStart w:id="72" w:name="_Toc233084064"/>
      <w:r w:rsidRPr="00D16B26">
        <w:rPr>
          <w:i/>
          <w:szCs w:val="22"/>
        </w:rPr>
        <w:lastRenderedPageBreak/>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20</w:t>
      </w:r>
      <w:r w:rsidRPr="00D16B26">
        <w:rPr>
          <w:i/>
          <w:szCs w:val="22"/>
        </w:rPr>
        <w:fldChar w:fldCharType="end"/>
      </w:r>
      <w:r w:rsidRPr="00D16B26">
        <w:rPr>
          <w:i/>
          <w:szCs w:val="22"/>
        </w:rPr>
        <w:t xml:space="preserve">: </w:t>
      </w:r>
      <w:r>
        <w:rPr>
          <w:i/>
          <w:szCs w:val="22"/>
        </w:rPr>
        <w:t>Estimated s</w:t>
      </w:r>
      <w:r w:rsidRPr="002764B9">
        <w:rPr>
          <w:i/>
          <w:szCs w:val="22"/>
        </w:rPr>
        <w:t xml:space="preserve">hare of </w:t>
      </w:r>
      <w:r>
        <w:rPr>
          <w:i/>
          <w:szCs w:val="22"/>
        </w:rPr>
        <w:t>a</w:t>
      </w:r>
      <w:r w:rsidRPr="002764B9">
        <w:rPr>
          <w:i/>
          <w:szCs w:val="22"/>
        </w:rPr>
        <w:t xml:space="preserve">ir conditioning </w:t>
      </w:r>
      <w:r>
        <w:rPr>
          <w:i/>
          <w:szCs w:val="22"/>
        </w:rPr>
        <w:t>c</w:t>
      </w:r>
      <w:r w:rsidRPr="002764B9">
        <w:rPr>
          <w:i/>
          <w:szCs w:val="22"/>
        </w:rPr>
        <w:t xml:space="preserve">ategory allocation to </w:t>
      </w:r>
      <w:r>
        <w:rPr>
          <w:i/>
          <w:szCs w:val="22"/>
        </w:rPr>
        <w:t>c</w:t>
      </w:r>
      <w:r w:rsidRPr="002764B9">
        <w:rPr>
          <w:i/>
          <w:szCs w:val="22"/>
        </w:rPr>
        <w:t xml:space="preserve">ommercial or </w:t>
      </w:r>
      <w:r>
        <w:rPr>
          <w:i/>
          <w:szCs w:val="22"/>
        </w:rPr>
        <w:t>r</w:t>
      </w:r>
      <w:r w:rsidRPr="002764B9">
        <w:rPr>
          <w:i/>
          <w:szCs w:val="22"/>
        </w:rPr>
        <w:t xml:space="preserve">esidential </w:t>
      </w:r>
      <w:r>
        <w:rPr>
          <w:i/>
          <w:szCs w:val="22"/>
        </w:rPr>
        <w:t>u</w:t>
      </w:r>
      <w:r w:rsidRPr="002764B9">
        <w:rPr>
          <w:i/>
          <w:szCs w:val="22"/>
        </w:rPr>
        <w:t>se</w:t>
      </w:r>
      <w:bookmarkEnd w:id="72"/>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3261"/>
        <w:gridCol w:w="1701"/>
        <w:gridCol w:w="1701"/>
        <w:gridCol w:w="1842"/>
      </w:tblGrid>
      <w:tr w:rsidR="006A3762" w:rsidRPr="00923150" w14:paraId="3E321CEA" w14:textId="77777777" w:rsidTr="00870F76">
        <w:trPr>
          <w:trHeight w:val="456"/>
        </w:trPr>
        <w:tc>
          <w:tcPr>
            <w:tcW w:w="1134" w:type="dxa"/>
            <w:tcBorders>
              <w:top w:val="single" w:sz="4" w:space="0" w:color="000000"/>
              <w:right w:val="single" w:sz="4" w:space="0" w:color="FFFFFF" w:themeColor="background1"/>
            </w:tcBorders>
            <w:shd w:val="clear" w:color="auto" w:fill="000000"/>
            <w:vAlign w:val="center"/>
          </w:tcPr>
          <w:p w14:paraId="327C53A1" w14:textId="77777777" w:rsidR="006A3762" w:rsidRPr="003E19E1" w:rsidRDefault="006A3762" w:rsidP="00A2756C">
            <w:pPr>
              <w:spacing w:before="60" w:after="60"/>
              <w:jc w:val="left"/>
            </w:pPr>
            <w:r w:rsidRPr="003E19E1">
              <w:t>Category code</w:t>
            </w:r>
          </w:p>
        </w:tc>
        <w:tc>
          <w:tcPr>
            <w:tcW w:w="3261"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66A10D9E" w14:textId="7905894D" w:rsidR="006A3762" w:rsidRPr="003E19E1" w:rsidRDefault="006A3762" w:rsidP="00A2756C">
            <w:pPr>
              <w:spacing w:before="60" w:after="60"/>
              <w:jc w:val="left"/>
            </w:pPr>
            <w:r w:rsidRPr="003E19E1">
              <w:t>Product category</w:t>
            </w:r>
          </w:p>
        </w:tc>
        <w:tc>
          <w:tcPr>
            <w:tcW w:w="1701" w:type="dxa"/>
            <w:tcBorders>
              <w:top w:val="single" w:sz="4" w:space="0" w:color="000000"/>
              <w:left w:val="single" w:sz="4" w:space="0" w:color="FFFFFF" w:themeColor="background1"/>
              <w:right w:val="single" w:sz="4" w:space="0" w:color="FFFFFF" w:themeColor="background1"/>
            </w:tcBorders>
            <w:shd w:val="clear" w:color="auto" w:fill="000000"/>
          </w:tcPr>
          <w:p w14:paraId="6677EBCE" w14:textId="2D496A1D" w:rsidR="006A3762" w:rsidRPr="003E19E1" w:rsidRDefault="006A3762" w:rsidP="007A08A5">
            <w:pPr>
              <w:spacing w:before="60" w:after="60"/>
              <w:jc w:val="center"/>
            </w:pPr>
            <w:r w:rsidRPr="009B19FD">
              <w:t xml:space="preserve">Calculated </w:t>
            </w:r>
            <w:r>
              <w:t>c</w:t>
            </w:r>
            <w:r w:rsidRPr="009B19FD">
              <w:t xml:space="preserve">ommercial </w:t>
            </w:r>
            <w:r>
              <w:t>u</w:t>
            </w:r>
            <w:r w:rsidRPr="009B19FD">
              <w:t xml:space="preserve">se </w:t>
            </w:r>
            <w:r>
              <w:t>(</w:t>
            </w:r>
            <w:r w:rsidRPr="009B19FD">
              <w:t>P</w:t>
            </w:r>
            <w:r>
              <w:t>J)</w:t>
            </w:r>
          </w:p>
        </w:tc>
        <w:tc>
          <w:tcPr>
            <w:tcW w:w="1701" w:type="dxa"/>
            <w:tcBorders>
              <w:top w:val="single" w:sz="4" w:space="0" w:color="000000"/>
              <w:left w:val="single" w:sz="4" w:space="0" w:color="FFFFFF" w:themeColor="background1"/>
              <w:right w:val="single" w:sz="4" w:space="0" w:color="FFFFFF" w:themeColor="background1"/>
            </w:tcBorders>
            <w:shd w:val="clear" w:color="auto" w:fill="000000"/>
          </w:tcPr>
          <w:p w14:paraId="4B946733" w14:textId="540EE5A4" w:rsidR="006A3762" w:rsidRPr="003E19E1" w:rsidRDefault="006A3762" w:rsidP="007A08A5">
            <w:pPr>
              <w:spacing w:before="60" w:after="60"/>
              <w:jc w:val="center"/>
            </w:pPr>
            <w:r w:rsidRPr="009B19FD">
              <w:t xml:space="preserve">Deducted from </w:t>
            </w:r>
            <w:r>
              <w:t>c</w:t>
            </w:r>
            <w:r w:rsidRPr="009B19FD">
              <w:t xml:space="preserve">ommercial </w:t>
            </w:r>
            <w:r>
              <w:t>u</w:t>
            </w:r>
            <w:r w:rsidRPr="009B19FD">
              <w:t>se (%)</w:t>
            </w:r>
          </w:p>
        </w:tc>
        <w:tc>
          <w:tcPr>
            <w:tcW w:w="1842" w:type="dxa"/>
            <w:tcBorders>
              <w:top w:val="single" w:sz="4" w:space="0" w:color="000000"/>
              <w:left w:val="single" w:sz="4" w:space="0" w:color="FFFFFF" w:themeColor="background1"/>
            </w:tcBorders>
            <w:shd w:val="clear" w:color="auto" w:fill="000000"/>
          </w:tcPr>
          <w:p w14:paraId="1747F296" w14:textId="59747A90" w:rsidR="006A3762" w:rsidRPr="003F2CDC" w:rsidRDefault="006A3762" w:rsidP="007A08A5">
            <w:pPr>
              <w:spacing w:before="60" w:after="60"/>
              <w:jc w:val="center"/>
            </w:pPr>
            <w:r w:rsidRPr="009B19FD">
              <w:t xml:space="preserve">Deducted from </w:t>
            </w:r>
            <w:r>
              <w:t>c</w:t>
            </w:r>
            <w:r w:rsidRPr="009B19FD">
              <w:t xml:space="preserve">ommercial </w:t>
            </w:r>
            <w:r>
              <w:t>e</w:t>
            </w:r>
            <w:r w:rsidRPr="009B19FD">
              <w:t xml:space="preserve">nergy </w:t>
            </w:r>
            <w:r>
              <w:t>u</w:t>
            </w:r>
            <w:r w:rsidRPr="009B19FD">
              <w:t xml:space="preserve">se </w:t>
            </w:r>
            <w:r>
              <w:t>(PJ)</w:t>
            </w:r>
          </w:p>
        </w:tc>
      </w:tr>
      <w:tr w:rsidR="007A08A5" w:rsidRPr="00923150" w14:paraId="28438580" w14:textId="77777777" w:rsidTr="00870F76">
        <w:trPr>
          <w:trHeight w:val="456"/>
        </w:trPr>
        <w:tc>
          <w:tcPr>
            <w:tcW w:w="1134" w:type="dxa"/>
            <w:tcBorders>
              <w:top w:val="single" w:sz="4" w:space="0" w:color="000000"/>
            </w:tcBorders>
            <w:vAlign w:val="center"/>
          </w:tcPr>
          <w:p w14:paraId="238C0E3B" w14:textId="06A537E4" w:rsidR="007A08A5" w:rsidRDefault="007A08A5" w:rsidP="00A2756C">
            <w:pPr>
              <w:spacing w:before="60" w:after="60"/>
              <w:jc w:val="left"/>
              <w:rPr>
                <w:sz w:val="20"/>
              </w:rPr>
            </w:pPr>
            <w:r w:rsidRPr="00CB4978">
              <w:t>AC1-1</w:t>
            </w:r>
          </w:p>
        </w:tc>
        <w:tc>
          <w:tcPr>
            <w:tcW w:w="3261" w:type="dxa"/>
            <w:tcBorders>
              <w:top w:val="single" w:sz="4" w:space="0" w:color="000000"/>
            </w:tcBorders>
            <w:vAlign w:val="center"/>
          </w:tcPr>
          <w:p w14:paraId="4F0AC360" w14:textId="4FAC4DD2" w:rsidR="007A08A5" w:rsidRDefault="007A08A5" w:rsidP="00870F76">
            <w:pPr>
              <w:spacing w:before="60" w:after="60"/>
              <w:jc w:val="left"/>
              <w:rPr>
                <w:sz w:val="20"/>
              </w:rPr>
            </w:pPr>
            <w:r w:rsidRPr="001D1AE8">
              <w:t>1Ph N</w:t>
            </w:r>
            <w:r w:rsidR="00870F76">
              <w:t>on d</w:t>
            </w:r>
            <w:r w:rsidRPr="001D1AE8">
              <w:t xml:space="preserve">ucted </w:t>
            </w:r>
            <w:r w:rsidR="00870F76">
              <w:t>s</w:t>
            </w:r>
            <w:r w:rsidRPr="001D1AE8">
              <w:t xml:space="preserve">plit 0-4kW </w:t>
            </w:r>
          </w:p>
        </w:tc>
        <w:tc>
          <w:tcPr>
            <w:tcW w:w="1701" w:type="dxa"/>
            <w:tcBorders>
              <w:top w:val="single" w:sz="4" w:space="0" w:color="000000"/>
            </w:tcBorders>
            <w:vAlign w:val="center"/>
          </w:tcPr>
          <w:p w14:paraId="4E295E07" w14:textId="5F481921" w:rsidR="007A08A5" w:rsidRPr="001D1AE8" w:rsidRDefault="007A08A5" w:rsidP="00876382">
            <w:pPr>
              <w:spacing w:before="60" w:after="60"/>
              <w:jc w:val="center"/>
            </w:pPr>
            <w:r w:rsidRPr="005F175C">
              <w:t>195.2</w:t>
            </w:r>
          </w:p>
        </w:tc>
        <w:tc>
          <w:tcPr>
            <w:tcW w:w="1701" w:type="dxa"/>
            <w:tcBorders>
              <w:top w:val="single" w:sz="4" w:space="0" w:color="000000"/>
            </w:tcBorders>
            <w:vAlign w:val="center"/>
          </w:tcPr>
          <w:p w14:paraId="6AF620D3" w14:textId="5F96A28A" w:rsidR="007A08A5" w:rsidRPr="008343EF" w:rsidRDefault="007A08A5" w:rsidP="007A08A5">
            <w:pPr>
              <w:spacing w:before="60" w:after="60"/>
              <w:jc w:val="center"/>
              <w:rPr>
                <w:sz w:val="20"/>
              </w:rPr>
            </w:pPr>
            <w:r w:rsidRPr="005F175C">
              <w:t>100%</w:t>
            </w:r>
          </w:p>
        </w:tc>
        <w:tc>
          <w:tcPr>
            <w:tcW w:w="1842" w:type="dxa"/>
            <w:tcBorders>
              <w:top w:val="single" w:sz="4" w:space="0" w:color="000000"/>
            </w:tcBorders>
            <w:vAlign w:val="center"/>
          </w:tcPr>
          <w:p w14:paraId="7F562E84" w14:textId="5BA31D8A" w:rsidR="007A08A5" w:rsidRPr="00923150" w:rsidRDefault="007A08A5" w:rsidP="007A08A5">
            <w:pPr>
              <w:spacing w:before="60" w:after="60"/>
              <w:jc w:val="center"/>
              <w:rPr>
                <w:sz w:val="20"/>
              </w:rPr>
            </w:pPr>
            <w:r w:rsidRPr="005F175C">
              <w:t>195.2</w:t>
            </w:r>
          </w:p>
        </w:tc>
      </w:tr>
      <w:tr w:rsidR="007A08A5" w:rsidRPr="00923150" w14:paraId="5973943C" w14:textId="77777777" w:rsidTr="00870F76">
        <w:trPr>
          <w:trHeight w:val="456"/>
        </w:trPr>
        <w:tc>
          <w:tcPr>
            <w:tcW w:w="1134" w:type="dxa"/>
            <w:tcBorders>
              <w:top w:val="single" w:sz="4" w:space="0" w:color="000000"/>
            </w:tcBorders>
            <w:vAlign w:val="center"/>
          </w:tcPr>
          <w:p w14:paraId="4165499B" w14:textId="2CFB7944" w:rsidR="007A08A5" w:rsidRDefault="007A08A5" w:rsidP="00A2756C">
            <w:pPr>
              <w:spacing w:before="60" w:after="60"/>
              <w:jc w:val="left"/>
              <w:rPr>
                <w:sz w:val="20"/>
              </w:rPr>
            </w:pPr>
            <w:r w:rsidRPr="00CB4978">
              <w:t>AC1-1</w:t>
            </w:r>
          </w:p>
        </w:tc>
        <w:tc>
          <w:tcPr>
            <w:tcW w:w="3261" w:type="dxa"/>
            <w:tcBorders>
              <w:top w:val="single" w:sz="4" w:space="0" w:color="000000"/>
            </w:tcBorders>
            <w:vAlign w:val="center"/>
          </w:tcPr>
          <w:p w14:paraId="65C58B6F" w14:textId="78E663B1" w:rsidR="007A08A5" w:rsidRDefault="007A08A5" w:rsidP="00870F76">
            <w:pPr>
              <w:spacing w:before="60" w:after="60"/>
              <w:jc w:val="left"/>
              <w:rPr>
                <w:sz w:val="20"/>
              </w:rPr>
            </w:pPr>
            <w:r w:rsidRPr="001D1AE8">
              <w:t>1Ph N</w:t>
            </w:r>
            <w:r w:rsidR="00870F76">
              <w:t>on d</w:t>
            </w:r>
            <w:r w:rsidRPr="001D1AE8">
              <w:t xml:space="preserve">ucted </w:t>
            </w:r>
            <w:r w:rsidR="00870F76">
              <w:t>s</w:t>
            </w:r>
            <w:r w:rsidRPr="001D1AE8">
              <w:t xml:space="preserve">plit 4-6kW </w:t>
            </w:r>
          </w:p>
        </w:tc>
        <w:tc>
          <w:tcPr>
            <w:tcW w:w="1701" w:type="dxa"/>
            <w:tcBorders>
              <w:top w:val="single" w:sz="4" w:space="0" w:color="000000"/>
            </w:tcBorders>
            <w:vAlign w:val="center"/>
          </w:tcPr>
          <w:p w14:paraId="0D79F741" w14:textId="3F00A897" w:rsidR="007A08A5" w:rsidRPr="001D1AE8" w:rsidRDefault="00876382" w:rsidP="007A08A5">
            <w:pPr>
              <w:spacing w:before="60" w:after="60"/>
              <w:jc w:val="center"/>
            </w:pPr>
            <w:r>
              <w:t>441.9</w:t>
            </w:r>
          </w:p>
        </w:tc>
        <w:tc>
          <w:tcPr>
            <w:tcW w:w="1701" w:type="dxa"/>
            <w:tcBorders>
              <w:top w:val="single" w:sz="4" w:space="0" w:color="000000"/>
            </w:tcBorders>
            <w:vAlign w:val="center"/>
          </w:tcPr>
          <w:p w14:paraId="66831024" w14:textId="0F2D1072" w:rsidR="007A08A5" w:rsidRPr="008343EF" w:rsidRDefault="007A08A5" w:rsidP="007A08A5">
            <w:pPr>
              <w:spacing w:before="60" w:after="60"/>
              <w:jc w:val="center"/>
              <w:rPr>
                <w:sz w:val="20"/>
              </w:rPr>
            </w:pPr>
            <w:r w:rsidRPr="005F175C">
              <w:t>100%</w:t>
            </w:r>
          </w:p>
        </w:tc>
        <w:tc>
          <w:tcPr>
            <w:tcW w:w="1842" w:type="dxa"/>
            <w:tcBorders>
              <w:top w:val="single" w:sz="4" w:space="0" w:color="000000"/>
            </w:tcBorders>
            <w:vAlign w:val="center"/>
          </w:tcPr>
          <w:p w14:paraId="4D0F27B8" w14:textId="188E4FAC" w:rsidR="007A08A5" w:rsidRPr="00923150" w:rsidRDefault="00876382" w:rsidP="007A08A5">
            <w:pPr>
              <w:spacing w:before="60" w:after="60"/>
              <w:jc w:val="center"/>
              <w:rPr>
                <w:sz w:val="20"/>
              </w:rPr>
            </w:pPr>
            <w:r>
              <w:t>441.9</w:t>
            </w:r>
          </w:p>
        </w:tc>
      </w:tr>
      <w:tr w:rsidR="007A08A5" w:rsidRPr="00923150" w14:paraId="1655E053" w14:textId="77777777" w:rsidTr="00870F76">
        <w:trPr>
          <w:trHeight w:val="456"/>
        </w:trPr>
        <w:tc>
          <w:tcPr>
            <w:tcW w:w="1134" w:type="dxa"/>
            <w:tcBorders>
              <w:top w:val="single" w:sz="4" w:space="0" w:color="000000"/>
            </w:tcBorders>
            <w:vAlign w:val="center"/>
          </w:tcPr>
          <w:p w14:paraId="420AAC32" w14:textId="1AA178C3" w:rsidR="007A08A5" w:rsidRDefault="007A08A5" w:rsidP="00A2756C">
            <w:pPr>
              <w:spacing w:before="60" w:after="60"/>
              <w:jc w:val="left"/>
              <w:rPr>
                <w:sz w:val="20"/>
              </w:rPr>
            </w:pPr>
            <w:r w:rsidRPr="00CB4978">
              <w:t>AC1-1</w:t>
            </w:r>
          </w:p>
        </w:tc>
        <w:tc>
          <w:tcPr>
            <w:tcW w:w="3261" w:type="dxa"/>
            <w:tcBorders>
              <w:top w:val="single" w:sz="4" w:space="0" w:color="000000"/>
            </w:tcBorders>
            <w:vAlign w:val="center"/>
          </w:tcPr>
          <w:p w14:paraId="2E7CD14F" w14:textId="46ADC8A4" w:rsidR="007A08A5" w:rsidRDefault="007A08A5" w:rsidP="00870F76">
            <w:pPr>
              <w:spacing w:before="60" w:after="60"/>
              <w:jc w:val="left"/>
              <w:rPr>
                <w:sz w:val="20"/>
              </w:rPr>
            </w:pPr>
            <w:r w:rsidRPr="001D1AE8">
              <w:t>1Ph N</w:t>
            </w:r>
            <w:r w:rsidR="00870F76">
              <w:t>on d</w:t>
            </w:r>
            <w:r w:rsidRPr="001D1AE8">
              <w:t xml:space="preserve">ucted </w:t>
            </w:r>
            <w:r w:rsidR="00870F76">
              <w:t>s</w:t>
            </w:r>
            <w:r w:rsidRPr="001D1AE8">
              <w:t xml:space="preserve">plit 6-10kW </w:t>
            </w:r>
          </w:p>
        </w:tc>
        <w:tc>
          <w:tcPr>
            <w:tcW w:w="1701" w:type="dxa"/>
            <w:tcBorders>
              <w:top w:val="single" w:sz="4" w:space="0" w:color="000000"/>
            </w:tcBorders>
            <w:vAlign w:val="center"/>
          </w:tcPr>
          <w:p w14:paraId="32712521" w14:textId="11BD1997" w:rsidR="007A08A5" w:rsidRPr="001D1AE8" w:rsidRDefault="007A08A5" w:rsidP="00876382">
            <w:pPr>
              <w:spacing w:before="60" w:after="60"/>
              <w:jc w:val="center"/>
            </w:pPr>
            <w:r w:rsidRPr="005F175C">
              <w:t>1</w:t>
            </w:r>
            <w:r>
              <w:t>,</w:t>
            </w:r>
            <w:r w:rsidRPr="005F175C">
              <w:t>336.</w:t>
            </w:r>
            <w:r w:rsidR="00876382">
              <w:t>9</w:t>
            </w:r>
          </w:p>
        </w:tc>
        <w:tc>
          <w:tcPr>
            <w:tcW w:w="1701" w:type="dxa"/>
            <w:tcBorders>
              <w:top w:val="single" w:sz="4" w:space="0" w:color="000000"/>
            </w:tcBorders>
            <w:vAlign w:val="center"/>
          </w:tcPr>
          <w:p w14:paraId="057680B2" w14:textId="2471A352" w:rsidR="007A08A5" w:rsidRPr="008343EF" w:rsidRDefault="007A08A5" w:rsidP="007A08A5">
            <w:pPr>
              <w:spacing w:before="60" w:after="60"/>
              <w:jc w:val="center"/>
              <w:rPr>
                <w:sz w:val="20"/>
              </w:rPr>
            </w:pPr>
            <w:r w:rsidRPr="005F175C">
              <w:t>100%</w:t>
            </w:r>
          </w:p>
        </w:tc>
        <w:tc>
          <w:tcPr>
            <w:tcW w:w="1842" w:type="dxa"/>
            <w:tcBorders>
              <w:top w:val="single" w:sz="4" w:space="0" w:color="000000"/>
            </w:tcBorders>
            <w:vAlign w:val="center"/>
          </w:tcPr>
          <w:p w14:paraId="2E33DA99" w14:textId="032F5E89" w:rsidR="007A08A5" w:rsidRPr="00923150" w:rsidRDefault="007A08A5" w:rsidP="00876382">
            <w:pPr>
              <w:spacing w:before="60" w:after="60"/>
              <w:jc w:val="center"/>
              <w:rPr>
                <w:sz w:val="20"/>
              </w:rPr>
            </w:pPr>
            <w:r w:rsidRPr="005F175C">
              <w:t>1</w:t>
            </w:r>
            <w:r>
              <w:t>,</w:t>
            </w:r>
            <w:r w:rsidR="00876382">
              <w:t>336.9</w:t>
            </w:r>
          </w:p>
        </w:tc>
      </w:tr>
      <w:tr w:rsidR="007A08A5" w:rsidRPr="00923150" w14:paraId="4042741D" w14:textId="77777777" w:rsidTr="00870F76">
        <w:trPr>
          <w:trHeight w:val="456"/>
        </w:trPr>
        <w:tc>
          <w:tcPr>
            <w:tcW w:w="1134" w:type="dxa"/>
            <w:tcBorders>
              <w:top w:val="single" w:sz="4" w:space="0" w:color="000000"/>
            </w:tcBorders>
            <w:vAlign w:val="center"/>
          </w:tcPr>
          <w:p w14:paraId="778B813A" w14:textId="5BB786B2" w:rsidR="007A08A5" w:rsidRDefault="007A08A5" w:rsidP="00A2756C">
            <w:pPr>
              <w:spacing w:before="60" w:after="60"/>
              <w:jc w:val="left"/>
              <w:rPr>
                <w:sz w:val="20"/>
              </w:rPr>
            </w:pPr>
            <w:r w:rsidRPr="00CB4978">
              <w:t>AC1-1</w:t>
            </w:r>
          </w:p>
        </w:tc>
        <w:tc>
          <w:tcPr>
            <w:tcW w:w="3261" w:type="dxa"/>
            <w:tcBorders>
              <w:top w:val="single" w:sz="4" w:space="0" w:color="000000"/>
            </w:tcBorders>
            <w:vAlign w:val="center"/>
          </w:tcPr>
          <w:p w14:paraId="3DE98D4D" w14:textId="7FAB3F84" w:rsidR="007A08A5" w:rsidRDefault="007A08A5" w:rsidP="00870F76">
            <w:pPr>
              <w:spacing w:before="60" w:after="60"/>
              <w:jc w:val="left"/>
              <w:rPr>
                <w:sz w:val="20"/>
              </w:rPr>
            </w:pPr>
            <w:r w:rsidRPr="001D1AE8">
              <w:t>1Ph N</w:t>
            </w:r>
            <w:r w:rsidR="00870F76">
              <w:t>on d</w:t>
            </w:r>
            <w:r w:rsidRPr="001D1AE8">
              <w:t xml:space="preserve">ucted </w:t>
            </w:r>
            <w:r w:rsidR="00870F76">
              <w:t>s</w:t>
            </w:r>
            <w:r w:rsidRPr="001D1AE8">
              <w:t xml:space="preserve">plit&gt;10kW </w:t>
            </w:r>
          </w:p>
        </w:tc>
        <w:tc>
          <w:tcPr>
            <w:tcW w:w="1701" w:type="dxa"/>
            <w:tcBorders>
              <w:top w:val="single" w:sz="4" w:space="0" w:color="000000"/>
            </w:tcBorders>
            <w:vAlign w:val="center"/>
          </w:tcPr>
          <w:p w14:paraId="50E13A39" w14:textId="1E3643EA" w:rsidR="007A08A5" w:rsidRPr="001D1AE8" w:rsidRDefault="00876382" w:rsidP="007A08A5">
            <w:pPr>
              <w:spacing w:before="60" w:after="60"/>
              <w:jc w:val="center"/>
            </w:pPr>
            <w:r>
              <w:t>192.7</w:t>
            </w:r>
          </w:p>
        </w:tc>
        <w:tc>
          <w:tcPr>
            <w:tcW w:w="1701" w:type="dxa"/>
            <w:tcBorders>
              <w:top w:val="single" w:sz="4" w:space="0" w:color="000000"/>
            </w:tcBorders>
            <w:vAlign w:val="center"/>
          </w:tcPr>
          <w:p w14:paraId="43DE86EF" w14:textId="3F082716" w:rsidR="007A08A5" w:rsidRPr="008343EF" w:rsidRDefault="007A08A5" w:rsidP="007A08A5">
            <w:pPr>
              <w:spacing w:before="60" w:after="60"/>
              <w:jc w:val="center"/>
              <w:rPr>
                <w:sz w:val="20"/>
              </w:rPr>
            </w:pPr>
            <w:r w:rsidRPr="005F175C">
              <w:t>100%</w:t>
            </w:r>
          </w:p>
        </w:tc>
        <w:tc>
          <w:tcPr>
            <w:tcW w:w="1842" w:type="dxa"/>
            <w:tcBorders>
              <w:top w:val="single" w:sz="4" w:space="0" w:color="000000"/>
            </w:tcBorders>
            <w:vAlign w:val="center"/>
          </w:tcPr>
          <w:p w14:paraId="4AEB4EFF" w14:textId="3118640C" w:rsidR="007A08A5" w:rsidRPr="00923150" w:rsidRDefault="00876382" w:rsidP="00876382">
            <w:pPr>
              <w:spacing w:before="60" w:after="60"/>
              <w:jc w:val="center"/>
              <w:rPr>
                <w:sz w:val="20"/>
              </w:rPr>
            </w:pPr>
            <w:r>
              <w:t>192.7</w:t>
            </w:r>
          </w:p>
        </w:tc>
      </w:tr>
      <w:tr w:rsidR="007A08A5" w:rsidRPr="00923150" w14:paraId="37B5FCFF" w14:textId="77777777" w:rsidTr="00870F76">
        <w:trPr>
          <w:trHeight w:val="456"/>
        </w:trPr>
        <w:tc>
          <w:tcPr>
            <w:tcW w:w="1134" w:type="dxa"/>
            <w:tcBorders>
              <w:top w:val="single" w:sz="4" w:space="0" w:color="000000"/>
            </w:tcBorders>
            <w:vAlign w:val="center"/>
          </w:tcPr>
          <w:p w14:paraId="506D5074" w14:textId="53C76F1E" w:rsidR="007A08A5" w:rsidRDefault="007A08A5" w:rsidP="00A2756C">
            <w:pPr>
              <w:spacing w:before="60" w:after="60"/>
              <w:jc w:val="left"/>
              <w:rPr>
                <w:sz w:val="20"/>
              </w:rPr>
            </w:pPr>
            <w:r w:rsidRPr="00CB4978">
              <w:t>AC1-2</w:t>
            </w:r>
          </w:p>
        </w:tc>
        <w:tc>
          <w:tcPr>
            <w:tcW w:w="3261" w:type="dxa"/>
            <w:tcBorders>
              <w:top w:val="single" w:sz="4" w:space="0" w:color="000000"/>
            </w:tcBorders>
            <w:vAlign w:val="center"/>
          </w:tcPr>
          <w:p w14:paraId="0CB45CC4" w14:textId="7FB70E72" w:rsidR="007A08A5" w:rsidRDefault="007A08A5" w:rsidP="00870F76">
            <w:pPr>
              <w:spacing w:before="60" w:after="60"/>
              <w:jc w:val="left"/>
              <w:rPr>
                <w:sz w:val="20"/>
              </w:rPr>
            </w:pPr>
            <w:r w:rsidRPr="001D1AE8">
              <w:t>3Ph N</w:t>
            </w:r>
            <w:r w:rsidR="00870F76">
              <w:t>on d</w:t>
            </w:r>
            <w:r w:rsidRPr="001D1AE8">
              <w:t xml:space="preserve">ucted Split 0-20kW </w:t>
            </w:r>
          </w:p>
        </w:tc>
        <w:tc>
          <w:tcPr>
            <w:tcW w:w="1701" w:type="dxa"/>
            <w:tcBorders>
              <w:top w:val="single" w:sz="4" w:space="0" w:color="000000"/>
            </w:tcBorders>
            <w:vAlign w:val="center"/>
          </w:tcPr>
          <w:p w14:paraId="308106D7" w14:textId="160369FB" w:rsidR="007A08A5" w:rsidRPr="001D1AE8" w:rsidRDefault="007A08A5" w:rsidP="007A08A5">
            <w:pPr>
              <w:spacing w:before="60" w:after="60"/>
              <w:jc w:val="center"/>
            </w:pPr>
            <w:r w:rsidRPr="005F175C">
              <w:t>578.3</w:t>
            </w:r>
          </w:p>
        </w:tc>
        <w:tc>
          <w:tcPr>
            <w:tcW w:w="1701" w:type="dxa"/>
            <w:tcBorders>
              <w:top w:val="single" w:sz="4" w:space="0" w:color="000000"/>
            </w:tcBorders>
            <w:vAlign w:val="center"/>
          </w:tcPr>
          <w:p w14:paraId="7E5790E2" w14:textId="39FE2BFF" w:rsidR="007A08A5" w:rsidRPr="008343EF" w:rsidRDefault="007A08A5" w:rsidP="007A08A5">
            <w:pPr>
              <w:spacing w:before="60" w:after="60"/>
              <w:jc w:val="center"/>
              <w:rPr>
                <w:sz w:val="20"/>
              </w:rPr>
            </w:pPr>
            <w:r w:rsidRPr="005F175C">
              <w:t>100%</w:t>
            </w:r>
          </w:p>
        </w:tc>
        <w:tc>
          <w:tcPr>
            <w:tcW w:w="1842" w:type="dxa"/>
            <w:tcBorders>
              <w:top w:val="single" w:sz="4" w:space="0" w:color="000000"/>
            </w:tcBorders>
            <w:vAlign w:val="center"/>
          </w:tcPr>
          <w:p w14:paraId="005E2B76" w14:textId="256199EC" w:rsidR="007A08A5" w:rsidRPr="00923150" w:rsidRDefault="007A08A5" w:rsidP="007A08A5">
            <w:pPr>
              <w:spacing w:before="60" w:after="60"/>
              <w:jc w:val="center"/>
              <w:rPr>
                <w:sz w:val="20"/>
              </w:rPr>
            </w:pPr>
            <w:r w:rsidRPr="005F175C">
              <w:t>578.3</w:t>
            </w:r>
          </w:p>
        </w:tc>
      </w:tr>
      <w:tr w:rsidR="007A08A5" w:rsidRPr="00923150" w14:paraId="6DB8D1D4" w14:textId="77777777" w:rsidTr="00870F76">
        <w:trPr>
          <w:trHeight w:val="456"/>
        </w:trPr>
        <w:tc>
          <w:tcPr>
            <w:tcW w:w="1134" w:type="dxa"/>
            <w:tcBorders>
              <w:top w:val="single" w:sz="4" w:space="0" w:color="000000"/>
            </w:tcBorders>
            <w:vAlign w:val="center"/>
          </w:tcPr>
          <w:p w14:paraId="5BB7A624" w14:textId="5A4B751B" w:rsidR="007A08A5" w:rsidRDefault="007A08A5" w:rsidP="00A2756C">
            <w:pPr>
              <w:spacing w:before="60" w:after="60"/>
              <w:jc w:val="left"/>
              <w:rPr>
                <w:sz w:val="20"/>
              </w:rPr>
            </w:pPr>
            <w:r w:rsidRPr="00CB4978">
              <w:t>AC2-1</w:t>
            </w:r>
          </w:p>
        </w:tc>
        <w:tc>
          <w:tcPr>
            <w:tcW w:w="3261" w:type="dxa"/>
            <w:tcBorders>
              <w:top w:val="single" w:sz="4" w:space="0" w:color="000000"/>
            </w:tcBorders>
            <w:vAlign w:val="center"/>
          </w:tcPr>
          <w:p w14:paraId="2F6DA3B2" w14:textId="715DEB3F" w:rsidR="007A08A5" w:rsidRDefault="007A08A5" w:rsidP="00A2756C">
            <w:pPr>
              <w:spacing w:before="60" w:after="60"/>
              <w:jc w:val="left"/>
              <w:rPr>
                <w:sz w:val="20"/>
              </w:rPr>
            </w:pPr>
            <w:r w:rsidRPr="001D1AE8">
              <w:t>1Ph Ducted</w:t>
            </w:r>
          </w:p>
        </w:tc>
        <w:tc>
          <w:tcPr>
            <w:tcW w:w="1701" w:type="dxa"/>
            <w:tcBorders>
              <w:top w:val="single" w:sz="4" w:space="0" w:color="000000"/>
            </w:tcBorders>
            <w:vAlign w:val="center"/>
          </w:tcPr>
          <w:p w14:paraId="780C2409" w14:textId="0ED4D206" w:rsidR="007A08A5" w:rsidRPr="001D1AE8" w:rsidRDefault="007A08A5" w:rsidP="007A08A5">
            <w:pPr>
              <w:spacing w:before="60" w:after="60"/>
              <w:jc w:val="center"/>
            </w:pPr>
            <w:r w:rsidRPr="005F175C">
              <w:t>1</w:t>
            </w:r>
            <w:r>
              <w:t>,</w:t>
            </w:r>
            <w:r w:rsidR="00876382">
              <w:t>129.</w:t>
            </w:r>
            <w:r w:rsidRPr="005F175C">
              <w:t>9</w:t>
            </w:r>
          </w:p>
        </w:tc>
        <w:tc>
          <w:tcPr>
            <w:tcW w:w="1701" w:type="dxa"/>
            <w:tcBorders>
              <w:top w:val="single" w:sz="4" w:space="0" w:color="000000"/>
            </w:tcBorders>
            <w:vAlign w:val="center"/>
          </w:tcPr>
          <w:p w14:paraId="1C2DBDBB" w14:textId="0B22A311" w:rsidR="007A08A5" w:rsidRPr="008343EF" w:rsidRDefault="007A08A5" w:rsidP="007A08A5">
            <w:pPr>
              <w:spacing w:before="60" w:after="60"/>
              <w:jc w:val="center"/>
              <w:rPr>
                <w:sz w:val="20"/>
              </w:rPr>
            </w:pPr>
            <w:r w:rsidRPr="005F175C">
              <w:t>100%</w:t>
            </w:r>
          </w:p>
        </w:tc>
        <w:tc>
          <w:tcPr>
            <w:tcW w:w="1842" w:type="dxa"/>
            <w:tcBorders>
              <w:top w:val="single" w:sz="4" w:space="0" w:color="000000"/>
            </w:tcBorders>
            <w:vAlign w:val="center"/>
          </w:tcPr>
          <w:p w14:paraId="21D46F26" w14:textId="3136C69E" w:rsidR="007A08A5" w:rsidRPr="00923150" w:rsidRDefault="007A08A5" w:rsidP="007A08A5">
            <w:pPr>
              <w:spacing w:before="60" w:after="60"/>
              <w:jc w:val="center"/>
              <w:rPr>
                <w:sz w:val="20"/>
              </w:rPr>
            </w:pPr>
            <w:r w:rsidRPr="005F175C">
              <w:t>1</w:t>
            </w:r>
            <w:r>
              <w:t>,</w:t>
            </w:r>
            <w:r w:rsidR="00876382">
              <w:t>129.</w:t>
            </w:r>
            <w:r w:rsidRPr="005F175C">
              <w:t>9</w:t>
            </w:r>
          </w:p>
        </w:tc>
      </w:tr>
      <w:tr w:rsidR="007A08A5" w:rsidRPr="00923150" w14:paraId="1526DF0A" w14:textId="77777777" w:rsidTr="00870F76">
        <w:trPr>
          <w:trHeight w:val="456"/>
        </w:trPr>
        <w:tc>
          <w:tcPr>
            <w:tcW w:w="1134" w:type="dxa"/>
            <w:tcBorders>
              <w:top w:val="single" w:sz="4" w:space="0" w:color="000000"/>
            </w:tcBorders>
            <w:vAlign w:val="center"/>
          </w:tcPr>
          <w:p w14:paraId="6656A7BA" w14:textId="58E3B498" w:rsidR="007A08A5" w:rsidRDefault="007A08A5" w:rsidP="00A2756C">
            <w:pPr>
              <w:spacing w:before="60" w:after="60"/>
              <w:jc w:val="left"/>
              <w:rPr>
                <w:sz w:val="20"/>
              </w:rPr>
            </w:pPr>
            <w:r w:rsidRPr="00CB4978">
              <w:t>AC2-2</w:t>
            </w:r>
          </w:p>
        </w:tc>
        <w:tc>
          <w:tcPr>
            <w:tcW w:w="3261" w:type="dxa"/>
            <w:tcBorders>
              <w:top w:val="single" w:sz="4" w:space="0" w:color="000000"/>
            </w:tcBorders>
            <w:vAlign w:val="center"/>
          </w:tcPr>
          <w:p w14:paraId="256D7233" w14:textId="1C3C6FE8" w:rsidR="007A08A5" w:rsidRDefault="007A08A5" w:rsidP="00A2756C">
            <w:pPr>
              <w:spacing w:before="60" w:after="60"/>
              <w:jc w:val="left"/>
              <w:rPr>
                <w:sz w:val="20"/>
              </w:rPr>
            </w:pPr>
            <w:r w:rsidRPr="001D1AE8">
              <w:t xml:space="preserve">3Ph Ducted 0-20kW </w:t>
            </w:r>
          </w:p>
        </w:tc>
        <w:tc>
          <w:tcPr>
            <w:tcW w:w="1701" w:type="dxa"/>
            <w:tcBorders>
              <w:top w:val="single" w:sz="4" w:space="0" w:color="000000"/>
            </w:tcBorders>
            <w:vAlign w:val="center"/>
          </w:tcPr>
          <w:p w14:paraId="25204746" w14:textId="1589E562" w:rsidR="007A08A5" w:rsidRPr="001D1AE8" w:rsidRDefault="007A08A5" w:rsidP="00876382">
            <w:pPr>
              <w:spacing w:before="60" w:after="60"/>
              <w:jc w:val="center"/>
            </w:pPr>
            <w:r w:rsidRPr="005F175C">
              <w:t>808.7</w:t>
            </w:r>
          </w:p>
        </w:tc>
        <w:tc>
          <w:tcPr>
            <w:tcW w:w="1701" w:type="dxa"/>
            <w:tcBorders>
              <w:top w:val="single" w:sz="4" w:space="0" w:color="000000"/>
            </w:tcBorders>
            <w:vAlign w:val="center"/>
          </w:tcPr>
          <w:p w14:paraId="72C2CA05" w14:textId="737E25B2" w:rsidR="007A08A5" w:rsidRPr="008343EF" w:rsidRDefault="007A08A5" w:rsidP="007A08A5">
            <w:pPr>
              <w:spacing w:before="60" w:after="60"/>
              <w:jc w:val="center"/>
              <w:rPr>
                <w:sz w:val="20"/>
              </w:rPr>
            </w:pPr>
            <w:r w:rsidRPr="005F175C">
              <w:t>75%</w:t>
            </w:r>
          </w:p>
        </w:tc>
        <w:tc>
          <w:tcPr>
            <w:tcW w:w="1842" w:type="dxa"/>
            <w:tcBorders>
              <w:top w:val="single" w:sz="4" w:space="0" w:color="000000"/>
            </w:tcBorders>
            <w:vAlign w:val="center"/>
          </w:tcPr>
          <w:p w14:paraId="35CD0433" w14:textId="00696247" w:rsidR="007A08A5" w:rsidRPr="00923150" w:rsidRDefault="00876382" w:rsidP="00876382">
            <w:pPr>
              <w:spacing w:before="60" w:after="60"/>
              <w:jc w:val="center"/>
              <w:rPr>
                <w:sz w:val="20"/>
              </w:rPr>
            </w:pPr>
            <w:r>
              <w:t>606.6</w:t>
            </w:r>
          </w:p>
        </w:tc>
      </w:tr>
      <w:tr w:rsidR="007A08A5" w:rsidRPr="00923150" w14:paraId="2F3BF02B" w14:textId="77777777" w:rsidTr="00870F76">
        <w:trPr>
          <w:trHeight w:val="456"/>
        </w:trPr>
        <w:tc>
          <w:tcPr>
            <w:tcW w:w="1134" w:type="dxa"/>
            <w:tcBorders>
              <w:top w:val="single" w:sz="4" w:space="0" w:color="000000"/>
            </w:tcBorders>
            <w:vAlign w:val="center"/>
          </w:tcPr>
          <w:p w14:paraId="0F473331" w14:textId="76A67EAF" w:rsidR="007A08A5" w:rsidRDefault="007A08A5" w:rsidP="00A2756C">
            <w:pPr>
              <w:spacing w:before="60" w:after="60"/>
              <w:jc w:val="left"/>
              <w:rPr>
                <w:sz w:val="20"/>
              </w:rPr>
            </w:pPr>
            <w:r w:rsidRPr="00CB4978">
              <w:t>AC2-2</w:t>
            </w:r>
          </w:p>
        </w:tc>
        <w:tc>
          <w:tcPr>
            <w:tcW w:w="3261" w:type="dxa"/>
            <w:tcBorders>
              <w:top w:val="single" w:sz="4" w:space="0" w:color="000000"/>
            </w:tcBorders>
            <w:vAlign w:val="center"/>
          </w:tcPr>
          <w:p w14:paraId="398386E3" w14:textId="706CF400" w:rsidR="007A08A5" w:rsidRDefault="007A08A5" w:rsidP="00A2756C">
            <w:pPr>
              <w:spacing w:before="60" w:after="60"/>
              <w:jc w:val="left"/>
              <w:rPr>
                <w:sz w:val="20"/>
              </w:rPr>
            </w:pPr>
            <w:r w:rsidRPr="001D1AE8">
              <w:t xml:space="preserve">3Ph Ducted 20-40kW </w:t>
            </w:r>
          </w:p>
        </w:tc>
        <w:tc>
          <w:tcPr>
            <w:tcW w:w="1701" w:type="dxa"/>
            <w:tcBorders>
              <w:top w:val="single" w:sz="4" w:space="0" w:color="000000"/>
            </w:tcBorders>
            <w:vAlign w:val="center"/>
          </w:tcPr>
          <w:p w14:paraId="5B47795E" w14:textId="663192BA" w:rsidR="007A08A5" w:rsidRPr="001D1AE8" w:rsidRDefault="007A08A5" w:rsidP="00876382">
            <w:pPr>
              <w:spacing w:before="60" w:after="60"/>
              <w:jc w:val="center"/>
            </w:pPr>
            <w:r w:rsidRPr="005F175C">
              <w:t>2</w:t>
            </w:r>
            <w:r>
              <w:t>,</w:t>
            </w:r>
            <w:r w:rsidRPr="005F175C">
              <w:t>241.8</w:t>
            </w:r>
          </w:p>
        </w:tc>
        <w:tc>
          <w:tcPr>
            <w:tcW w:w="1701" w:type="dxa"/>
            <w:tcBorders>
              <w:top w:val="single" w:sz="4" w:space="0" w:color="000000"/>
            </w:tcBorders>
            <w:vAlign w:val="center"/>
          </w:tcPr>
          <w:p w14:paraId="05DA9320" w14:textId="7782DF2E" w:rsidR="007A08A5" w:rsidRPr="008343EF" w:rsidRDefault="007A08A5" w:rsidP="007A08A5">
            <w:pPr>
              <w:spacing w:before="60" w:after="60"/>
              <w:jc w:val="center"/>
              <w:rPr>
                <w:sz w:val="20"/>
              </w:rPr>
            </w:pPr>
            <w:r w:rsidRPr="005F175C">
              <w:t>40%</w:t>
            </w:r>
          </w:p>
        </w:tc>
        <w:tc>
          <w:tcPr>
            <w:tcW w:w="1842" w:type="dxa"/>
            <w:tcBorders>
              <w:top w:val="single" w:sz="4" w:space="0" w:color="000000"/>
            </w:tcBorders>
            <w:vAlign w:val="center"/>
          </w:tcPr>
          <w:p w14:paraId="2D4AF23E" w14:textId="65EBEA99" w:rsidR="007A08A5" w:rsidRPr="00923150" w:rsidRDefault="007A08A5" w:rsidP="007A08A5">
            <w:pPr>
              <w:spacing w:before="60" w:after="60"/>
              <w:jc w:val="center"/>
              <w:rPr>
                <w:sz w:val="20"/>
              </w:rPr>
            </w:pPr>
            <w:r w:rsidRPr="005F175C">
              <w:t>896.7</w:t>
            </w:r>
          </w:p>
        </w:tc>
      </w:tr>
      <w:tr w:rsidR="007A08A5" w:rsidRPr="00923150" w14:paraId="19BC39CF" w14:textId="77777777" w:rsidTr="00870F76">
        <w:trPr>
          <w:trHeight w:val="456"/>
        </w:trPr>
        <w:tc>
          <w:tcPr>
            <w:tcW w:w="1134" w:type="dxa"/>
            <w:tcBorders>
              <w:top w:val="single" w:sz="4" w:space="0" w:color="000000"/>
            </w:tcBorders>
            <w:vAlign w:val="center"/>
          </w:tcPr>
          <w:p w14:paraId="29796B94" w14:textId="5E0FE486" w:rsidR="007A08A5" w:rsidRDefault="007A08A5" w:rsidP="00A2756C">
            <w:pPr>
              <w:spacing w:before="60" w:after="60"/>
              <w:jc w:val="left"/>
              <w:rPr>
                <w:sz w:val="20"/>
              </w:rPr>
            </w:pPr>
            <w:r w:rsidRPr="00CB4978">
              <w:t>AC2-2</w:t>
            </w:r>
          </w:p>
        </w:tc>
        <w:tc>
          <w:tcPr>
            <w:tcW w:w="3261" w:type="dxa"/>
            <w:tcBorders>
              <w:top w:val="single" w:sz="4" w:space="0" w:color="000000"/>
            </w:tcBorders>
            <w:vAlign w:val="center"/>
          </w:tcPr>
          <w:p w14:paraId="3220CAF5" w14:textId="05DF981F" w:rsidR="007A08A5" w:rsidRDefault="007A08A5" w:rsidP="00A2756C">
            <w:pPr>
              <w:spacing w:before="60" w:after="60"/>
              <w:jc w:val="left"/>
              <w:rPr>
                <w:sz w:val="20"/>
              </w:rPr>
            </w:pPr>
            <w:r w:rsidRPr="001D1AE8">
              <w:t xml:space="preserve">3Ph Ducted &gt;40kW </w:t>
            </w:r>
          </w:p>
        </w:tc>
        <w:tc>
          <w:tcPr>
            <w:tcW w:w="1701" w:type="dxa"/>
            <w:tcBorders>
              <w:top w:val="single" w:sz="4" w:space="0" w:color="000000"/>
            </w:tcBorders>
            <w:vAlign w:val="center"/>
          </w:tcPr>
          <w:p w14:paraId="2E6EFB77" w14:textId="2DFBA86C" w:rsidR="007A08A5" w:rsidRPr="001D1AE8" w:rsidRDefault="007A08A5" w:rsidP="007A08A5">
            <w:pPr>
              <w:spacing w:before="60" w:after="60"/>
              <w:jc w:val="center"/>
            </w:pPr>
            <w:r w:rsidRPr="005F175C">
              <w:t>275.2</w:t>
            </w:r>
          </w:p>
        </w:tc>
        <w:tc>
          <w:tcPr>
            <w:tcW w:w="1701" w:type="dxa"/>
            <w:tcBorders>
              <w:top w:val="single" w:sz="4" w:space="0" w:color="000000"/>
            </w:tcBorders>
            <w:vAlign w:val="center"/>
          </w:tcPr>
          <w:p w14:paraId="2F16E9B4" w14:textId="4BA19C45" w:rsidR="007A08A5" w:rsidRPr="008343EF" w:rsidRDefault="007A08A5" w:rsidP="007A08A5">
            <w:pPr>
              <w:spacing w:before="60" w:after="60"/>
              <w:jc w:val="center"/>
              <w:rPr>
                <w:sz w:val="20"/>
              </w:rPr>
            </w:pPr>
            <w:r w:rsidRPr="005F175C">
              <w:t>10%</w:t>
            </w:r>
          </w:p>
        </w:tc>
        <w:tc>
          <w:tcPr>
            <w:tcW w:w="1842" w:type="dxa"/>
            <w:tcBorders>
              <w:top w:val="single" w:sz="4" w:space="0" w:color="000000"/>
            </w:tcBorders>
            <w:vAlign w:val="center"/>
          </w:tcPr>
          <w:p w14:paraId="1D1069EC" w14:textId="229A9A46" w:rsidR="007A08A5" w:rsidRPr="00923150" w:rsidRDefault="007A08A5" w:rsidP="007A08A5">
            <w:pPr>
              <w:spacing w:before="60" w:after="60"/>
              <w:jc w:val="center"/>
              <w:rPr>
                <w:sz w:val="20"/>
              </w:rPr>
            </w:pPr>
            <w:r w:rsidRPr="005F175C">
              <w:t>27.5</w:t>
            </w:r>
          </w:p>
        </w:tc>
      </w:tr>
      <w:tr w:rsidR="007A08A5" w:rsidRPr="00923150" w14:paraId="0A4A5882" w14:textId="77777777" w:rsidTr="00870F76">
        <w:trPr>
          <w:trHeight w:val="456"/>
        </w:trPr>
        <w:tc>
          <w:tcPr>
            <w:tcW w:w="1134" w:type="dxa"/>
            <w:tcBorders>
              <w:top w:val="single" w:sz="4" w:space="0" w:color="000000"/>
            </w:tcBorders>
            <w:vAlign w:val="center"/>
          </w:tcPr>
          <w:p w14:paraId="65028114" w14:textId="0F0A8E05" w:rsidR="007A08A5" w:rsidRDefault="007A08A5" w:rsidP="00A2756C">
            <w:pPr>
              <w:spacing w:before="60" w:after="60"/>
              <w:jc w:val="left"/>
              <w:rPr>
                <w:sz w:val="20"/>
              </w:rPr>
            </w:pPr>
            <w:r w:rsidRPr="00CB4978">
              <w:t>AC3</w:t>
            </w:r>
          </w:p>
        </w:tc>
        <w:tc>
          <w:tcPr>
            <w:tcW w:w="3261" w:type="dxa"/>
            <w:tcBorders>
              <w:top w:val="single" w:sz="4" w:space="0" w:color="000000"/>
            </w:tcBorders>
            <w:vAlign w:val="center"/>
          </w:tcPr>
          <w:p w14:paraId="2C1ED607" w14:textId="7B661FE6" w:rsidR="007A08A5" w:rsidRDefault="007A08A5" w:rsidP="00870F76">
            <w:pPr>
              <w:spacing w:before="60" w:after="60"/>
              <w:jc w:val="left"/>
              <w:rPr>
                <w:sz w:val="20"/>
              </w:rPr>
            </w:pPr>
            <w:r w:rsidRPr="001D1AE8">
              <w:t>1Ph N</w:t>
            </w:r>
            <w:r w:rsidR="00870F76">
              <w:t>on d</w:t>
            </w:r>
            <w:r w:rsidRPr="001D1AE8">
              <w:t xml:space="preserve">ucted </w:t>
            </w:r>
            <w:r w:rsidR="00870F76">
              <w:t>u</w:t>
            </w:r>
            <w:r w:rsidRPr="001D1AE8">
              <w:t xml:space="preserve">nitary 0-10kW </w:t>
            </w:r>
          </w:p>
        </w:tc>
        <w:tc>
          <w:tcPr>
            <w:tcW w:w="1701" w:type="dxa"/>
            <w:tcBorders>
              <w:top w:val="single" w:sz="4" w:space="0" w:color="000000"/>
            </w:tcBorders>
            <w:vAlign w:val="center"/>
          </w:tcPr>
          <w:p w14:paraId="2AE39E42" w14:textId="4C4E60B9" w:rsidR="007A08A5" w:rsidRPr="001D1AE8" w:rsidRDefault="007A08A5" w:rsidP="00876382">
            <w:pPr>
              <w:spacing w:before="60" w:after="60"/>
              <w:jc w:val="center"/>
            </w:pPr>
            <w:r w:rsidRPr="005F175C">
              <w:t>1</w:t>
            </w:r>
            <w:r>
              <w:t>,</w:t>
            </w:r>
            <w:r w:rsidRPr="005F175C">
              <w:t>019.4</w:t>
            </w:r>
          </w:p>
        </w:tc>
        <w:tc>
          <w:tcPr>
            <w:tcW w:w="1701" w:type="dxa"/>
            <w:tcBorders>
              <w:top w:val="single" w:sz="4" w:space="0" w:color="000000"/>
            </w:tcBorders>
            <w:vAlign w:val="center"/>
          </w:tcPr>
          <w:p w14:paraId="36058463" w14:textId="48A919CC" w:rsidR="007A08A5" w:rsidRPr="008343EF" w:rsidRDefault="007A08A5" w:rsidP="007A08A5">
            <w:pPr>
              <w:spacing w:before="60" w:after="60"/>
              <w:jc w:val="center"/>
              <w:rPr>
                <w:sz w:val="20"/>
              </w:rPr>
            </w:pPr>
            <w:r w:rsidRPr="005F175C">
              <w:t>100%</w:t>
            </w:r>
          </w:p>
        </w:tc>
        <w:tc>
          <w:tcPr>
            <w:tcW w:w="1842" w:type="dxa"/>
            <w:tcBorders>
              <w:top w:val="single" w:sz="4" w:space="0" w:color="000000"/>
            </w:tcBorders>
            <w:vAlign w:val="center"/>
          </w:tcPr>
          <w:p w14:paraId="0CB4AC80" w14:textId="4FFD90AD" w:rsidR="007A08A5" w:rsidRPr="00923150" w:rsidRDefault="007A08A5" w:rsidP="00876382">
            <w:pPr>
              <w:spacing w:before="60" w:after="60"/>
              <w:jc w:val="center"/>
              <w:rPr>
                <w:sz w:val="20"/>
              </w:rPr>
            </w:pPr>
            <w:r w:rsidRPr="005F175C">
              <w:t>1</w:t>
            </w:r>
            <w:r>
              <w:t>,</w:t>
            </w:r>
            <w:r w:rsidRPr="005F175C">
              <w:t>019.4</w:t>
            </w:r>
          </w:p>
        </w:tc>
      </w:tr>
      <w:tr w:rsidR="007A08A5" w:rsidRPr="00923150" w14:paraId="35FB7948" w14:textId="77777777" w:rsidTr="00870F76">
        <w:trPr>
          <w:trHeight w:val="456"/>
        </w:trPr>
        <w:tc>
          <w:tcPr>
            <w:tcW w:w="1134" w:type="dxa"/>
            <w:vAlign w:val="center"/>
          </w:tcPr>
          <w:p w14:paraId="61323AEE" w14:textId="7CD87523" w:rsidR="007A08A5" w:rsidRDefault="007A08A5" w:rsidP="00A2756C">
            <w:pPr>
              <w:spacing w:before="60" w:after="60"/>
              <w:jc w:val="left"/>
              <w:rPr>
                <w:sz w:val="20"/>
              </w:rPr>
            </w:pPr>
            <w:r w:rsidRPr="00CB4978">
              <w:t>AC4</w:t>
            </w:r>
          </w:p>
        </w:tc>
        <w:tc>
          <w:tcPr>
            <w:tcW w:w="3261" w:type="dxa"/>
            <w:vAlign w:val="center"/>
          </w:tcPr>
          <w:p w14:paraId="5F0BB625" w14:textId="325FDEFD" w:rsidR="007A08A5" w:rsidRDefault="007A08A5" w:rsidP="00A2756C">
            <w:pPr>
              <w:spacing w:before="60" w:after="60"/>
              <w:jc w:val="left"/>
              <w:rPr>
                <w:sz w:val="20"/>
              </w:rPr>
            </w:pPr>
            <w:r w:rsidRPr="001D1AE8">
              <w:t>Portable AC 0-10kW</w:t>
            </w:r>
          </w:p>
        </w:tc>
        <w:tc>
          <w:tcPr>
            <w:tcW w:w="1701" w:type="dxa"/>
            <w:vAlign w:val="center"/>
          </w:tcPr>
          <w:p w14:paraId="6AC8F264" w14:textId="4F9232ED" w:rsidR="007A08A5" w:rsidRPr="001D1AE8" w:rsidRDefault="007A08A5" w:rsidP="007A08A5">
            <w:pPr>
              <w:spacing w:before="60" w:after="60"/>
              <w:jc w:val="center"/>
            </w:pPr>
            <w:r w:rsidRPr="005F175C">
              <w:t>31.7</w:t>
            </w:r>
          </w:p>
        </w:tc>
        <w:tc>
          <w:tcPr>
            <w:tcW w:w="1701" w:type="dxa"/>
            <w:vAlign w:val="center"/>
          </w:tcPr>
          <w:p w14:paraId="5F5782AE" w14:textId="73D8BA48" w:rsidR="007A08A5" w:rsidRDefault="007A08A5" w:rsidP="007A08A5">
            <w:pPr>
              <w:spacing w:before="60" w:after="60"/>
              <w:jc w:val="center"/>
              <w:rPr>
                <w:sz w:val="20"/>
              </w:rPr>
            </w:pPr>
            <w:r w:rsidRPr="005F175C">
              <w:t>100%</w:t>
            </w:r>
          </w:p>
        </w:tc>
        <w:tc>
          <w:tcPr>
            <w:tcW w:w="1842" w:type="dxa"/>
            <w:vAlign w:val="center"/>
          </w:tcPr>
          <w:p w14:paraId="3B3D33DD" w14:textId="4DA42A2B" w:rsidR="007A08A5" w:rsidRDefault="007A08A5" w:rsidP="007A08A5">
            <w:pPr>
              <w:spacing w:before="60" w:after="60"/>
              <w:jc w:val="center"/>
              <w:rPr>
                <w:sz w:val="20"/>
              </w:rPr>
            </w:pPr>
            <w:r w:rsidRPr="005F175C">
              <w:t>31.7</w:t>
            </w:r>
          </w:p>
        </w:tc>
      </w:tr>
      <w:tr w:rsidR="007A08A5" w:rsidRPr="00923150" w14:paraId="0123C2EE" w14:textId="77777777" w:rsidTr="00870F76">
        <w:trPr>
          <w:trHeight w:val="456"/>
        </w:trPr>
        <w:tc>
          <w:tcPr>
            <w:tcW w:w="1134" w:type="dxa"/>
            <w:vAlign w:val="center"/>
          </w:tcPr>
          <w:p w14:paraId="0B688A63" w14:textId="42069266" w:rsidR="007A08A5" w:rsidRDefault="007A08A5" w:rsidP="00A2756C">
            <w:pPr>
              <w:spacing w:before="60" w:after="60"/>
              <w:jc w:val="left"/>
              <w:rPr>
                <w:sz w:val="20"/>
              </w:rPr>
            </w:pPr>
            <w:r w:rsidRPr="00CB4978">
              <w:t>AC6-1</w:t>
            </w:r>
          </w:p>
        </w:tc>
        <w:tc>
          <w:tcPr>
            <w:tcW w:w="3261" w:type="dxa"/>
            <w:vAlign w:val="center"/>
          </w:tcPr>
          <w:p w14:paraId="4491B987" w14:textId="13ED4FAF" w:rsidR="007A08A5" w:rsidRDefault="007A08A5" w:rsidP="00A2756C">
            <w:pPr>
              <w:spacing w:before="60" w:after="60"/>
              <w:jc w:val="left"/>
              <w:rPr>
                <w:sz w:val="20"/>
              </w:rPr>
            </w:pPr>
            <w:r w:rsidRPr="001D1AE8">
              <w:t>Multi Splits - Com</w:t>
            </w:r>
          </w:p>
        </w:tc>
        <w:tc>
          <w:tcPr>
            <w:tcW w:w="1701" w:type="dxa"/>
            <w:vAlign w:val="center"/>
          </w:tcPr>
          <w:p w14:paraId="5ABF5130" w14:textId="68D4C85D" w:rsidR="007A08A5" w:rsidRPr="001D1AE8" w:rsidRDefault="007A08A5" w:rsidP="00876382">
            <w:pPr>
              <w:spacing w:before="60" w:after="60"/>
              <w:jc w:val="center"/>
            </w:pPr>
            <w:r w:rsidRPr="005F175C">
              <w:t>1</w:t>
            </w:r>
            <w:r>
              <w:t>,</w:t>
            </w:r>
            <w:r w:rsidRPr="005F175C">
              <w:t>739.0</w:t>
            </w:r>
          </w:p>
        </w:tc>
        <w:tc>
          <w:tcPr>
            <w:tcW w:w="1701" w:type="dxa"/>
            <w:vAlign w:val="center"/>
          </w:tcPr>
          <w:p w14:paraId="25874769" w14:textId="17CA3963" w:rsidR="007A08A5" w:rsidRDefault="007A08A5" w:rsidP="007A08A5">
            <w:pPr>
              <w:spacing w:before="60" w:after="60"/>
              <w:jc w:val="center"/>
              <w:rPr>
                <w:sz w:val="20"/>
              </w:rPr>
            </w:pPr>
            <w:r w:rsidRPr="005F175C">
              <w:t>40%</w:t>
            </w:r>
          </w:p>
        </w:tc>
        <w:tc>
          <w:tcPr>
            <w:tcW w:w="1842" w:type="dxa"/>
            <w:vAlign w:val="center"/>
          </w:tcPr>
          <w:p w14:paraId="51CB590A" w14:textId="6CAA4717" w:rsidR="007A08A5" w:rsidRDefault="007A08A5" w:rsidP="00876382">
            <w:pPr>
              <w:spacing w:before="60" w:after="60"/>
              <w:jc w:val="center"/>
              <w:rPr>
                <w:sz w:val="20"/>
              </w:rPr>
            </w:pPr>
            <w:r w:rsidRPr="005F175C">
              <w:t>695.6</w:t>
            </w:r>
          </w:p>
        </w:tc>
      </w:tr>
      <w:tr w:rsidR="007A08A5" w:rsidRPr="003E19E1" w14:paraId="73DAF960" w14:textId="77777777" w:rsidTr="00870F76">
        <w:trPr>
          <w:trHeight w:val="456"/>
        </w:trPr>
        <w:tc>
          <w:tcPr>
            <w:tcW w:w="1134" w:type="dxa"/>
            <w:tcBorders>
              <w:top w:val="double" w:sz="4" w:space="0" w:color="auto"/>
            </w:tcBorders>
            <w:vAlign w:val="center"/>
          </w:tcPr>
          <w:p w14:paraId="10AB3B41" w14:textId="671D9649" w:rsidR="007A08A5" w:rsidRPr="003E19E1" w:rsidRDefault="007A08A5" w:rsidP="00155127">
            <w:pPr>
              <w:spacing w:before="60" w:after="60"/>
              <w:jc w:val="left"/>
              <w:rPr>
                <w:szCs w:val="22"/>
              </w:rPr>
            </w:pPr>
            <w:r>
              <w:rPr>
                <w:szCs w:val="22"/>
              </w:rPr>
              <w:t>Total</w:t>
            </w:r>
          </w:p>
        </w:tc>
        <w:tc>
          <w:tcPr>
            <w:tcW w:w="3261" w:type="dxa"/>
            <w:tcBorders>
              <w:top w:val="double" w:sz="4" w:space="0" w:color="auto"/>
            </w:tcBorders>
            <w:vAlign w:val="center"/>
          </w:tcPr>
          <w:p w14:paraId="140CF3CC" w14:textId="4188EF3F" w:rsidR="007A08A5" w:rsidRPr="003E19E1" w:rsidRDefault="007A08A5" w:rsidP="00A2756C">
            <w:pPr>
              <w:spacing w:before="60" w:after="60"/>
              <w:jc w:val="left"/>
              <w:rPr>
                <w:szCs w:val="22"/>
              </w:rPr>
            </w:pPr>
            <w:r w:rsidRPr="001D1AE8">
              <w:t xml:space="preserve"> </w:t>
            </w:r>
          </w:p>
        </w:tc>
        <w:tc>
          <w:tcPr>
            <w:tcW w:w="1701" w:type="dxa"/>
            <w:tcBorders>
              <w:top w:val="double" w:sz="4" w:space="0" w:color="auto"/>
            </w:tcBorders>
            <w:vAlign w:val="center"/>
          </w:tcPr>
          <w:p w14:paraId="5BD68D01" w14:textId="00EFF09D" w:rsidR="007A08A5" w:rsidRPr="001D1AE8" w:rsidRDefault="007A08A5" w:rsidP="007A08A5">
            <w:pPr>
              <w:spacing w:before="60" w:after="60"/>
              <w:jc w:val="center"/>
            </w:pPr>
          </w:p>
        </w:tc>
        <w:tc>
          <w:tcPr>
            <w:tcW w:w="1701" w:type="dxa"/>
            <w:tcBorders>
              <w:top w:val="double" w:sz="4" w:space="0" w:color="auto"/>
            </w:tcBorders>
            <w:vAlign w:val="center"/>
          </w:tcPr>
          <w:p w14:paraId="4FF1A204" w14:textId="0FEE5A54" w:rsidR="007A08A5" w:rsidRPr="003E19E1" w:rsidRDefault="007A08A5" w:rsidP="007A08A5">
            <w:pPr>
              <w:spacing w:before="60" w:after="60"/>
              <w:jc w:val="center"/>
              <w:rPr>
                <w:szCs w:val="22"/>
              </w:rPr>
            </w:pPr>
          </w:p>
        </w:tc>
        <w:tc>
          <w:tcPr>
            <w:tcW w:w="1842" w:type="dxa"/>
            <w:tcBorders>
              <w:top w:val="double" w:sz="4" w:space="0" w:color="auto"/>
            </w:tcBorders>
            <w:vAlign w:val="center"/>
          </w:tcPr>
          <w:p w14:paraId="03E1432E" w14:textId="5B7620EF" w:rsidR="007A08A5" w:rsidRPr="003E19E1" w:rsidRDefault="007A08A5" w:rsidP="00876382">
            <w:pPr>
              <w:spacing w:before="60" w:after="60"/>
              <w:jc w:val="center"/>
              <w:rPr>
                <w:szCs w:val="22"/>
              </w:rPr>
            </w:pPr>
            <w:r w:rsidRPr="005F175C">
              <w:t>7</w:t>
            </w:r>
            <w:r>
              <w:t>,</w:t>
            </w:r>
            <w:r w:rsidRPr="005F175C">
              <w:t>152.4</w:t>
            </w:r>
          </w:p>
        </w:tc>
      </w:tr>
    </w:tbl>
    <w:p w14:paraId="1CFF547F" w14:textId="561C2B2C" w:rsidR="000610C5" w:rsidRPr="007E186B" w:rsidRDefault="000610C5" w:rsidP="000610C5">
      <w:pPr>
        <w:rPr>
          <w:szCs w:val="22"/>
        </w:rPr>
      </w:pPr>
      <w:r w:rsidRPr="007E186B">
        <w:rPr>
          <w:szCs w:val="22"/>
        </w:rPr>
        <w:t xml:space="preserve">When deducting the electricity used in these non-residential applications from 23,382 GWh arrived </w:t>
      </w:r>
      <w:r w:rsidR="007A4E6A">
        <w:rPr>
          <w:szCs w:val="22"/>
        </w:rPr>
        <w:t xml:space="preserve">at </w:t>
      </w:r>
      <w:r w:rsidRPr="007E186B">
        <w:rPr>
          <w:szCs w:val="22"/>
        </w:rPr>
        <w:t>above (after deduction of heat pumps and close control applications) the CHF2 estimate of electricity in the larger non-residential categories of equipment comes in at 16,230 GWh.</w:t>
      </w:r>
    </w:p>
    <w:p w14:paraId="0A595293" w14:textId="762BB522" w:rsidR="000610C5" w:rsidRPr="007E186B" w:rsidRDefault="000610C5" w:rsidP="000610C5">
      <w:pPr>
        <w:rPr>
          <w:szCs w:val="22"/>
        </w:rPr>
      </w:pPr>
      <w:r w:rsidRPr="007E186B">
        <w:rPr>
          <w:szCs w:val="22"/>
        </w:rPr>
        <w:t>This compares very well to the CBBS electricity consumption estimated, adjusted down as it was to discount for fan energy used in heating, of 15,782 GWh. The 448 GWh difference is less than 3 per cent and certainly within the margin for error of either study.</w:t>
      </w:r>
    </w:p>
    <w:p w14:paraId="5B993871" w14:textId="0D952E42" w:rsidR="007A08A5" w:rsidRDefault="000610C5" w:rsidP="007A08A5">
      <w:r w:rsidRPr="007E186B">
        <w:rPr>
          <w:szCs w:val="22"/>
        </w:rPr>
        <w:t xml:space="preserve">While the process of deriving these comparative figures has not been that rigorous, even as a superficial comparison of the results of the top down CBBS data, and the bottom up approach of CHF2, this confirms the broad agreement of both approaches to understanding </w:t>
      </w:r>
      <w:r w:rsidR="005E6DF4">
        <w:rPr>
          <w:szCs w:val="22"/>
        </w:rPr>
        <w:t>electricity use in larger classes of non-reside</w:t>
      </w:r>
      <w:r w:rsidR="00AC0F6F">
        <w:rPr>
          <w:szCs w:val="22"/>
        </w:rPr>
        <w:t>ntial air conditioning systems.</w:t>
      </w:r>
    </w:p>
    <w:p w14:paraId="329DC486" w14:textId="77777777" w:rsidR="00A2756C" w:rsidRDefault="00A2756C" w:rsidP="00A2756C">
      <w:pPr>
        <w:rPr>
          <w:szCs w:val="22"/>
        </w:rPr>
      </w:pPr>
    </w:p>
    <w:p w14:paraId="374A2259" w14:textId="201722D7" w:rsidR="00774C96" w:rsidRDefault="007A08A5" w:rsidP="007B6646">
      <w:pPr>
        <w:pStyle w:val="Heading2"/>
        <w:ind w:left="567" w:hanging="567"/>
      </w:pPr>
      <w:bookmarkStart w:id="73" w:name="_Toc233084161"/>
      <w:r>
        <w:t>Direct emissions</w:t>
      </w:r>
      <w:bookmarkEnd w:id="73"/>
    </w:p>
    <w:p w14:paraId="4F375F32" w14:textId="191D38E3" w:rsidR="000610C5" w:rsidRPr="000610C5" w:rsidRDefault="000610C5" w:rsidP="000610C5">
      <w:pPr>
        <w:rPr>
          <w:szCs w:val="22"/>
        </w:rPr>
      </w:pPr>
      <w:r w:rsidRPr="000610C5">
        <w:rPr>
          <w:szCs w:val="22"/>
        </w:rPr>
        <w:t>While it is clear that in the scheme of things RAC equipment is a very significant feature in the Australian energy economy, they are also the main source of direct emissions of synthetic greenhouse gases. HFC refrigerant gases are listed in the Kyoto Protocol as an industrial gas and gases in common use have AR2 GWPs ranging from 1,300 to as more than 3,260. However the HCFCs that are regulated internationally under the Montreal Protocol are also a powerful greenhouse gas</w:t>
      </w:r>
      <w:r>
        <w:rPr>
          <w:szCs w:val="22"/>
        </w:rPr>
        <w:t>es</w:t>
      </w:r>
      <w:r w:rsidRPr="000610C5">
        <w:rPr>
          <w:szCs w:val="22"/>
        </w:rPr>
        <w:t>. The widely used HCFC-22 that presently makes up 26 per cent of the entire bank has a GWP of 1,500.</w:t>
      </w:r>
      <w:r w:rsidR="00673288">
        <w:rPr>
          <w:szCs w:val="22"/>
        </w:rPr>
        <w:t xml:space="preserve"> </w:t>
      </w:r>
    </w:p>
    <w:p w14:paraId="1A4BE0C6" w14:textId="3F85C343" w:rsidR="000610C5" w:rsidRPr="000610C5" w:rsidRDefault="000610C5" w:rsidP="000610C5">
      <w:pPr>
        <w:rPr>
          <w:szCs w:val="22"/>
        </w:rPr>
      </w:pPr>
      <w:r w:rsidRPr="000610C5">
        <w:rPr>
          <w:szCs w:val="22"/>
        </w:rPr>
        <w:t>Irrespective of the regulatory regime under which the different gases are controlled and reported, the stock of equipment leaks both major species</w:t>
      </w:r>
      <w:r w:rsidR="004A7F94">
        <w:rPr>
          <w:szCs w:val="22"/>
        </w:rPr>
        <w:t>, HFCs and HCFCs,</w:t>
      </w:r>
      <w:r w:rsidRPr="000610C5">
        <w:rPr>
          <w:szCs w:val="22"/>
        </w:rPr>
        <w:t xml:space="preserve"> at various rates depending on the equipment category. </w:t>
      </w:r>
      <w:r w:rsidR="004A7F94">
        <w:rPr>
          <w:szCs w:val="22"/>
        </w:rPr>
        <w:t>Estimated t</w:t>
      </w:r>
      <w:r w:rsidRPr="000610C5">
        <w:rPr>
          <w:szCs w:val="22"/>
        </w:rPr>
        <w:t xml:space="preserve">otal direct emissions of HFCs and HCFCs totalling more than 3,300 tonnes in 2012 </w:t>
      </w:r>
      <w:r w:rsidR="007B48FC">
        <w:rPr>
          <w:szCs w:val="22"/>
        </w:rPr>
        <w:t>were equivalent to more than 5.4</w:t>
      </w:r>
      <w:r w:rsidRPr="000610C5">
        <w:rPr>
          <w:szCs w:val="22"/>
        </w:rPr>
        <w:t xml:space="preserve"> Mt of CO</w:t>
      </w:r>
      <w:r w:rsidRPr="000610C5">
        <w:rPr>
          <w:szCs w:val="22"/>
          <w:vertAlign w:val="subscript"/>
        </w:rPr>
        <w:t>2</w:t>
      </w:r>
      <w:r w:rsidRPr="000610C5">
        <w:rPr>
          <w:szCs w:val="22"/>
        </w:rPr>
        <w:t>-e, or about 0.9 per cent of total Australian emissions.</w:t>
      </w:r>
    </w:p>
    <w:p w14:paraId="6598A6E8" w14:textId="595622BE" w:rsidR="0069475E" w:rsidRPr="00072AE8" w:rsidRDefault="000610C5" w:rsidP="00072AE8">
      <w:pPr>
        <w:spacing w:after="60"/>
        <w:rPr>
          <w:szCs w:val="22"/>
        </w:rPr>
      </w:pPr>
      <w:r w:rsidRPr="000610C5">
        <w:rPr>
          <w:szCs w:val="22"/>
        </w:rPr>
        <w:lastRenderedPageBreak/>
        <w:t xml:space="preserve">The relative share of direct emissions from each class of equipment </w:t>
      </w:r>
      <w:r w:rsidR="00673288">
        <w:rPr>
          <w:szCs w:val="22"/>
        </w:rPr>
        <w:t xml:space="preserve">for SGGs </w:t>
      </w:r>
      <w:r w:rsidRPr="000610C5">
        <w:rPr>
          <w:szCs w:val="22"/>
        </w:rPr>
        <w:t xml:space="preserve">is illustrated in </w:t>
      </w:r>
      <w:r w:rsidRPr="000610C5">
        <w:rPr>
          <w:i/>
          <w:szCs w:val="22"/>
        </w:rPr>
        <w:t>Figure 21</w:t>
      </w:r>
      <w:r w:rsidR="00673288">
        <w:rPr>
          <w:szCs w:val="22"/>
        </w:rPr>
        <w:t xml:space="preserve">, and ODSs in </w:t>
      </w:r>
      <w:r w:rsidR="00673288" w:rsidRPr="00673288">
        <w:rPr>
          <w:i/>
          <w:szCs w:val="22"/>
        </w:rPr>
        <w:t>Figure 22</w:t>
      </w:r>
      <w:r w:rsidR="00072AE8">
        <w:rPr>
          <w:szCs w:val="22"/>
        </w:rPr>
        <w:t xml:space="preserve"> </w:t>
      </w:r>
      <w:r w:rsidR="00072AE8" w:rsidRPr="00072AE8">
        <w:rPr>
          <w:szCs w:val="22"/>
        </w:rPr>
        <w:t>(Source: CHF2 stock model)</w:t>
      </w:r>
      <w:r w:rsidR="00072AE8">
        <w:rPr>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69475E" w:rsidRPr="005D159D" w14:paraId="630B5B73" w14:textId="77777777" w:rsidTr="00072AE8">
        <w:tc>
          <w:tcPr>
            <w:tcW w:w="9605" w:type="dxa"/>
            <w:vAlign w:val="center"/>
          </w:tcPr>
          <w:p w14:paraId="2C480C44" w14:textId="18EF6141" w:rsidR="0069475E" w:rsidRPr="005D159D" w:rsidRDefault="0069475E" w:rsidP="0069475E">
            <w:pPr>
              <w:spacing w:after="120"/>
              <w:jc w:val="center"/>
              <w:rPr>
                <w:b/>
                <w:sz w:val="24"/>
              </w:rPr>
            </w:pPr>
            <w:r w:rsidRPr="005D159D">
              <w:rPr>
                <w:b/>
                <w:sz w:val="24"/>
              </w:rPr>
              <w:br w:type="page"/>
            </w:r>
            <w:r>
              <w:rPr>
                <w:b/>
                <w:sz w:val="24"/>
              </w:rPr>
              <w:t>2012 direct emissions of SGGs by major class (</w:t>
            </w:r>
            <w:r w:rsidRPr="000331C1">
              <w:rPr>
                <w:b/>
                <w:sz w:val="24"/>
              </w:rPr>
              <w:t>Mt CO</w:t>
            </w:r>
            <w:r w:rsidRPr="000331C1">
              <w:rPr>
                <w:b/>
                <w:sz w:val="24"/>
                <w:vertAlign w:val="subscript"/>
              </w:rPr>
              <w:t>2</w:t>
            </w:r>
            <w:r w:rsidRPr="000331C1">
              <w:rPr>
                <w:b/>
                <w:sz w:val="24"/>
              </w:rPr>
              <w:t>-e)</w:t>
            </w:r>
          </w:p>
        </w:tc>
      </w:tr>
      <w:tr w:rsidR="0069475E" w:rsidRPr="00BD20BC" w14:paraId="5CC87091" w14:textId="77777777" w:rsidTr="00072AE8">
        <w:tc>
          <w:tcPr>
            <w:tcW w:w="9605" w:type="dxa"/>
            <w:vAlign w:val="center"/>
          </w:tcPr>
          <w:p w14:paraId="7C7C7730" w14:textId="32E90EC2" w:rsidR="0069475E" w:rsidRDefault="00072AE8" w:rsidP="0069475E">
            <w:pPr>
              <w:jc w:val="center"/>
              <w:rPr>
                <w:sz w:val="16"/>
                <w:szCs w:val="16"/>
              </w:rPr>
            </w:pPr>
            <w:r>
              <w:rPr>
                <w:noProof/>
                <w:lang w:val="en-US"/>
              </w:rPr>
              <w:drawing>
                <wp:inline distT="0" distB="0" distL="0" distR="0" wp14:anchorId="31E7F761" wp14:editId="187B0BBF">
                  <wp:extent cx="4950460" cy="3378200"/>
                  <wp:effectExtent l="0" t="0" r="254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DF5764E" w14:textId="77777777" w:rsidR="0069475E" w:rsidRPr="00BD20BC" w:rsidRDefault="0069475E" w:rsidP="0069475E">
            <w:pPr>
              <w:jc w:val="center"/>
              <w:rPr>
                <w:sz w:val="16"/>
                <w:szCs w:val="16"/>
              </w:rPr>
            </w:pPr>
          </w:p>
        </w:tc>
      </w:tr>
      <w:tr w:rsidR="0069475E" w:rsidRPr="00042727" w14:paraId="7D78E4F5" w14:textId="77777777" w:rsidTr="00072AE8">
        <w:tc>
          <w:tcPr>
            <w:tcW w:w="9605" w:type="dxa"/>
            <w:vAlign w:val="center"/>
          </w:tcPr>
          <w:p w14:paraId="1093498A" w14:textId="7A7FEE8C" w:rsidR="0069475E" w:rsidRPr="005D159D" w:rsidRDefault="0069475E" w:rsidP="0069475E">
            <w:pPr>
              <w:spacing w:before="60" w:after="60"/>
              <w:rPr>
                <w:i/>
              </w:rPr>
            </w:pPr>
            <w:bookmarkStart w:id="74" w:name="_Toc233083997"/>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21</w:t>
            </w:r>
            <w:r w:rsidRPr="005D159D">
              <w:rPr>
                <w:i/>
                <w:sz w:val="20"/>
              </w:rPr>
              <w:fldChar w:fldCharType="end"/>
            </w:r>
            <w:r w:rsidRPr="005D159D">
              <w:rPr>
                <w:i/>
                <w:sz w:val="20"/>
              </w:rPr>
              <w:t xml:space="preserve">: </w:t>
            </w:r>
            <w:r>
              <w:rPr>
                <w:i/>
                <w:sz w:val="20"/>
              </w:rPr>
              <w:t>2012 estimated direct e</w:t>
            </w:r>
            <w:r w:rsidRPr="000331C1">
              <w:rPr>
                <w:i/>
                <w:sz w:val="20"/>
              </w:rPr>
              <w:t xml:space="preserve">missions </w:t>
            </w:r>
            <w:r>
              <w:rPr>
                <w:i/>
                <w:sz w:val="20"/>
              </w:rPr>
              <w:t xml:space="preserve">of SGGs </w:t>
            </w:r>
            <w:r w:rsidRPr="000331C1">
              <w:rPr>
                <w:i/>
                <w:sz w:val="20"/>
              </w:rPr>
              <w:t xml:space="preserve">by </w:t>
            </w:r>
            <w:r>
              <w:rPr>
                <w:i/>
                <w:sz w:val="20"/>
              </w:rPr>
              <w:t>major c</w:t>
            </w:r>
            <w:r w:rsidRPr="000331C1">
              <w:rPr>
                <w:i/>
                <w:sz w:val="20"/>
              </w:rPr>
              <w:t>lass</w:t>
            </w:r>
            <w:r>
              <w:rPr>
                <w:i/>
                <w:sz w:val="20"/>
              </w:rPr>
              <w:t xml:space="preserve"> in </w:t>
            </w:r>
            <w:r w:rsidRPr="000331C1">
              <w:rPr>
                <w:i/>
                <w:sz w:val="20"/>
              </w:rPr>
              <w:t>Mt CO</w:t>
            </w:r>
            <w:r w:rsidRPr="000331C1">
              <w:rPr>
                <w:i/>
                <w:sz w:val="20"/>
                <w:vertAlign w:val="subscript"/>
              </w:rPr>
              <w:t>2</w:t>
            </w:r>
            <w:r w:rsidRPr="000331C1">
              <w:rPr>
                <w:i/>
                <w:sz w:val="20"/>
              </w:rPr>
              <w:t>-</w:t>
            </w:r>
            <w:r>
              <w:rPr>
                <w:i/>
                <w:sz w:val="20"/>
              </w:rPr>
              <w:t>e</w:t>
            </w:r>
            <w:bookmarkEnd w:id="74"/>
          </w:p>
        </w:tc>
      </w:tr>
      <w:tr w:rsidR="0069475E" w:rsidRPr="005D159D" w14:paraId="6DF61101" w14:textId="77777777" w:rsidTr="00072AE8">
        <w:tc>
          <w:tcPr>
            <w:tcW w:w="9605" w:type="dxa"/>
            <w:vAlign w:val="center"/>
          </w:tcPr>
          <w:p w14:paraId="09A08409" w14:textId="29DA1411" w:rsidR="0069475E" w:rsidRPr="005D159D" w:rsidRDefault="0069475E" w:rsidP="0069475E">
            <w:pPr>
              <w:spacing w:after="120"/>
              <w:jc w:val="center"/>
              <w:rPr>
                <w:b/>
                <w:sz w:val="24"/>
              </w:rPr>
            </w:pPr>
            <w:r w:rsidRPr="005D159D">
              <w:rPr>
                <w:b/>
                <w:sz w:val="24"/>
              </w:rPr>
              <w:br w:type="page"/>
            </w:r>
            <w:r>
              <w:rPr>
                <w:b/>
                <w:sz w:val="24"/>
              </w:rPr>
              <w:t>2012 direct emissions of ODSs by major class (</w:t>
            </w:r>
            <w:r w:rsidRPr="000331C1">
              <w:rPr>
                <w:b/>
                <w:sz w:val="24"/>
              </w:rPr>
              <w:t>Mt CO</w:t>
            </w:r>
            <w:r w:rsidRPr="000331C1">
              <w:rPr>
                <w:b/>
                <w:sz w:val="24"/>
                <w:vertAlign w:val="subscript"/>
              </w:rPr>
              <w:t>2</w:t>
            </w:r>
            <w:r w:rsidRPr="000331C1">
              <w:rPr>
                <w:b/>
                <w:sz w:val="24"/>
              </w:rPr>
              <w:t>-e)</w:t>
            </w:r>
          </w:p>
        </w:tc>
      </w:tr>
      <w:tr w:rsidR="0069475E" w:rsidRPr="00BD20BC" w14:paraId="4C74BC98" w14:textId="77777777" w:rsidTr="00072AE8">
        <w:tc>
          <w:tcPr>
            <w:tcW w:w="9605" w:type="dxa"/>
            <w:vAlign w:val="center"/>
          </w:tcPr>
          <w:p w14:paraId="0DB8E831" w14:textId="5D3EBE47" w:rsidR="0069475E" w:rsidRDefault="00072AE8" w:rsidP="0069475E">
            <w:pPr>
              <w:jc w:val="center"/>
              <w:rPr>
                <w:sz w:val="16"/>
                <w:szCs w:val="16"/>
              </w:rPr>
            </w:pPr>
            <w:r>
              <w:rPr>
                <w:noProof/>
                <w:lang w:val="en-US"/>
              </w:rPr>
              <w:drawing>
                <wp:inline distT="0" distB="0" distL="0" distR="0" wp14:anchorId="4B1682E2" wp14:editId="235DE052">
                  <wp:extent cx="4789593" cy="3352800"/>
                  <wp:effectExtent l="0" t="0" r="1143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9B05335" w14:textId="77777777" w:rsidR="0069475E" w:rsidRPr="00BD20BC" w:rsidRDefault="0069475E" w:rsidP="0069475E">
            <w:pPr>
              <w:jc w:val="center"/>
              <w:rPr>
                <w:sz w:val="16"/>
                <w:szCs w:val="16"/>
              </w:rPr>
            </w:pPr>
          </w:p>
        </w:tc>
      </w:tr>
      <w:tr w:rsidR="0069475E" w:rsidRPr="00042727" w14:paraId="3BE703C9" w14:textId="77777777" w:rsidTr="00072AE8">
        <w:tc>
          <w:tcPr>
            <w:tcW w:w="9605" w:type="dxa"/>
            <w:vAlign w:val="center"/>
          </w:tcPr>
          <w:p w14:paraId="3573F0BB" w14:textId="4F1A59DE" w:rsidR="0069475E" w:rsidRPr="005D159D" w:rsidRDefault="0069475E" w:rsidP="0069475E">
            <w:pPr>
              <w:spacing w:before="60" w:after="60"/>
              <w:rPr>
                <w:i/>
              </w:rPr>
            </w:pPr>
            <w:bookmarkStart w:id="75" w:name="_Toc233083998"/>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22</w:t>
            </w:r>
            <w:r w:rsidRPr="005D159D">
              <w:rPr>
                <w:i/>
                <w:sz w:val="20"/>
              </w:rPr>
              <w:fldChar w:fldCharType="end"/>
            </w:r>
            <w:r w:rsidRPr="005D159D">
              <w:rPr>
                <w:i/>
                <w:sz w:val="20"/>
              </w:rPr>
              <w:t xml:space="preserve">: </w:t>
            </w:r>
            <w:r>
              <w:rPr>
                <w:i/>
                <w:sz w:val="20"/>
              </w:rPr>
              <w:t>2012 estimated direct e</w:t>
            </w:r>
            <w:r w:rsidRPr="000331C1">
              <w:rPr>
                <w:i/>
                <w:sz w:val="20"/>
              </w:rPr>
              <w:t xml:space="preserve">missions </w:t>
            </w:r>
            <w:r>
              <w:rPr>
                <w:i/>
                <w:sz w:val="20"/>
              </w:rPr>
              <w:t xml:space="preserve">of ODS </w:t>
            </w:r>
            <w:r w:rsidRPr="000331C1">
              <w:rPr>
                <w:i/>
                <w:sz w:val="20"/>
              </w:rPr>
              <w:t xml:space="preserve">by </w:t>
            </w:r>
            <w:r>
              <w:rPr>
                <w:i/>
                <w:sz w:val="20"/>
              </w:rPr>
              <w:t>major c</w:t>
            </w:r>
            <w:r w:rsidRPr="000331C1">
              <w:rPr>
                <w:i/>
                <w:sz w:val="20"/>
              </w:rPr>
              <w:t>lass</w:t>
            </w:r>
            <w:r>
              <w:rPr>
                <w:i/>
                <w:sz w:val="20"/>
              </w:rPr>
              <w:t xml:space="preserve"> in </w:t>
            </w:r>
            <w:r w:rsidRPr="000331C1">
              <w:rPr>
                <w:i/>
                <w:sz w:val="20"/>
              </w:rPr>
              <w:t>Mt CO</w:t>
            </w:r>
            <w:r w:rsidRPr="000331C1">
              <w:rPr>
                <w:i/>
                <w:sz w:val="20"/>
                <w:vertAlign w:val="subscript"/>
              </w:rPr>
              <w:t>2</w:t>
            </w:r>
            <w:r w:rsidRPr="000331C1">
              <w:rPr>
                <w:i/>
                <w:sz w:val="20"/>
              </w:rPr>
              <w:t>-</w:t>
            </w:r>
            <w:r>
              <w:rPr>
                <w:i/>
                <w:sz w:val="20"/>
              </w:rPr>
              <w:t>e</w:t>
            </w:r>
            <w:bookmarkEnd w:id="75"/>
          </w:p>
        </w:tc>
      </w:tr>
    </w:tbl>
    <w:p w14:paraId="1C459CAA" w14:textId="528B3080" w:rsidR="00673288" w:rsidRPr="00673288" w:rsidRDefault="00673288" w:rsidP="00673288">
      <w:pPr>
        <w:rPr>
          <w:szCs w:val="22"/>
        </w:rPr>
      </w:pPr>
      <w:r w:rsidRPr="00673288">
        <w:rPr>
          <w:szCs w:val="22"/>
        </w:rPr>
        <w:lastRenderedPageBreak/>
        <w:t xml:space="preserve">Combined, the total </w:t>
      </w:r>
      <w:r w:rsidR="004A7F94">
        <w:rPr>
          <w:szCs w:val="22"/>
        </w:rPr>
        <w:t xml:space="preserve">of energy related </w:t>
      </w:r>
      <w:r w:rsidRPr="00673288">
        <w:rPr>
          <w:szCs w:val="22"/>
        </w:rPr>
        <w:t xml:space="preserve">indirect emissions from the sector, plus direct </w:t>
      </w:r>
      <w:r w:rsidR="00D60C05">
        <w:rPr>
          <w:szCs w:val="22"/>
        </w:rPr>
        <w:t xml:space="preserve">SGG </w:t>
      </w:r>
      <w:r w:rsidRPr="00673288">
        <w:rPr>
          <w:szCs w:val="22"/>
        </w:rPr>
        <w:t xml:space="preserve">emissions from leaks, are calculated as having been </w:t>
      </w:r>
      <w:r w:rsidR="004A7F94">
        <w:rPr>
          <w:szCs w:val="22"/>
        </w:rPr>
        <w:t xml:space="preserve">equivalent to </w:t>
      </w:r>
      <w:r w:rsidR="00D60C05">
        <w:rPr>
          <w:szCs w:val="22"/>
        </w:rPr>
        <w:t>57.1</w:t>
      </w:r>
      <w:r w:rsidRPr="00673288">
        <w:rPr>
          <w:szCs w:val="22"/>
        </w:rPr>
        <w:t xml:space="preserve"> Mt CO</w:t>
      </w:r>
      <w:r w:rsidRPr="00783A3D">
        <w:rPr>
          <w:szCs w:val="22"/>
          <w:vertAlign w:val="subscript"/>
        </w:rPr>
        <w:t>2</w:t>
      </w:r>
      <w:r w:rsidRPr="00673288">
        <w:rPr>
          <w:szCs w:val="22"/>
        </w:rPr>
        <w:t xml:space="preserve">-e in 2012, or approximately </w:t>
      </w:r>
      <w:r w:rsidR="005C44AC">
        <w:rPr>
          <w:szCs w:val="22"/>
        </w:rPr>
        <w:t>11.1 per cent</w:t>
      </w:r>
      <w:r w:rsidRPr="00673288">
        <w:rPr>
          <w:szCs w:val="22"/>
        </w:rPr>
        <w:t xml:space="preserve"> of total Australian emissions as published in the NGG</w:t>
      </w:r>
      <w:r w:rsidR="0008469F">
        <w:rPr>
          <w:szCs w:val="22"/>
        </w:rPr>
        <w:t xml:space="preserve">I for </w:t>
      </w:r>
      <w:r w:rsidR="006B5E98">
        <w:rPr>
          <w:szCs w:val="22"/>
        </w:rPr>
        <w:t xml:space="preserve">FY </w:t>
      </w:r>
      <w:r w:rsidR="0008469F">
        <w:rPr>
          <w:szCs w:val="22"/>
        </w:rPr>
        <w:t>2011</w:t>
      </w:r>
      <w:r w:rsidR="006B5E98">
        <w:rPr>
          <w:szCs w:val="22"/>
        </w:rPr>
        <w:t>-12</w:t>
      </w:r>
      <w:r w:rsidRPr="00673288">
        <w:rPr>
          <w:szCs w:val="22"/>
        </w:rPr>
        <w:t>.</w:t>
      </w:r>
    </w:p>
    <w:p w14:paraId="2C8C6F36" w14:textId="44B4A38C" w:rsidR="00D60C05" w:rsidRDefault="00D60C05" w:rsidP="00673288">
      <w:pPr>
        <w:rPr>
          <w:szCs w:val="22"/>
        </w:rPr>
      </w:pPr>
      <w:r>
        <w:rPr>
          <w:szCs w:val="22"/>
        </w:rPr>
        <w:t xml:space="preserve">This total does not include approximately 1.3 </w:t>
      </w:r>
      <w:r w:rsidRPr="006E461B">
        <w:rPr>
          <w:szCs w:val="22"/>
        </w:rPr>
        <w:t>Mt CO</w:t>
      </w:r>
      <w:r w:rsidRPr="006E461B">
        <w:rPr>
          <w:szCs w:val="22"/>
          <w:vertAlign w:val="subscript"/>
        </w:rPr>
        <w:t>2</w:t>
      </w:r>
      <w:r w:rsidRPr="006E461B">
        <w:rPr>
          <w:szCs w:val="22"/>
        </w:rPr>
        <w:t>-e</w:t>
      </w:r>
      <w:r>
        <w:rPr>
          <w:szCs w:val="22"/>
        </w:rPr>
        <w:t xml:space="preserve"> of direct emissions of earlier generations of refrigerant gas that are also strong ozone depleting substances </w:t>
      </w:r>
      <w:r w:rsidR="005301C9">
        <w:rPr>
          <w:szCs w:val="22"/>
        </w:rPr>
        <w:t xml:space="preserve">(ODS) </w:t>
      </w:r>
      <w:r>
        <w:rPr>
          <w:szCs w:val="22"/>
        </w:rPr>
        <w:t>that are being phased out of use under the Montreal Protocol on Substances that Deplete the Ozone Layer.</w:t>
      </w:r>
    </w:p>
    <w:p w14:paraId="3597EDFE" w14:textId="40CD3432" w:rsidR="00673288" w:rsidRDefault="00673288" w:rsidP="00673288">
      <w:pPr>
        <w:rPr>
          <w:szCs w:val="22"/>
        </w:rPr>
      </w:pPr>
      <w:r w:rsidRPr="00673288">
        <w:rPr>
          <w:szCs w:val="22"/>
        </w:rPr>
        <w:t>The emissions profiles of the major</w:t>
      </w:r>
      <w:r w:rsidR="0008469F">
        <w:rPr>
          <w:szCs w:val="22"/>
        </w:rPr>
        <w:t xml:space="preserve"> equipment</w:t>
      </w:r>
      <w:r w:rsidRPr="00673288">
        <w:rPr>
          <w:szCs w:val="22"/>
        </w:rPr>
        <w:t xml:space="preserve"> classes, including both indirect energy related emissions, and direct emissions of refrigerant lost to air, demonstrate some of the characteristics of the equipment classes as illustrated in </w:t>
      </w:r>
      <w:r w:rsidRPr="000341A2">
        <w:rPr>
          <w:i/>
          <w:szCs w:val="22"/>
        </w:rPr>
        <w:t>Figure 2</w:t>
      </w:r>
      <w:r w:rsidR="000341A2">
        <w:rPr>
          <w:i/>
          <w:szCs w:val="22"/>
        </w:rPr>
        <w:t>3</w:t>
      </w:r>
      <w:r w:rsidRPr="00673288">
        <w:rPr>
          <w:szCs w:val="22"/>
        </w:rPr>
        <w:t>.</w:t>
      </w:r>
    </w:p>
    <w:p w14:paraId="04D47364" w14:textId="6FE80E52" w:rsidR="00201C97" w:rsidRPr="000341A2" w:rsidRDefault="00201C97" w:rsidP="00201C97">
      <w:pPr>
        <w:spacing w:before="240"/>
        <w:rPr>
          <w:szCs w:val="22"/>
        </w:rPr>
      </w:pPr>
      <w:r w:rsidRPr="000341A2">
        <w:rPr>
          <w:szCs w:val="22"/>
        </w:rPr>
        <w:t>While stationary air conditioning produces the largest volume of direct emissions from across the stock of more than 11</w:t>
      </w:r>
      <w:r w:rsidR="00D60C05">
        <w:rPr>
          <w:szCs w:val="22"/>
        </w:rPr>
        <w:t>.5</w:t>
      </w:r>
      <w:r w:rsidRPr="000341A2">
        <w:rPr>
          <w:szCs w:val="22"/>
        </w:rPr>
        <w:t xml:space="preserve"> million devices, the relative proportion of direct to indirect emissions in mobile air conditioning </w:t>
      </w:r>
      <w:r w:rsidR="0008469F">
        <w:rPr>
          <w:szCs w:val="22"/>
        </w:rPr>
        <w:t>demonstrates</w:t>
      </w:r>
      <w:r w:rsidRPr="000341A2">
        <w:rPr>
          <w:szCs w:val="22"/>
        </w:rPr>
        <w:t xml:space="preserve"> </w:t>
      </w:r>
      <w:r w:rsidR="0008469F">
        <w:rPr>
          <w:szCs w:val="22"/>
        </w:rPr>
        <w:t xml:space="preserve">the higher leak rates </w:t>
      </w:r>
      <w:r w:rsidRPr="000341A2">
        <w:rPr>
          <w:szCs w:val="22"/>
        </w:rPr>
        <w:t xml:space="preserve">of mobile air conditioning systems. This is partly a result of the high vibration environment in which these systems operate, and partly as a result of the number of ‘catastrophic’ system failures that result from collision or impacts on system components of some sort. Mobile air conditioning systems are expected to be the class that migrates most rapidly to low GWP gases and already have the highest use of </w:t>
      </w:r>
      <w:r w:rsidR="00D60C05">
        <w:rPr>
          <w:szCs w:val="22"/>
        </w:rPr>
        <w:t>h</w:t>
      </w:r>
      <w:r w:rsidRPr="000341A2">
        <w:rPr>
          <w:szCs w:val="22"/>
        </w:rPr>
        <w:t>ydrocarbons of any class.</w:t>
      </w:r>
    </w:p>
    <w:p w14:paraId="7E01BDFB" w14:textId="03481339" w:rsidR="000331C1" w:rsidRDefault="00201C97" w:rsidP="006E7A71">
      <w:pPr>
        <w:rPr>
          <w:szCs w:val="22"/>
        </w:rPr>
      </w:pPr>
      <w:r>
        <w:rPr>
          <w:szCs w:val="22"/>
        </w:rPr>
        <w:t>The r</w:t>
      </w:r>
      <w:r w:rsidRPr="000341A2">
        <w:rPr>
          <w:szCs w:val="22"/>
        </w:rPr>
        <w:t xml:space="preserve">efrigerated </w:t>
      </w:r>
      <w:r>
        <w:rPr>
          <w:szCs w:val="22"/>
        </w:rPr>
        <w:t>c</w:t>
      </w:r>
      <w:r w:rsidRPr="000341A2">
        <w:rPr>
          <w:szCs w:val="22"/>
        </w:rPr>
        <w:t xml:space="preserve">old </w:t>
      </w:r>
      <w:r>
        <w:rPr>
          <w:szCs w:val="22"/>
        </w:rPr>
        <w:t>f</w:t>
      </w:r>
      <w:r w:rsidRPr="000341A2">
        <w:rPr>
          <w:szCs w:val="22"/>
        </w:rPr>
        <w:t xml:space="preserve">ood </w:t>
      </w:r>
      <w:r>
        <w:rPr>
          <w:szCs w:val="22"/>
        </w:rPr>
        <w:t>c</w:t>
      </w:r>
      <w:r w:rsidRPr="000341A2">
        <w:rPr>
          <w:szCs w:val="22"/>
        </w:rPr>
        <w:t>hain, characterised by often very hard working systems, also has a higher proportion of direct to indirect emissions than stationary air conditioning.  With slightly more than a million pieces of equipment in the class, many of them large installations, this class of equipment has significant potential for a reduction in direct emissions through improved refrigerant containment, use of equipment maintenance log books and leak detection devices.</w:t>
      </w:r>
    </w:p>
    <w:p w14:paraId="77E9A116" w14:textId="77777777" w:rsidR="000331C1" w:rsidRDefault="000331C1" w:rsidP="000331C1"/>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0331C1" w:rsidRPr="005D159D" w14:paraId="1DD6466E" w14:textId="77777777" w:rsidTr="000331C1">
        <w:tc>
          <w:tcPr>
            <w:tcW w:w="9639" w:type="dxa"/>
            <w:vAlign w:val="center"/>
          </w:tcPr>
          <w:p w14:paraId="58D5D196" w14:textId="01CA29F8" w:rsidR="000331C1" w:rsidRPr="005D159D" w:rsidRDefault="000331C1" w:rsidP="000331C1">
            <w:pPr>
              <w:spacing w:after="120"/>
              <w:jc w:val="center"/>
              <w:rPr>
                <w:b/>
                <w:sz w:val="24"/>
              </w:rPr>
            </w:pPr>
            <w:r w:rsidRPr="005D159D">
              <w:rPr>
                <w:b/>
                <w:sz w:val="24"/>
              </w:rPr>
              <w:br w:type="page"/>
            </w:r>
            <w:r>
              <w:rPr>
                <w:b/>
                <w:sz w:val="24"/>
              </w:rPr>
              <w:t>2012 indirect and direct emissions by major class (</w:t>
            </w:r>
            <w:r w:rsidRPr="000331C1">
              <w:rPr>
                <w:b/>
                <w:sz w:val="24"/>
              </w:rPr>
              <w:t>Mt CO</w:t>
            </w:r>
            <w:r w:rsidRPr="000331C1">
              <w:rPr>
                <w:b/>
                <w:sz w:val="24"/>
                <w:vertAlign w:val="subscript"/>
              </w:rPr>
              <w:t>2</w:t>
            </w:r>
            <w:r w:rsidRPr="000331C1">
              <w:rPr>
                <w:b/>
                <w:sz w:val="24"/>
              </w:rPr>
              <w:t>-e)</w:t>
            </w:r>
          </w:p>
        </w:tc>
      </w:tr>
      <w:tr w:rsidR="000331C1" w:rsidRPr="00BD20BC" w14:paraId="40620D2F" w14:textId="77777777" w:rsidTr="000331C1">
        <w:tc>
          <w:tcPr>
            <w:tcW w:w="9639" w:type="dxa"/>
            <w:vAlign w:val="center"/>
          </w:tcPr>
          <w:p w14:paraId="2368BA2E" w14:textId="524B0F4E" w:rsidR="000331C1" w:rsidRDefault="0095280C" w:rsidP="000331C1">
            <w:pPr>
              <w:jc w:val="center"/>
              <w:rPr>
                <w:sz w:val="16"/>
                <w:szCs w:val="16"/>
              </w:rPr>
            </w:pPr>
            <w:r>
              <w:rPr>
                <w:noProof/>
                <w:lang w:val="en-US"/>
              </w:rPr>
              <w:drawing>
                <wp:inline distT="0" distB="0" distL="0" distR="0" wp14:anchorId="24970532" wp14:editId="45BA55E8">
                  <wp:extent cx="5948680" cy="3589867"/>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3BB380D" w14:textId="77777777" w:rsidR="000331C1" w:rsidRPr="00BD20BC" w:rsidRDefault="000331C1" w:rsidP="000331C1">
            <w:pPr>
              <w:jc w:val="center"/>
              <w:rPr>
                <w:sz w:val="16"/>
                <w:szCs w:val="16"/>
              </w:rPr>
            </w:pPr>
          </w:p>
        </w:tc>
      </w:tr>
      <w:tr w:rsidR="000331C1" w:rsidRPr="00042727" w14:paraId="0980840E" w14:textId="77777777" w:rsidTr="000331C1">
        <w:tc>
          <w:tcPr>
            <w:tcW w:w="9639" w:type="dxa"/>
            <w:vAlign w:val="center"/>
          </w:tcPr>
          <w:p w14:paraId="0CA0A256" w14:textId="00AF3D0D" w:rsidR="000331C1" w:rsidRPr="005D159D" w:rsidRDefault="000331C1" w:rsidP="000331C1">
            <w:pPr>
              <w:spacing w:before="60" w:after="60"/>
              <w:rPr>
                <w:i/>
              </w:rPr>
            </w:pPr>
            <w:bookmarkStart w:id="76" w:name="_Toc233083999"/>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23</w:t>
            </w:r>
            <w:r w:rsidRPr="005D159D">
              <w:rPr>
                <w:i/>
                <w:sz w:val="20"/>
              </w:rPr>
              <w:fldChar w:fldCharType="end"/>
            </w:r>
            <w:r w:rsidRPr="005D159D">
              <w:rPr>
                <w:i/>
                <w:sz w:val="20"/>
              </w:rPr>
              <w:t xml:space="preserve">: </w:t>
            </w:r>
            <w:r>
              <w:rPr>
                <w:i/>
                <w:sz w:val="20"/>
              </w:rPr>
              <w:t>2012 estimated e</w:t>
            </w:r>
            <w:r w:rsidRPr="000331C1">
              <w:rPr>
                <w:i/>
                <w:sz w:val="20"/>
              </w:rPr>
              <w:t xml:space="preserve">missions by </w:t>
            </w:r>
            <w:r>
              <w:rPr>
                <w:i/>
                <w:sz w:val="20"/>
              </w:rPr>
              <w:t>major c</w:t>
            </w:r>
            <w:r w:rsidRPr="000331C1">
              <w:rPr>
                <w:i/>
                <w:sz w:val="20"/>
              </w:rPr>
              <w:t>lass</w:t>
            </w:r>
            <w:r>
              <w:rPr>
                <w:i/>
                <w:sz w:val="20"/>
              </w:rPr>
              <w:t xml:space="preserve"> (i</w:t>
            </w:r>
            <w:r w:rsidRPr="000331C1">
              <w:rPr>
                <w:i/>
                <w:sz w:val="20"/>
              </w:rPr>
              <w:t xml:space="preserve">ndirect and </w:t>
            </w:r>
            <w:r>
              <w:rPr>
                <w:i/>
                <w:sz w:val="20"/>
              </w:rPr>
              <w:t>d</w:t>
            </w:r>
            <w:r w:rsidRPr="000331C1">
              <w:rPr>
                <w:i/>
                <w:sz w:val="20"/>
              </w:rPr>
              <w:t>irect</w:t>
            </w:r>
            <w:r>
              <w:rPr>
                <w:i/>
                <w:sz w:val="20"/>
              </w:rPr>
              <w:t xml:space="preserve">) in </w:t>
            </w:r>
            <w:r w:rsidRPr="000331C1">
              <w:rPr>
                <w:i/>
                <w:sz w:val="20"/>
              </w:rPr>
              <w:t>Mt CO</w:t>
            </w:r>
            <w:r w:rsidRPr="000331C1">
              <w:rPr>
                <w:i/>
                <w:sz w:val="20"/>
                <w:vertAlign w:val="subscript"/>
              </w:rPr>
              <w:t>2</w:t>
            </w:r>
            <w:r w:rsidRPr="000331C1">
              <w:rPr>
                <w:i/>
                <w:sz w:val="20"/>
              </w:rPr>
              <w:t>-</w:t>
            </w:r>
            <w:r>
              <w:rPr>
                <w:i/>
                <w:sz w:val="20"/>
              </w:rPr>
              <w:t>e</w:t>
            </w:r>
            <w:bookmarkEnd w:id="76"/>
          </w:p>
        </w:tc>
      </w:tr>
    </w:tbl>
    <w:p w14:paraId="3EDEE5BA" w14:textId="79C13C77" w:rsidR="00BF14F6" w:rsidRPr="00FA5B51" w:rsidRDefault="00BF14F6" w:rsidP="00BF14F6">
      <w:pPr>
        <w:spacing w:before="0"/>
        <w:rPr>
          <w:sz w:val="20"/>
          <w:szCs w:val="20"/>
        </w:rPr>
      </w:pPr>
      <w:r w:rsidRPr="00FA5B51">
        <w:rPr>
          <w:sz w:val="20"/>
          <w:szCs w:val="20"/>
        </w:rPr>
        <w:t>(Source</w:t>
      </w:r>
      <w:r>
        <w:rPr>
          <w:sz w:val="20"/>
          <w:szCs w:val="20"/>
        </w:rPr>
        <w:t>:</w:t>
      </w:r>
      <w:r w:rsidRPr="00FA5B51">
        <w:rPr>
          <w:sz w:val="20"/>
          <w:szCs w:val="20"/>
        </w:rPr>
        <w:t xml:space="preserve"> </w:t>
      </w:r>
      <w:r w:rsidR="00AC0F6F">
        <w:rPr>
          <w:sz w:val="20"/>
          <w:szCs w:val="20"/>
        </w:rPr>
        <w:t>CHF2 stock</w:t>
      </w:r>
      <w:r>
        <w:rPr>
          <w:sz w:val="20"/>
          <w:szCs w:val="20"/>
        </w:rPr>
        <w:t xml:space="preserve"> model</w:t>
      </w:r>
      <w:r w:rsidRPr="00FA5B51">
        <w:rPr>
          <w:sz w:val="20"/>
          <w:szCs w:val="20"/>
        </w:rPr>
        <w:t>)</w:t>
      </w:r>
    </w:p>
    <w:p w14:paraId="25E3F448" w14:textId="77777777" w:rsidR="00D4014E" w:rsidRDefault="00D4014E" w:rsidP="00D4014E">
      <w:pPr>
        <w:spacing w:before="240"/>
        <w:rPr>
          <w:szCs w:val="22"/>
        </w:rPr>
      </w:pPr>
      <w:r w:rsidRPr="000341A2">
        <w:rPr>
          <w:szCs w:val="22"/>
        </w:rPr>
        <w:lastRenderedPageBreak/>
        <w:t>Finally, a relatively small pool of potential direct emissions from end-of-life equipment has not been added into the total emissions calculated above. End-of-life (EOL) emissions are calculated based on the equipment survival and retirement rates applied to the stock model, and assumptions about leak rates that result in various estimates of EOL gas charges in various categories of equipment.</w:t>
      </w:r>
    </w:p>
    <w:p w14:paraId="351F2C93" w14:textId="77777777" w:rsidR="00D4014E" w:rsidRDefault="00D4014E" w:rsidP="00D4014E">
      <w:r w:rsidRPr="000341A2">
        <w:rPr>
          <w:szCs w:val="22"/>
        </w:rPr>
        <w:t>In 2012, the total tonnage of all refrigerant gases in EOL equipment was estimated to be 1,</w:t>
      </w:r>
      <w:r>
        <w:rPr>
          <w:szCs w:val="22"/>
        </w:rPr>
        <w:t>700</w:t>
      </w:r>
      <w:r w:rsidRPr="000341A2">
        <w:rPr>
          <w:szCs w:val="22"/>
        </w:rPr>
        <w:t xml:space="preserve"> tonnes equivalent to approximately </w:t>
      </w:r>
      <w:r w:rsidRPr="00096E05">
        <w:rPr>
          <w:szCs w:val="22"/>
        </w:rPr>
        <w:t>2.7</w:t>
      </w:r>
      <w:r w:rsidRPr="000341A2">
        <w:rPr>
          <w:szCs w:val="22"/>
        </w:rPr>
        <w:t xml:space="preserve"> Mt CO</w:t>
      </w:r>
      <w:r w:rsidRPr="00201C97">
        <w:rPr>
          <w:szCs w:val="22"/>
          <w:vertAlign w:val="subscript"/>
        </w:rPr>
        <w:t>2</w:t>
      </w:r>
      <w:r w:rsidRPr="000341A2">
        <w:rPr>
          <w:szCs w:val="22"/>
        </w:rPr>
        <w:t>-e</w:t>
      </w:r>
      <w:r>
        <w:rPr>
          <w:szCs w:val="22"/>
        </w:rPr>
        <w:t>.</w:t>
      </w:r>
      <w:r w:rsidRPr="000341A2">
        <w:rPr>
          <w:szCs w:val="22"/>
        </w:rPr>
        <w:t xml:space="preserve"> The sources of EOL refrigerant gas are illustrated in </w:t>
      </w:r>
      <w:r w:rsidRPr="00201C97">
        <w:rPr>
          <w:i/>
          <w:szCs w:val="22"/>
        </w:rPr>
        <w:t>Figure 24</w:t>
      </w:r>
      <w:r w:rsidRPr="000341A2">
        <w:rPr>
          <w:szCs w:val="22"/>
        </w:rPr>
        <w:t>.</w:t>
      </w:r>
    </w:p>
    <w:p w14:paraId="07FDC2A5" w14:textId="6845DA21" w:rsidR="00D4014E" w:rsidRDefault="00D4014E" w:rsidP="00D4014E">
      <w:pPr>
        <w:rPr>
          <w:szCs w:val="22"/>
        </w:rPr>
      </w:pPr>
      <w:r>
        <w:rPr>
          <w:szCs w:val="22"/>
        </w:rPr>
        <w:t xml:space="preserve">The estimate of volume of refrigerant retiring can vary significantly depending on modelling assumptions, as it is a relatively small magnitude output from a model of a large bank of equipment with many variables. </w:t>
      </w:r>
      <w:r w:rsidR="00564EE6">
        <w:rPr>
          <w:szCs w:val="22"/>
        </w:rPr>
        <w:t>A</w:t>
      </w:r>
      <w:r>
        <w:rPr>
          <w:szCs w:val="22"/>
        </w:rPr>
        <w:t xml:space="preserve"> recent paper by the authors, </w:t>
      </w:r>
      <w:r w:rsidRPr="005966C1">
        <w:rPr>
          <w:i/>
          <w:szCs w:val="22"/>
        </w:rPr>
        <w:t>Clearing the Air, The Options for a Rebate for Destruction of ODS and SGGs in Australia, 2013</w:t>
      </w:r>
      <w:r>
        <w:rPr>
          <w:szCs w:val="22"/>
        </w:rPr>
        <w:t xml:space="preserve"> made predictions of </w:t>
      </w:r>
      <w:r w:rsidR="00564EE6">
        <w:rPr>
          <w:szCs w:val="22"/>
        </w:rPr>
        <w:t xml:space="preserve">average </w:t>
      </w:r>
      <w:r>
        <w:rPr>
          <w:szCs w:val="22"/>
        </w:rPr>
        <w:t>EOL emissions of around 2,400 tonnes per annum over the next five years (</w:t>
      </w:r>
      <w:r w:rsidRPr="00BE2E50">
        <w:rPr>
          <w:szCs w:val="22"/>
        </w:rPr>
        <w:t>DSEWPaC 2013b)</w:t>
      </w:r>
      <w:r>
        <w:rPr>
          <w:szCs w:val="22"/>
        </w:rPr>
        <w:t xml:space="preserve">. The two models used were essentially based on the same components, however </w:t>
      </w:r>
      <w:r w:rsidRPr="005966C1">
        <w:rPr>
          <w:szCs w:val="22"/>
        </w:rPr>
        <w:t xml:space="preserve">one change to the underlying assumptions </w:t>
      </w:r>
      <w:r>
        <w:rPr>
          <w:szCs w:val="22"/>
        </w:rPr>
        <w:t xml:space="preserve">in CHF2 </w:t>
      </w:r>
      <w:r w:rsidRPr="005966C1">
        <w:rPr>
          <w:szCs w:val="22"/>
        </w:rPr>
        <w:t xml:space="preserve">has inflated the 2012 number </w:t>
      </w:r>
      <w:r>
        <w:rPr>
          <w:szCs w:val="22"/>
        </w:rPr>
        <w:t xml:space="preserve">of air conditioning units </w:t>
      </w:r>
      <w:r w:rsidRPr="005966C1">
        <w:rPr>
          <w:szCs w:val="22"/>
        </w:rPr>
        <w:t>by 782,000 units</w:t>
      </w:r>
      <w:r>
        <w:rPr>
          <w:szCs w:val="22"/>
        </w:rPr>
        <w:t xml:space="preserve"> that resulted in a significantly reduction in the number of retirements and EOL emissions</w:t>
      </w:r>
      <w:r w:rsidRPr="005966C1">
        <w:rPr>
          <w:szCs w:val="22"/>
        </w:rPr>
        <w:t>. In calculating retirement rates the average life of equipment in product categories AC1 and AC2</w:t>
      </w:r>
      <w:r>
        <w:rPr>
          <w:szCs w:val="22"/>
        </w:rPr>
        <w:t>,</w:t>
      </w:r>
      <w:r w:rsidRPr="005966C1">
        <w:rPr>
          <w:szCs w:val="22"/>
        </w:rPr>
        <w:t xml:space="preserve"> </w:t>
      </w:r>
      <w:r>
        <w:rPr>
          <w:szCs w:val="22"/>
        </w:rPr>
        <w:t xml:space="preserve">the average lifespan was </w:t>
      </w:r>
      <w:r w:rsidRPr="005966C1">
        <w:rPr>
          <w:szCs w:val="22"/>
        </w:rPr>
        <w:t>increased from 10 years to 12 years. This change reflects industry reports</w:t>
      </w:r>
      <w:r>
        <w:rPr>
          <w:szCs w:val="22"/>
        </w:rPr>
        <w:t xml:space="preserve">, </w:t>
      </w:r>
      <w:r w:rsidRPr="005966C1">
        <w:rPr>
          <w:szCs w:val="22"/>
        </w:rPr>
        <w:t>experience</w:t>
      </w:r>
      <w:r>
        <w:rPr>
          <w:szCs w:val="22"/>
        </w:rPr>
        <w:t xml:space="preserve"> with these product categories, and reconciled consumption and inventory levels of HCFC-22. </w:t>
      </w:r>
    </w:p>
    <w:p w14:paraId="2D20F31C" w14:textId="5FD43138" w:rsidR="00D4014E" w:rsidRDefault="00D4014E" w:rsidP="00D4014E">
      <w:pPr>
        <w:rPr>
          <w:szCs w:val="22"/>
        </w:rPr>
      </w:pPr>
      <w:r>
        <w:rPr>
          <w:szCs w:val="22"/>
        </w:rPr>
        <w:t>Further field investigation is certainly required to validate the volumes of equipment retiring, however this difference in EOL predictions demonstrates the potential risk of a bubble of air conditioning equipment installed just over a</w:t>
      </w:r>
      <w:r w:rsidR="00564EE6">
        <w:rPr>
          <w:szCs w:val="22"/>
        </w:rPr>
        <w:t xml:space="preserve"> decade ago nearing end of life.</w:t>
      </w:r>
    </w:p>
    <w:p w14:paraId="641B315E" w14:textId="77777777" w:rsidR="00D4014E" w:rsidRDefault="00D4014E" w:rsidP="00D4014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D4014E" w:rsidRPr="005D159D" w14:paraId="304F3853" w14:textId="77777777" w:rsidTr="00F2741C">
        <w:tc>
          <w:tcPr>
            <w:tcW w:w="9639" w:type="dxa"/>
            <w:vAlign w:val="center"/>
          </w:tcPr>
          <w:p w14:paraId="0241C5D5" w14:textId="16A388FE" w:rsidR="00D4014E" w:rsidRPr="005D159D" w:rsidRDefault="00D4014E" w:rsidP="00AD7823">
            <w:pPr>
              <w:spacing w:after="120"/>
              <w:jc w:val="center"/>
              <w:rPr>
                <w:b/>
                <w:sz w:val="24"/>
              </w:rPr>
            </w:pPr>
            <w:r w:rsidRPr="005D159D">
              <w:rPr>
                <w:b/>
                <w:sz w:val="24"/>
              </w:rPr>
              <w:br w:type="page"/>
            </w:r>
            <w:r>
              <w:rPr>
                <w:b/>
                <w:sz w:val="24"/>
              </w:rPr>
              <w:t>2012 EOL emissions by major class</w:t>
            </w:r>
          </w:p>
        </w:tc>
      </w:tr>
      <w:tr w:rsidR="00D4014E" w:rsidRPr="00BD20BC" w14:paraId="098B8AA0" w14:textId="77777777" w:rsidTr="00F2741C">
        <w:tc>
          <w:tcPr>
            <w:tcW w:w="9639" w:type="dxa"/>
            <w:vAlign w:val="center"/>
          </w:tcPr>
          <w:p w14:paraId="62CFA378" w14:textId="0636970D" w:rsidR="00D4014E" w:rsidRDefault="00AD7823" w:rsidP="00F2741C">
            <w:pPr>
              <w:jc w:val="center"/>
              <w:rPr>
                <w:sz w:val="16"/>
                <w:szCs w:val="16"/>
              </w:rPr>
            </w:pPr>
            <w:r>
              <w:rPr>
                <w:noProof/>
                <w:lang w:val="en-US"/>
              </w:rPr>
              <w:drawing>
                <wp:inline distT="0" distB="0" distL="0" distR="0" wp14:anchorId="774D8145" wp14:editId="187E8EEF">
                  <wp:extent cx="5486400" cy="3782695"/>
                  <wp:effectExtent l="0" t="0" r="0" b="19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2BF2216" w14:textId="77777777" w:rsidR="00D4014E" w:rsidRPr="00BD20BC" w:rsidRDefault="00D4014E" w:rsidP="00F2741C">
            <w:pPr>
              <w:jc w:val="center"/>
              <w:rPr>
                <w:sz w:val="16"/>
                <w:szCs w:val="16"/>
              </w:rPr>
            </w:pPr>
          </w:p>
        </w:tc>
      </w:tr>
      <w:tr w:rsidR="00D4014E" w:rsidRPr="00042727" w14:paraId="6242BC5E" w14:textId="77777777" w:rsidTr="00F2741C">
        <w:tc>
          <w:tcPr>
            <w:tcW w:w="9639" w:type="dxa"/>
            <w:vAlign w:val="center"/>
          </w:tcPr>
          <w:p w14:paraId="4951CD6D" w14:textId="04FEB125" w:rsidR="00D4014E" w:rsidRPr="005D159D" w:rsidRDefault="00D4014E" w:rsidP="00AD7823">
            <w:pPr>
              <w:spacing w:before="60" w:after="60"/>
              <w:rPr>
                <w:i/>
              </w:rPr>
            </w:pPr>
            <w:bookmarkStart w:id="77" w:name="_Toc233084000"/>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24</w:t>
            </w:r>
            <w:r w:rsidRPr="005D159D">
              <w:rPr>
                <w:i/>
                <w:sz w:val="20"/>
              </w:rPr>
              <w:fldChar w:fldCharType="end"/>
            </w:r>
            <w:r w:rsidRPr="005D159D">
              <w:rPr>
                <w:i/>
                <w:sz w:val="20"/>
              </w:rPr>
              <w:t xml:space="preserve">: </w:t>
            </w:r>
            <w:r>
              <w:rPr>
                <w:i/>
                <w:sz w:val="20"/>
              </w:rPr>
              <w:t>2012 EOL e</w:t>
            </w:r>
            <w:r w:rsidRPr="000331C1">
              <w:rPr>
                <w:i/>
                <w:sz w:val="20"/>
              </w:rPr>
              <w:t xml:space="preserve">missions by </w:t>
            </w:r>
            <w:r>
              <w:rPr>
                <w:i/>
                <w:sz w:val="20"/>
              </w:rPr>
              <w:t>major c</w:t>
            </w:r>
            <w:r w:rsidRPr="000331C1">
              <w:rPr>
                <w:i/>
                <w:sz w:val="20"/>
              </w:rPr>
              <w:t>lass</w:t>
            </w:r>
            <w:r>
              <w:rPr>
                <w:i/>
                <w:sz w:val="20"/>
              </w:rPr>
              <w:t xml:space="preserve"> </w:t>
            </w:r>
            <w:r w:rsidR="00AD7823">
              <w:rPr>
                <w:i/>
                <w:sz w:val="20"/>
              </w:rPr>
              <w:t>dissected by emissions</w:t>
            </w:r>
            <w:bookmarkEnd w:id="77"/>
          </w:p>
        </w:tc>
      </w:tr>
    </w:tbl>
    <w:p w14:paraId="35413FF6" w14:textId="77777777" w:rsidR="00D4014E" w:rsidRPr="00201C97" w:rsidRDefault="00D4014E" w:rsidP="00D4014E">
      <w:pPr>
        <w:spacing w:before="240"/>
        <w:rPr>
          <w:szCs w:val="22"/>
        </w:rPr>
      </w:pPr>
      <w:r w:rsidRPr="00201C97">
        <w:rPr>
          <w:szCs w:val="22"/>
        </w:rPr>
        <w:lastRenderedPageBreak/>
        <w:t xml:space="preserve">While the NGGI assumes that this volume of gas is emitted and includes </w:t>
      </w:r>
      <w:r>
        <w:rPr>
          <w:szCs w:val="22"/>
        </w:rPr>
        <w:t xml:space="preserve">the SGGs </w:t>
      </w:r>
      <w:r w:rsidRPr="00201C97">
        <w:rPr>
          <w:szCs w:val="22"/>
        </w:rPr>
        <w:t>in the annual total of Australian emissions, there is a question over how much of this gas might be recovered and reused by technicians.</w:t>
      </w:r>
    </w:p>
    <w:p w14:paraId="233F83BB" w14:textId="77777777" w:rsidR="00D4014E" w:rsidRPr="00201C97" w:rsidRDefault="00D4014E" w:rsidP="00D4014E">
      <w:pPr>
        <w:rPr>
          <w:szCs w:val="22"/>
        </w:rPr>
      </w:pPr>
      <w:r w:rsidRPr="00201C97">
        <w:rPr>
          <w:szCs w:val="22"/>
        </w:rPr>
        <w:t>The refrigerant gas importers industry stewardship scheme, Refrigerant Reclaim Australia (RRA) (www.refrigerantreclaim.org.au), runs a rebate scheme for the recovery and destruction of used refrigerant gases. For the last few years gas recoveries have averaged just under 500 tonnes per annum. While the gas is generally mixed up, and contaminated with oil, moisture and some hydrocarbons, the recovered gas is roughly equivalent to 0.75 Mt CO</w:t>
      </w:r>
      <w:r w:rsidRPr="00201C97">
        <w:rPr>
          <w:szCs w:val="22"/>
          <w:vertAlign w:val="subscript"/>
        </w:rPr>
        <w:t>2</w:t>
      </w:r>
      <w:r w:rsidRPr="00201C97">
        <w:rPr>
          <w:szCs w:val="22"/>
        </w:rPr>
        <w:t>-e.  It is safe to assume that a large proportion of this recovered gas has come from equipment being decommissioned at end-of-life. If all of the RRA recovered gas could be netted off the EOL gas, it leaves potentially around 1,200 tonnes of EOL gas unaccounted for every year, equivalent to roughly 1.9 Mt CO</w:t>
      </w:r>
      <w:r w:rsidRPr="00201C97">
        <w:rPr>
          <w:szCs w:val="22"/>
          <w:vertAlign w:val="subscript"/>
        </w:rPr>
        <w:t>2</w:t>
      </w:r>
      <w:r w:rsidRPr="00201C97">
        <w:rPr>
          <w:szCs w:val="22"/>
        </w:rPr>
        <w:t>-e per annum, or something like 0.3 per cent of total national emissions.</w:t>
      </w:r>
      <w:r>
        <w:rPr>
          <w:rStyle w:val="FootnoteReference"/>
          <w:szCs w:val="22"/>
        </w:rPr>
        <w:footnoteReference w:id="28"/>
      </w:r>
    </w:p>
    <w:p w14:paraId="56AD5BB9" w14:textId="77777777" w:rsidR="00D4014E" w:rsidRPr="00201C97" w:rsidRDefault="00D4014E" w:rsidP="00D4014E">
      <w:pPr>
        <w:rPr>
          <w:szCs w:val="22"/>
        </w:rPr>
      </w:pPr>
      <w:r w:rsidRPr="00201C97">
        <w:rPr>
          <w:szCs w:val="22"/>
        </w:rPr>
        <w:t xml:space="preserve">At the same time, an unknown quantity of EOL gas is certainly recovered and recycled. In recent years, as the cap on imports of bulk HCFCs has become tighter, and the price of this common gas has increased, recycling of HCFCs from EOL equipment has become a much more common practice, although the quantity of gas recovered and reused can only be estimated.  Similarly the recent introduction of the equivalent carbon price has almost certainly increased reclamation and reuse of HFCs as, the ECP combined with other inflationary factors has resulted in the retail price of some HFCs tripling. </w:t>
      </w:r>
    </w:p>
    <w:p w14:paraId="53A4AA4A" w14:textId="67CF1EC2" w:rsidR="00D4014E" w:rsidRDefault="00D4014E" w:rsidP="00D4014E">
      <w:pPr>
        <w:rPr>
          <w:szCs w:val="22"/>
        </w:rPr>
      </w:pPr>
      <w:r w:rsidRPr="00201C97">
        <w:rPr>
          <w:szCs w:val="22"/>
        </w:rPr>
        <w:t xml:space="preserve">Because of the uncertainty as to the rate of recycling of refrigerant gas from EOL equipment, the refrigerant gas left in EOL equipment has not automatically been added to the total of direct emissions. However this is not to say that EOL refrigerant gas is not being emitted to atmosphere and that opportunities to </w:t>
      </w:r>
      <w:r w:rsidR="00943FE1">
        <w:rPr>
          <w:szCs w:val="22"/>
        </w:rPr>
        <w:t xml:space="preserve">minimise these </w:t>
      </w:r>
      <w:r w:rsidRPr="00201C97">
        <w:rPr>
          <w:szCs w:val="22"/>
        </w:rPr>
        <w:t>emissions should not be pursued.</w:t>
      </w:r>
    </w:p>
    <w:p w14:paraId="5E288EC9" w14:textId="6DF8C08C" w:rsidR="0063444C" w:rsidRDefault="00201C97" w:rsidP="006E7A71">
      <w:pPr>
        <w:rPr>
          <w:szCs w:val="22"/>
        </w:rPr>
      </w:pPr>
      <w:r w:rsidRPr="00EB7315">
        <w:rPr>
          <w:i/>
          <w:szCs w:val="22"/>
        </w:rPr>
        <w:t>Table 21</w:t>
      </w:r>
      <w:r w:rsidRPr="00201C97">
        <w:rPr>
          <w:szCs w:val="22"/>
        </w:rPr>
        <w:t xml:space="preserve"> provides a further comparison of the role of the various classes of equipment in the total energy use and emissions production of the sector.</w:t>
      </w:r>
    </w:p>
    <w:p w14:paraId="7AFFB06B" w14:textId="77777777" w:rsidR="00EB7315" w:rsidRDefault="00EB7315" w:rsidP="006E7A71">
      <w:pPr>
        <w:rPr>
          <w:szCs w:val="22"/>
        </w:rPr>
      </w:pPr>
    </w:p>
    <w:p w14:paraId="43F987D8" w14:textId="42AA5EB9" w:rsidR="000331C1" w:rsidRPr="005D159D" w:rsidRDefault="000331C1" w:rsidP="000331C1">
      <w:pPr>
        <w:rPr>
          <w:i/>
          <w:szCs w:val="22"/>
        </w:rPr>
      </w:pPr>
      <w:bookmarkStart w:id="78" w:name="_Toc233084065"/>
      <w:r w:rsidRPr="005D159D">
        <w:rPr>
          <w:i/>
          <w:szCs w:val="22"/>
        </w:rPr>
        <w:t xml:space="preserve">Table </w:t>
      </w:r>
      <w:r w:rsidRPr="005D159D">
        <w:rPr>
          <w:i/>
          <w:szCs w:val="22"/>
        </w:rPr>
        <w:fldChar w:fldCharType="begin"/>
      </w:r>
      <w:r w:rsidRPr="005D159D">
        <w:rPr>
          <w:i/>
          <w:szCs w:val="22"/>
        </w:rPr>
        <w:instrText xml:space="preserve"> SEQ Table \* ARABIC </w:instrText>
      </w:r>
      <w:r w:rsidRPr="005D159D">
        <w:rPr>
          <w:i/>
          <w:szCs w:val="22"/>
        </w:rPr>
        <w:fldChar w:fldCharType="separate"/>
      </w:r>
      <w:r w:rsidR="00196462">
        <w:rPr>
          <w:i/>
          <w:noProof/>
          <w:szCs w:val="22"/>
        </w:rPr>
        <w:t>21</w:t>
      </w:r>
      <w:r w:rsidRPr="005D159D">
        <w:rPr>
          <w:i/>
          <w:szCs w:val="22"/>
        </w:rPr>
        <w:fldChar w:fldCharType="end"/>
      </w:r>
      <w:r w:rsidRPr="005D159D">
        <w:rPr>
          <w:i/>
          <w:szCs w:val="22"/>
        </w:rPr>
        <w:t xml:space="preserve">: </w:t>
      </w:r>
      <w:r w:rsidRPr="000331C1">
        <w:rPr>
          <w:i/>
          <w:szCs w:val="22"/>
        </w:rPr>
        <w:t xml:space="preserve">Share of HVAC&amp;R </w:t>
      </w:r>
      <w:r>
        <w:rPr>
          <w:i/>
          <w:szCs w:val="22"/>
        </w:rPr>
        <w:t>s</w:t>
      </w:r>
      <w:r w:rsidRPr="000331C1">
        <w:rPr>
          <w:i/>
          <w:szCs w:val="22"/>
        </w:rPr>
        <w:t xml:space="preserve">ector </w:t>
      </w:r>
      <w:r>
        <w:rPr>
          <w:i/>
          <w:szCs w:val="22"/>
        </w:rPr>
        <w:t>e</w:t>
      </w:r>
      <w:r w:rsidRPr="000331C1">
        <w:rPr>
          <w:i/>
          <w:szCs w:val="22"/>
        </w:rPr>
        <w:t xml:space="preserve">nergy </w:t>
      </w:r>
      <w:r>
        <w:rPr>
          <w:i/>
          <w:szCs w:val="22"/>
        </w:rPr>
        <w:t>c</w:t>
      </w:r>
      <w:r w:rsidRPr="000331C1">
        <w:rPr>
          <w:i/>
          <w:szCs w:val="22"/>
        </w:rPr>
        <w:t xml:space="preserve">onsumption and </w:t>
      </w:r>
      <w:r>
        <w:rPr>
          <w:i/>
          <w:szCs w:val="22"/>
        </w:rPr>
        <w:t>e</w:t>
      </w:r>
      <w:r w:rsidRPr="000331C1">
        <w:rPr>
          <w:i/>
          <w:szCs w:val="22"/>
        </w:rPr>
        <w:t xml:space="preserve">missions by </w:t>
      </w:r>
      <w:r>
        <w:rPr>
          <w:i/>
          <w:szCs w:val="22"/>
        </w:rPr>
        <w:t>major c</w:t>
      </w:r>
      <w:r w:rsidRPr="000331C1">
        <w:rPr>
          <w:i/>
          <w:szCs w:val="22"/>
        </w:rPr>
        <w:t>lass</w:t>
      </w:r>
      <w:bookmarkEnd w:id="78"/>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418"/>
        <w:gridCol w:w="1417"/>
        <w:gridCol w:w="1559"/>
        <w:gridCol w:w="1417"/>
        <w:gridCol w:w="1418"/>
        <w:gridCol w:w="1417"/>
      </w:tblGrid>
      <w:tr w:rsidR="000331C1" w:rsidRPr="00923150" w14:paraId="37D29845" w14:textId="77777777" w:rsidTr="00CF6747">
        <w:trPr>
          <w:trHeight w:val="684"/>
        </w:trPr>
        <w:tc>
          <w:tcPr>
            <w:tcW w:w="993" w:type="dxa"/>
            <w:tcBorders>
              <w:top w:val="single" w:sz="8" w:space="0" w:color="auto"/>
              <w:left w:val="single" w:sz="8" w:space="0" w:color="auto"/>
              <w:bottom w:val="single" w:sz="4" w:space="0" w:color="000000"/>
              <w:right w:val="single" w:sz="4" w:space="0" w:color="FFFFFF"/>
            </w:tcBorders>
            <w:shd w:val="clear" w:color="auto" w:fill="000000"/>
          </w:tcPr>
          <w:p w14:paraId="56DD3FC9" w14:textId="04B8EA06" w:rsidR="000331C1" w:rsidRPr="00923150" w:rsidRDefault="00195F1C" w:rsidP="000331C1">
            <w:pPr>
              <w:spacing w:after="120"/>
              <w:ind w:left="34"/>
            </w:pPr>
            <w:r>
              <w:t>Major class</w:t>
            </w:r>
          </w:p>
        </w:tc>
        <w:tc>
          <w:tcPr>
            <w:tcW w:w="1418" w:type="dxa"/>
            <w:tcBorders>
              <w:top w:val="single" w:sz="8" w:space="0" w:color="auto"/>
              <w:left w:val="single" w:sz="4" w:space="0" w:color="FFFFFF"/>
              <w:bottom w:val="single" w:sz="4" w:space="0" w:color="000000"/>
              <w:right w:val="single" w:sz="4" w:space="0" w:color="FFFFFF"/>
            </w:tcBorders>
            <w:shd w:val="clear" w:color="auto" w:fill="000000"/>
          </w:tcPr>
          <w:p w14:paraId="00E4E574" w14:textId="48A1CBF1" w:rsidR="000331C1" w:rsidRPr="008B096C" w:rsidRDefault="000331C1" w:rsidP="00461990">
            <w:pPr>
              <w:spacing w:after="120"/>
              <w:jc w:val="center"/>
              <w:rPr>
                <w:sz w:val="20"/>
                <w:szCs w:val="20"/>
              </w:rPr>
            </w:pPr>
            <w:r w:rsidRPr="00A71CBF">
              <w:t xml:space="preserve">Share of </w:t>
            </w:r>
            <w:r w:rsidR="00461990">
              <w:t>s</w:t>
            </w:r>
            <w:r w:rsidRPr="00A71CBF">
              <w:t xml:space="preserve">ector </w:t>
            </w:r>
            <w:r w:rsidR="00461990">
              <w:t>e</w:t>
            </w:r>
            <w:r w:rsidRPr="00A71CBF">
              <w:t>nergy</w:t>
            </w:r>
            <w:r w:rsidR="00461990">
              <w:t xml:space="preserve"> based on PJ</w:t>
            </w:r>
          </w:p>
        </w:tc>
        <w:tc>
          <w:tcPr>
            <w:tcW w:w="1417" w:type="dxa"/>
            <w:tcBorders>
              <w:top w:val="single" w:sz="8" w:space="0" w:color="auto"/>
              <w:left w:val="single" w:sz="4" w:space="0" w:color="FFFFFF"/>
              <w:bottom w:val="single" w:sz="4" w:space="0" w:color="000000"/>
              <w:right w:val="single" w:sz="4" w:space="0" w:color="FFFFFF"/>
            </w:tcBorders>
            <w:shd w:val="clear" w:color="auto" w:fill="000000"/>
          </w:tcPr>
          <w:p w14:paraId="6843480A" w14:textId="621E312D" w:rsidR="000331C1" w:rsidRPr="008B096C" w:rsidRDefault="000331C1" w:rsidP="00461990">
            <w:pPr>
              <w:spacing w:after="120"/>
              <w:jc w:val="center"/>
              <w:rPr>
                <w:sz w:val="20"/>
                <w:szCs w:val="20"/>
              </w:rPr>
            </w:pPr>
            <w:r w:rsidRPr="00A71CBF">
              <w:t xml:space="preserve">Share of </w:t>
            </w:r>
            <w:r w:rsidR="00461990">
              <w:t>s</w:t>
            </w:r>
            <w:r w:rsidRPr="00A71CBF">
              <w:t xml:space="preserve">ector </w:t>
            </w:r>
            <w:r w:rsidR="00461990">
              <w:t>i</w:t>
            </w:r>
            <w:r w:rsidRPr="00A71CBF">
              <w:t xml:space="preserve">ndirect </w:t>
            </w:r>
            <w:r w:rsidR="00461990">
              <w:t>e</w:t>
            </w:r>
            <w:r w:rsidRPr="00A71CBF">
              <w:t>missions</w:t>
            </w:r>
          </w:p>
        </w:tc>
        <w:tc>
          <w:tcPr>
            <w:tcW w:w="1559" w:type="dxa"/>
            <w:tcBorders>
              <w:top w:val="single" w:sz="8" w:space="0" w:color="auto"/>
              <w:left w:val="single" w:sz="4" w:space="0" w:color="FFFFFF"/>
              <w:bottom w:val="single" w:sz="4" w:space="0" w:color="000000"/>
              <w:right w:val="single" w:sz="4" w:space="0" w:color="FFFFFF"/>
            </w:tcBorders>
            <w:shd w:val="clear" w:color="auto" w:fill="000000"/>
          </w:tcPr>
          <w:p w14:paraId="782F8A9C" w14:textId="35B41F4E" w:rsidR="000331C1" w:rsidRPr="008B096C" w:rsidRDefault="000331C1" w:rsidP="00461990">
            <w:pPr>
              <w:spacing w:after="120"/>
              <w:jc w:val="center"/>
              <w:rPr>
                <w:sz w:val="20"/>
                <w:szCs w:val="20"/>
              </w:rPr>
            </w:pPr>
            <w:r w:rsidRPr="00A71CBF">
              <w:t xml:space="preserve">Share of </w:t>
            </w:r>
            <w:r w:rsidR="00461990">
              <w:t>s</w:t>
            </w:r>
            <w:r w:rsidRPr="00A71CBF">
              <w:t xml:space="preserve">ector </w:t>
            </w:r>
            <w:r w:rsidR="00461990">
              <w:t>d</w:t>
            </w:r>
            <w:r w:rsidRPr="00A71CBF">
              <w:t xml:space="preserve">irect </w:t>
            </w:r>
            <w:r w:rsidR="00461990">
              <w:t>e</w:t>
            </w:r>
            <w:r w:rsidRPr="00A71CBF">
              <w:t>missions</w:t>
            </w:r>
          </w:p>
        </w:tc>
        <w:tc>
          <w:tcPr>
            <w:tcW w:w="1417" w:type="dxa"/>
            <w:tcBorders>
              <w:top w:val="single" w:sz="8" w:space="0" w:color="auto"/>
              <w:left w:val="single" w:sz="4" w:space="0" w:color="FFFFFF"/>
              <w:bottom w:val="single" w:sz="4" w:space="0" w:color="000000"/>
              <w:right w:val="single" w:sz="4" w:space="0" w:color="FFFFFF"/>
            </w:tcBorders>
            <w:shd w:val="clear" w:color="auto" w:fill="000000"/>
          </w:tcPr>
          <w:p w14:paraId="52E58C50" w14:textId="6E7EAC15" w:rsidR="000331C1" w:rsidRPr="008B096C" w:rsidRDefault="000331C1" w:rsidP="004D2792">
            <w:pPr>
              <w:spacing w:after="120"/>
              <w:jc w:val="center"/>
              <w:rPr>
                <w:sz w:val="20"/>
                <w:szCs w:val="20"/>
              </w:rPr>
            </w:pPr>
            <w:r w:rsidRPr="00A71CBF">
              <w:t xml:space="preserve">Share of </w:t>
            </w:r>
            <w:r w:rsidR="00461990">
              <w:t>s</w:t>
            </w:r>
            <w:r w:rsidRPr="00A71CBF">
              <w:t xml:space="preserve">ector </w:t>
            </w:r>
            <w:r w:rsidR="004D2792">
              <w:t>t</w:t>
            </w:r>
            <w:r w:rsidRPr="00A71CBF">
              <w:t xml:space="preserve">otal </w:t>
            </w:r>
            <w:r w:rsidR="004D2792">
              <w:t>e</w:t>
            </w:r>
            <w:r w:rsidRPr="00A71CBF">
              <w:t>missions</w:t>
            </w:r>
          </w:p>
        </w:tc>
        <w:tc>
          <w:tcPr>
            <w:tcW w:w="1418" w:type="dxa"/>
            <w:tcBorders>
              <w:top w:val="single" w:sz="8" w:space="0" w:color="auto"/>
              <w:left w:val="single" w:sz="4" w:space="0" w:color="FFFFFF"/>
              <w:bottom w:val="single" w:sz="4" w:space="0" w:color="000000"/>
              <w:right w:val="single" w:sz="4" w:space="0" w:color="FFFFFF"/>
            </w:tcBorders>
            <w:shd w:val="clear" w:color="auto" w:fill="000000"/>
          </w:tcPr>
          <w:p w14:paraId="4B44CCD4" w14:textId="0C3102D9" w:rsidR="000331C1" w:rsidRPr="008B096C" w:rsidRDefault="000331C1" w:rsidP="000331C1">
            <w:pPr>
              <w:spacing w:after="120"/>
              <w:jc w:val="center"/>
              <w:rPr>
                <w:sz w:val="20"/>
                <w:szCs w:val="20"/>
              </w:rPr>
            </w:pPr>
            <w:r w:rsidRPr="00A71CBF">
              <w:t>Share of NGGI</w:t>
            </w:r>
          </w:p>
        </w:tc>
        <w:tc>
          <w:tcPr>
            <w:tcW w:w="1417" w:type="dxa"/>
            <w:tcBorders>
              <w:top w:val="single" w:sz="8" w:space="0" w:color="auto"/>
              <w:left w:val="single" w:sz="4" w:space="0" w:color="FFFFFF"/>
              <w:bottom w:val="single" w:sz="4" w:space="0" w:color="000000"/>
              <w:right w:val="single" w:sz="8" w:space="0" w:color="auto"/>
            </w:tcBorders>
            <w:shd w:val="clear" w:color="auto" w:fill="000000"/>
          </w:tcPr>
          <w:p w14:paraId="2F5DAD6A" w14:textId="7099890F" w:rsidR="000331C1" w:rsidRPr="008B096C" w:rsidRDefault="000331C1" w:rsidP="000331C1">
            <w:pPr>
              <w:spacing w:after="120"/>
              <w:jc w:val="center"/>
              <w:rPr>
                <w:sz w:val="20"/>
                <w:szCs w:val="20"/>
              </w:rPr>
            </w:pPr>
            <w:r w:rsidRPr="00A71CBF">
              <w:t>Share of EOL Tonnes</w:t>
            </w:r>
          </w:p>
        </w:tc>
      </w:tr>
      <w:tr w:rsidR="000331C1" w:rsidRPr="00923150" w14:paraId="2DB01F8C" w14:textId="77777777" w:rsidTr="007E168A">
        <w:trPr>
          <w:trHeight w:val="456"/>
        </w:trPr>
        <w:tc>
          <w:tcPr>
            <w:tcW w:w="993" w:type="dxa"/>
            <w:tcBorders>
              <w:top w:val="single" w:sz="4" w:space="0" w:color="000000"/>
            </w:tcBorders>
            <w:vAlign w:val="center"/>
          </w:tcPr>
          <w:p w14:paraId="252863F6" w14:textId="133354C5" w:rsidR="000331C1" w:rsidRPr="00923150" w:rsidRDefault="000331C1" w:rsidP="000331C1">
            <w:pPr>
              <w:spacing w:before="60" w:after="60"/>
              <w:ind w:left="34"/>
              <w:jc w:val="left"/>
              <w:rPr>
                <w:sz w:val="20"/>
              </w:rPr>
            </w:pPr>
            <w:r w:rsidRPr="0042079B">
              <w:t>AC</w:t>
            </w:r>
          </w:p>
        </w:tc>
        <w:tc>
          <w:tcPr>
            <w:tcW w:w="1418" w:type="dxa"/>
            <w:tcBorders>
              <w:top w:val="single" w:sz="4" w:space="0" w:color="000000"/>
            </w:tcBorders>
            <w:vAlign w:val="center"/>
          </w:tcPr>
          <w:p w14:paraId="198FA67E" w14:textId="2688A2E4" w:rsidR="000331C1" w:rsidRPr="008B096C" w:rsidRDefault="000331C1" w:rsidP="004D2792">
            <w:pPr>
              <w:spacing w:before="60" w:after="60"/>
              <w:jc w:val="center"/>
              <w:rPr>
                <w:sz w:val="20"/>
                <w:szCs w:val="20"/>
              </w:rPr>
            </w:pPr>
            <w:r w:rsidRPr="0042079B">
              <w:t>51%</w:t>
            </w:r>
          </w:p>
        </w:tc>
        <w:tc>
          <w:tcPr>
            <w:tcW w:w="1417" w:type="dxa"/>
            <w:tcBorders>
              <w:top w:val="single" w:sz="4" w:space="0" w:color="000000"/>
            </w:tcBorders>
            <w:vAlign w:val="center"/>
          </w:tcPr>
          <w:p w14:paraId="36F2E63F" w14:textId="17075548" w:rsidR="000331C1" w:rsidRPr="008B096C" w:rsidRDefault="000331C1" w:rsidP="004D2792">
            <w:pPr>
              <w:spacing w:before="60" w:after="60"/>
              <w:jc w:val="center"/>
              <w:rPr>
                <w:sz w:val="20"/>
                <w:szCs w:val="20"/>
              </w:rPr>
            </w:pPr>
            <w:r w:rsidRPr="0042079B">
              <w:t>5</w:t>
            </w:r>
            <w:r w:rsidR="004D2792">
              <w:t>9</w:t>
            </w:r>
            <w:r w:rsidRPr="0042079B">
              <w:t>%</w:t>
            </w:r>
          </w:p>
        </w:tc>
        <w:tc>
          <w:tcPr>
            <w:tcW w:w="1559" w:type="dxa"/>
            <w:tcBorders>
              <w:top w:val="single" w:sz="4" w:space="0" w:color="000000"/>
            </w:tcBorders>
            <w:vAlign w:val="center"/>
          </w:tcPr>
          <w:p w14:paraId="1F77DAC0" w14:textId="3064D32A" w:rsidR="000331C1" w:rsidRPr="008B096C" w:rsidRDefault="000331C1" w:rsidP="004D2792">
            <w:pPr>
              <w:spacing w:before="60" w:after="60"/>
              <w:jc w:val="center"/>
              <w:rPr>
                <w:sz w:val="20"/>
                <w:szCs w:val="20"/>
              </w:rPr>
            </w:pPr>
            <w:r w:rsidRPr="0042079B">
              <w:t>4</w:t>
            </w:r>
            <w:r w:rsidR="004D2792">
              <w:t>4</w:t>
            </w:r>
            <w:r w:rsidRPr="0042079B">
              <w:t>%</w:t>
            </w:r>
          </w:p>
        </w:tc>
        <w:tc>
          <w:tcPr>
            <w:tcW w:w="1417" w:type="dxa"/>
            <w:tcBorders>
              <w:top w:val="single" w:sz="4" w:space="0" w:color="000000"/>
            </w:tcBorders>
            <w:vAlign w:val="center"/>
          </w:tcPr>
          <w:p w14:paraId="540FC5C0" w14:textId="34942DDE" w:rsidR="000331C1" w:rsidRPr="008B096C" w:rsidRDefault="000331C1" w:rsidP="004D2792">
            <w:pPr>
              <w:spacing w:before="60" w:after="60"/>
              <w:jc w:val="center"/>
              <w:rPr>
                <w:sz w:val="20"/>
                <w:szCs w:val="20"/>
              </w:rPr>
            </w:pPr>
            <w:r w:rsidRPr="0042079B">
              <w:t>5</w:t>
            </w:r>
            <w:r w:rsidR="004D2792">
              <w:t>8</w:t>
            </w:r>
            <w:r w:rsidRPr="0042079B">
              <w:t>%</w:t>
            </w:r>
          </w:p>
        </w:tc>
        <w:tc>
          <w:tcPr>
            <w:tcW w:w="1418" w:type="dxa"/>
            <w:tcBorders>
              <w:top w:val="single" w:sz="4" w:space="0" w:color="000000"/>
            </w:tcBorders>
            <w:vAlign w:val="center"/>
          </w:tcPr>
          <w:p w14:paraId="7C2233F5" w14:textId="009F0ABF" w:rsidR="000331C1" w:rsidRPr="008B096C" w:rsidRDefault="000331C1" w:rsidP="004D2792">
            <w:pPr>
              <w:spacing w:before="60" w:after="60"/>
              <w:jc w:val="center"/>
              <w:rPr>
                <w:sz w:val="20"/>
                <w:szCs w:val="20"/>
              </w:rPr>
            </w:pPr>
            <w:r w:rsidRPr="0042079B">
              <w:t>6.</w:t>
            </w:r>
            <w:r w:rsidR="004D2792">
              <w:t>3</w:t>
            </w:r>
            <w:r w:rsidRPr="0042079B">
              <w:t>%</w:t>
            </w:r>
          </w:p>
        </w:tc>
        <w:tc>
          <w:tcPr>
            <w:tcW w:w="1417" w:type="dxa"/>
            <w:tcBorders>
              <w:top w:val="single" w:sz="4" w:space="0" w:color="000000"/>
            </w:tcBorders>
            <w:vAlign w:val="center"/>
          </w:tcPr>
          <w:p w14:paraId="2095CB97" w14:textId="1F747FB3" w:rsidR="000331C1" w:rsidRPr="008B096C" w:rsidRDefault="000331C1" w:rsidP="004D2792">
            <w:pPr>
              <w:spacing w:before="60" w:after="60"/>
              <w:jc w:val="center"/>
              <w:rPr>
                <w:sz w:val="20"/>
                <w:szCs w:val="20"/>
              </w:rPr>
            </w:pPr>
            <w:r w:rsidRPr="0042079B">
              <w:t>59%</w:t>
            </w:r>
          </w:p>
        </w:tc>
      </w:tr>
      <w:tr w:rsidR="000331C1" w:rsidRPr="00923150" w14:paraId="6752B193" w14:textId="77777777" w:rsidTr="007E168A">
        <w:trPr>
          <w:trHeight w:val="456"/>
        </w:trPr>
        <w:tc>
          <w:tcPr>
            <w:tcW w:w="993" w:type="dxa"/>
            <w:tcBorders>
              <w:top w:val="single" w:sz="4" w:space="0" w:color="000000"/>
            </w:tcBorders>
            <w:vAlign w:val="center"/>
          </w:tcPr>
          <w:p w14:paraId="58B70078" w14:textId="047A540B" w:rsidR="000331C1" w:rsidRPr="00923150" w:rsidRDefault="000331C1" w:rsidP="000331C1">
            <w:pPr>
              <w:spacing w:before="60" w:after="60"/>
              <w:ind w:left="34"/>
              <w:jc w:val="left"/>
              <w:rPr>
                <w:sz w:val="20"/>
              </w:rPr>
            </w:pPr>
            <w:r w:rsidRPr="0042079B">
              <w:t>MAC</w:t>
            </w:r>
          </w:p>
        </w:tc>
        <w:tc>
          <w:tcPr>
            <w:tcW w:w="1418" w:type="dxa"/>
            <w:tcBorders>
              <w:top w:val="single" w:sz="4" w:space="0" w:color="000000"/>
            </w:tcBorders>
            <w:vAlign w:val="center"/>
          </w:tcPr>
          <w:p w14:paraId="7F99E7C9" w14:textId="6F2AE55A" w:rsidR="000331C1" w:rsidRPr="008B096C" w:rsidRDefault="000331C1" w:rsidP="004D2792">
            <w:pPr>
              <w:spacing w:before="60" w:after="60"/>
              <w:jc w:val="center"/>
              <w:rPr>
                <w:sz w:val="20"/>
                <w:szCs w:val="20"/>
              </w:rPr>
            </w:pPr>
            <w:r w:rsidRPr="0042079B">
              <w:t>1</w:t>
            </w:r>
            <w:r w:rsidR="004D2792">
              <w:t>7</w:t>
            </w:r>
            <w:r w:rsidRPr="0042079B">
              <w:t>%</w:t>
            </w:r>
          </w:p>
        </w:tc>
        <w:tc>
          <w:tcPr>
            <w:tcW w:w="1417" w:type="dxa"/>
            <w:tcBorders>
              <w:top w:val="single" w:sz="4" w:space="0" w:color="000000"/>
            </w:tcBorders>
            <w:vAlign w:val="center"/>
          </w:tcPr>
          <w:p w14:paraId="4E5E1550" w14:textId="35703F86" w:rsidR="000331C1" w:rsidRPr="008B096C" w:rsidRDefault="000331C1" w:rsidP="004D2792">
            <w:pPr>
              <w:spacing w:before="60" w:after="60"/>
              <w:jc w:val="center"/>
              <w:rPr>
                <w:sz w:val="20"/>
                <w:szCs w:val="20"/>
              </w:rPr>
            </w:pPr>
            <w:r w:rsidRPr="0042079B">
              <w:t>5%</w:t>
            </w:r>
          </w:p>
        </w:tc>
        <w:tc>
          <w:tcPr>
            <w:tcW w:w="1559" w:type="dxa"/>
            <w:tcBorders>
              <w:top w:val="single" w:sz="4" w:space="0" w:color="000000"/>
            </w:tcBorders>
            <w:vAlign w:val="center"/>
          </w:tcPr>
          <w:p w14:paraId="0A646B51" w14:textId="66E8A236" w:rsidR="000331C1" w:rsidRPr="008B096C" w:rsidRDefault="000331C1" w:rsidP="004D2792">
            <w:pPr>
              <w:spacing w:before="60" w:after="60"/>
              <w:jc w:val="center"/>
              <w:rPr>
                <w:sz w:val="20"/>
                <w:szCs w:val="20"/>
              </w:rPr>
            </w:pPr>
            <w:r w:rsidRPr="0042079B">
              <w:t>2</w:t>
            </w:r>
            <w:r w:rsidR="004D2792">
              <w:t>6</w:t>
            </w:r>
            <w:r w:rsidRPr="0042079B">
              <w:t>%</w:t>
            </w:r>
          </w:p>
        </w:tc>
        <w:tc>
          <w:tcPr>
            <w:tcW w:w="1417" w:type="dxa"/>
            <w:tcBorders>
              <w:top w:val="single" w:sz="4" w:space="0" w:color="000000"/>
            </w:tcBorders>
            <w:vAlign w:val="center"/>
          </w:tcPr>
          <w:p w14:paraId="4975C051" w14:textId="10F6A6EB" w:rsidR="000331C1" w:rsidRPr="008B096C" w:rsidRDefault="000331C1" w:rsidP="004D2792">
            <w:pPr>
              <w:spacing w:before="60" w:after="60"/>
              <w:jc w:val="center"/>
              <w:rPr>
                <w:sz w:val="20"/>
                <w:szCs w:val="20"/>
              </w:rPr>
            </w:pPr>
            <w:r w:rsidRPr="0042079B">
              <w:t>7%</w:t>
            </w:r>
          </w:p>
        </w:tc>
        <w:tc>
          <w:tcPr>
            <w:tcW w:w="1418" w:type="dxa"/>
            <w:tcBorders>
              <w:top w:val="single" w:sz="4" w:space="0" w:color="000000"/>
            </w:tcBorders>
            <w:vAlign w:val="center"/>
          </w:tcPr>
          <w:p w14:paraId="455FBE9D" w14:textId="7D13BEB6" w:rsidR="000331C1" w:rsidRPr="008B096C" w:rsidRDefault="000331C1" w:rsidP="004D2792">
            <w:pPr>
              <w:spacing w:before="60" w:after="60"/>
              <w:jc w:val="center"/>
              <w:rPr>
                <w:sz w:val="20"/>
                <w:szCs w:val="20"/>
              </w:rPr>
            </w:pPr>
            <w:r w:rsidRPr="0042079B">
              <w:t>0.8%</w:t>
            </w:r>
          </w:p>
        </w:tc>
        <w:tc>
          <w:tcPr>
            <w:tcW w:w="1417" w:type="dxa"/>
            <w:tcBorders>
              <w:top w:val="single" w:sz="4" w:space="0" w:color="000000"/>
            </w:tcBorders>
            <w:vAlign w:val="center"/>
          </w:tcPr>
          <w:p w14:paraId="476ACD4C" w14:textId="4A58D722" w:rsidR="000331C1" w:rsidRPr="008B096C" w:rsidRDefault="000331C1" w:rsidP="004D2792">
            <w:pPr>
              <w:spacing w:before="60" w:after="60"/>
              <w:jc w:val="center"/>
              <w:rPr>
                <w:sz w:val="20"/>
                <w:szCs w:val="20"/>
              </w:rPr>
            </w:pPr>
            <w:r w:rsidRPr="0042079B">
              <w:t>1</w:t>
            </w:r>
            <w:r w:rsidR="004D2792">
              <w:t>1</w:t>
            </w:r>
            <w:r w:rsidRPr="0042079B">
              <w:t>%</w:t>
            </w:r>
          </w:p>
        </w:tc>
      </w:tr>
      <w:tr w:rsidR="000331C1" w:rsidRPr="00923150" w14:paraId="6B37C813" w14:textId="77777777" w:rsidTr="007E168A">
        <w:trPr>
          <w:trHeight w:val="456"/>
        </w:trPr>
        <w:tc>
          <w:tcPr>
            <w:tcW w:w="993" w:type="dxa"/>
            <w:vAlign w:val="center"/>
          </w:tcPr>
          <w:p w14:paraId="6A7353DA" w14:textId="4806CE7C" w:rsidR="000331C1" w:rsidRPr="00865893" w:rsidRDefault="000331C1" w:rsidP="000331C1">
            <w:pPr>
              <w:spacing w:before="60" w:after="60"/>
              <w:ind w:left="34"/>
              <w:jc w:val="left"/>
            </w:pPr>
            <w:r w:rsidRPr="0042079B">
              <w:t>RCFC</w:t>
            </w:r>
          </w:p>
        </w:tc>
        <w:tc>
          <w:tcPr>
            <w:tcW w:w="1418" w:type="dxa"/>
            <w:vAlign w:val="center"/>
          </w:tcPr>
          <w:p w14:paraId="6564D146" w14:textId="1F6BA1DA" w:rsidR="000331C1" w:rsidRPr="008B096C" w:rsidRDefault="000331C1" w:rsidP="004D2792">
            <w:pPr>
              <w:spacing w:before="60" w:after="60"/>
              <w:jc w:val="center"/>
              <w:rPr>
                <w:sz w:val="20"/>
                <w:szCs w:val="20"/>
              </w:rPr>
            </w:pPr>
            <w:r w:rsidRPr="0042079B">
              <w:t>2</w:t>
            </w:r>
            <w:r w:rsidR="004D2792">
              <w:t>2</w:t>
            </w:r>
            <w:r w:rsidRPr="0042079B">
              <w:t>%</w:t>
            </w:r>
          </w:p>
        </w:tc>
        <w:tc>
          <w:tcPr>
            <w:tcW w:w="1417" w:type="dxa"/>
            <w:vAlign w:val="center"/>
          </w:tcPr>
          <w:p w14:paraId="67BD46AA" w14:textId="153B69AD" w:rsidR="000331C1" w:rsidRPr="008B096C" w:rsidRDefault="000331C1" w:rsidP="004D2792">
            <w:pPr>
              <w:spacing w:before="60" w:after="60"/>
              <w:jc w:val="center"/>
              <w:rPr>
                <w:sz w:val="20"/>
                <w:szCs w:val="20"/>
              </w:rPr>
            </w:pPr>
            <w:r w:rsidRPr="0042079B">
              <w:t>2</w:t>
            </w:r>
            <w:r w:rsidR="004D2792">
              <w:t>4</w:t>
            </w:r>
            <w:r w:rsidRPr="0042079B">
              <w:t>%</w:t>
            </w:r>
          </w:p>
        </w:tc>
        <w:tc>
          <w:tcPr>
            <w:tcW w:w="1559" w:type="dxa"/>
            <w:vAlign w:val="center"/>
          </w:tcPr>
          <w:p w14:paraId="634CD899" w14:textId="0ABCE892" w:rsidR="000331C1" w:rsidRPr="008B096C" w:rsidRDefault="000331C1" w:rsidP="004D2792">
            <w:pPr>
              <w:spacing w:before="60" w:after="60"/>
              <w:jc w:val="center"/>
              <w:rPr>
                <w:sz w:val="20"/>
                <w:szCs w:val="20"/>
              </w:rPr>
            </w:pPr>
            <w:r w:rsidRPr="0042079B">
              <w:t>30%</w:t>
            </w:r>
          </w:p>
        </w:tc>
        <w:tc>
          <w:tcPr>
            <w:tcW w:w="1417" w:type="dxa"/>
            <w:vAlign w:val="center"/>
          </w:tcPr>
          <w:p w14:paraId="161E548E" w14:textId="38095079" w:rsidR="000331C1" w:rsidRPr="008B096C" w:rsidRDefault="000331C1" w:rsidP="004D2792">
            <w:pPr>
              <w:spacing w:before="60" w:after="60"/>
              <w:jc w:val="center"/>
              <w:rPr>
                <w:sz w:val="20"/>
                <w:szCs w:val="20"/>
              </w:rPr>
            </w:pPr>
            <w:r w:rsidRPr="0042079B">
              <w:t>24%</w:t>
            </w:r>
          </w:p>
        </w:tc>
        <w:tc>
          <w:tcPr>
            <w:tcW w:w="1418" w:type="dxa"/>
            <w:vAlign w:val="center"/>
          </w:tcPr>
          <w:p w14:paraId="249E7F70" w14:textId="09EDA9E4" w:rsidR="000331C1" w:rsidRPr="008B096C" w:rsidRDefault="000331C1" w:rsidP="004D2792">
            <w:pPr>
              <w:spacing w:before="60" w:after="60"/>
              <w:jc w:val="center"/>
              <w:rPr>
                <w:sz w:val="20"/>
                <w:szCs w:val="20"/>
              </w:rPr>
            </w:pPr>
            <w:r w:rsidRPr="0042079B">
              <w:t>2.</w:t>
            </w:r>
            <w:r w:rsidR="004D2792">
              <w:t>8</w:t>
            </w:r>
            <w:r w:rsidRPr="0042079B">
              <w:t>%</w:t>
            </w:r>
          </w:p>
        </w:tc>
        <w:tc>
          <w:tcPr>
            <w:tcW w:w="1417" w:type="dxa"/>
            <w:vAlign w:val="center"/>
          </w:tcPr>
          <w:p w14:paraId="5E6531E3" w14:textId="29D1DA57" w:rsidR="000331C1" w:rsidRPr="008B096C" w:rsidRDefault="000331C1" w:rsidP="004D2792">
            <w:pPr>
              <w:spacing w:before="60" w:after="60"/>
              <w:jc w:val="center"/>
              <w:rPr>
                <w:sz w:val="20"/>
                <w:szCs w:val="20"/>
              </w:rPr>
            </w:pPr>
            <w:r w:rsidRPr="0042079B">
              <w:t>2</w:t>
            </w:r>
            <w:r w:rsidR="004D2792">
              <w:t>6</w:t>
            </w:r>
            <w:r w:rsidRPr="0042079B">
              <w:t>%</w:t>
            </w:r>
          </w:p>
        </w:tc>
      </w:tr>
      <w:tr w:rsidR="000331C1" w:rsidRPr="00923150" w14:paraId="2AAF5A2B" w14:textId="77777777" w:rsidTr="007E168A">
        <w:trPr>
          <w:trHeight w:val="456"/>
        </w:trPr>
        <w:tc>
          <w:tcPr>
            <w:tcW w:w="993" w:type="dxa"/>
            <w:vAlign w:val="center"/>
          </w:tcPr>
          <w:p w14:paraId="56036F58" w14:textId="68173C25" w:rsidR="000331C1" w:rsidRPr="00865893" w:rsidRDefault="000331C1" w:rsidP="000331C1">
            <w:pPr>
              <w:spacing w:before="60" w:after="60"/>
              <w:ind w:left="34"/>
              <w:jc w:val="left"/>
            </w:pPr>
            <w:r w:rsidRPr="0042079B">
              <w:t>DR</w:t>
            </w:r>
          </w:p>
        </w:tc>
        <w:tc>
          <w:tcPr>
            <w:tcW w:w="1418" w:type="dxa"/>
            <w:vAlign w:val="center"/>
          </w:tcPr>
          <w:p w14:paraId="5CD37947" w14:textId="77EE3BE7" w:rsidR="000331C1" w:rsidRPr="008B096C" w:rsidRDefault="000331C1" w:rsidP="004D2792">
            <w:pPr>
              <w:spacing w:before="60" w:after="60"/>
              <w:jc w:val="center"/>
              <w:rPr>
                <w:sz w:val="20"/>
                <w:szCs w:val="20"/>
              </w:rPr>
            </w:pPr>
            <w:r w:rsidRPr="0042079B">
              <w:t>10%</w:t>
            </w:r>
          </w:p>
        </w:tc>
        <w:tc>
          <w:tcPr>
            <w:tcW w:w="1417" w:type="dxa"/>
            <w:vAlign w:val="center"/>
          </w:tcPr>
          <w:p w14:paraId="37E091BA" w14:textId="4F28992F" w:rsidR="000331C1" w:rsidRPr="008B096C" w:rsidRDefault="000331C1" w:rsidP="004D2792">
            <w:pPr>
              <w:spacing w:before="60" w:after="60"/>
              <w:jc w:val="center"/>
              <w:rPr>
                <w:sz w:val="20"/>
                <w:szCs w:val="20"/>
              </w:rPr>
            </w:pPr>
            <w:r w:rsidRPr="0042079B">
              <w:t>1</w:t>
            </w:r>
            <w:r w:rsidR="004D2792">
              <w:t>2</w:t>
            </w:r>
            <w:r w:rsidRPr="0042079B">
              <w:t>%</w:t>
            </w:r>
          </w:p>
        </w:tc>
        <w:tc>
          <w:tcPr>
            <w:tcW w:w="1559" w:type="dxa"/>
            <w:vAlign w:val="center"/>
          </w:tcPr>
          <w:p w14:paraId="3D436CDB" w14:textId="59E81A44" w:rsidR="000331C1" w:rsidRPr="008B096C" w:rsidRDefault="000331C1" w:rsidP="004D2792">
            <w:pPr>
              <w:spacing w:before="60" w:after="60"/>
              <w:jc w:val="center"/>
              <w:rPr>
                <w:sz w:val="20"/>
                <w:szCs w:val="20"/>
              </w:rPr>
            </w:pPr>
            <w:r w:rsidRPr="0042079B">
              <w:t>0.5%</w:t>
            </w:r>
          </w:p>
        </w:tc>
        <w:tc>
          <w:tcPr>
            <w:tcW w:w="1417" w:type="dxa"/>
            <w:vAlign w:val="center"/>
          </w:tcPr>
          <w:p w14:paraId="5EB3D0B1" w14:textId="002E9D1A" w:rsidR="000331C1" w:rsidRPr="008B096C" w:rsidRDefault="000331C1" w:rsidP="004D2792">
            <w:pPr>
              <w:spacing w:before="60" w:after="60"/>
              <w:jc w:val="center"/>
              <w:rPr>
                <w:sz w:val="20"/>
                <w:szCs w:val="20"/>
              </w:rPr>
            </w:pPr>
            <w:r w:rsidRPr="0042079B">
              <w:t>1</w:t>
            </w:r>
            <w:r w:rsidR="004D2792">
              <w:t>1</w:t>
            </w:r>
            <w:r w:rsidRPr="0042079B">
              <w:t>%</w:t>
            </w:r>
          </w:p>
        </w:tc>
        <w:tc>
          <w:tcPr>
            <w:tcW w:w="1418" w:type="dxa"/>
            <w:vAlign w:val="center"/>
          </w:tcPr>
          <w:p w14:paraId="335A0CEA" w14:textId="6A618B02" w:rsidR="000331C1" w:rsidRPr="008B096C" w:rsidRDefault="000331C1" w:rsidP="004D2792">
            <w:pPr>
              <w:spacing w:before="60" w:after="60"/>
              <w:jc w:val="center"/>
              <w:rPr>
                <w:sz w:val="20"/>
                <w:szCs w:val="20"/>
              </w:rPr>
            </w:pPr>
            <w:r w:rsidRPr="0042079B">
              <w:t>1.2%</w:t>
            </w:r>
          </w:p>
        </w:tc>
        <w:tc>
          <w:tcPr>
            <w:tcW w:w="1417" w:type="dxa"/>
            <w:vAlign w:val="center"/>
          </w:tcPr>
          <w:p w14:paraId="56378327" w14:textId="30C758A9" w:rsidR="000331C1" w:rsidRPr="008B096C" w:rsidRDefault="004D2792" w:rsidP="004D2792">
            <w:pPr>
              <w:spacing w:before="60" w:after="60"/>
              <w:jc w:val="center"/>
              <w:rPr>
                <w:sz w:val="20"/>
                <w:szCs w:val="20"/>
              </w:rPr>
            </w:pPr>
            <w:r>
              <w:t>5</w:t>
            </w:r>
            <w:r w:rsidR="000331C1" w:rsidRPr="0042079B">
              <w:t>%</w:t>
            </w:r>
          </w:p>
        </w:tc>
      </w:tr>
      <w:tr w:rsidR="000331C1" w:rsidRPr="00923150" w14:paraId="3D82C0C6" w14:textId="77777777" w:rsidTr="007E168A">
        <w:trPr>
          <w:trHeight w:val="456"/>
        </w:trPr>
        <w:tc>
          <w:tcPr>
            <w:tcW w:w="993" w:type="dxa"/>
            <w:tcBorders>
              <w:top w:val="double" w:sz="4" w:space="0" w:color="auto"/>
            </w:tcBorders>
            <w:vAlign w:val="center"/>
          </w:tcPr>
          <w:p w14:paraId="3C08DAAE" w14:textId="1A77C814" w:rsidR="000331C1" w:rsidRPr="00865893" w:rsidRDefault="000331C1" w:rsidP="000331C1">
            <w:pPr>
              <w:spacing w:before="60" w:after="60"/>
              <w:ind w:left="34"/>
              <w:jc w:val="left"/>
            </w:pPr>
            <w:r w:rsidRPr="0042079B">
              <w:t>Total</w:t>
            </w:r>
          </w:p>
        </w:tc>
        <w:tc>
          <w:tcPr>
            <w:tcW w:w="1418" w:type="dxa"/>
            <w:tcBorders>
              <w:top w:val="double" w:sz="4" w:space="0" w:color="auto"/>
            </w:tcBorders>
            <w:vAlign w:val="center"/>
          </w:tcPr>
          <w:p w14:paraId="3ABA0E31" w14:textId="004354D4" w:rsidR="000331C1" w:rsidRPr="008B096C" w:rsidRDefault="000331C1" w:rsidP="000331C1">
            <w:pPr>
              <w:spacing w:before="60" w:after="60"/>
              <w:jc w:val="center"/>
              <w:rPr>
                <w:sz w:val="20"/>
                <w:szCs w:val="20"/>
              </w:rPr>
            </w:pPr>
          </w:p>
        </w:tc>
        <w:tc>
          <w:tcPr>
            <w:tcW w:w="1417" w:type="dxa"/>
            <w:tcBorders>
              <w:top w:val="double" w:sz="4" w:space="0" w:color="auto"/>
            </w:tcBorders>
            <w:vAlign w:val="center"/>
          </w:tcPr>
          <w:p w14:paraId="0EBF447F" w14:textId="3219E6EA" w:rsidR="000331C1" w:rsidRPr="008B096C" w:rsidRDefault="000331C1" w:rsidP="000331C1">
            <w:pPr>
              <w:spacing w:before="60" w:after="60"/>
              <w:jc w:val="center"/>
              <w:rPr>
                <w:sz w:val="20"/>
                <w:szCs w:val="20"/>
              </w:rPr>
            </w:pPr>
          </w:p>
        </w:tc>
        <w:tc>
          <w:tcPr>
            <w:tcW w:w="1559" w:type="dxa"/>
            <w:tcBorders>
              <w:top w:val="double" w:sz="4" w:space="0" w:color="auto"/>
            </w:tcBorders>
            <w:vAlign w:val="center"/>
          </w:tcPr>
          <w:p w14:paraId="5AB375AE" w14:textId="26BC64B2" w:rsidR="000331C1" w:rsidRPr="008B096C" w:rsidRDefault="000331C1" w:rsidP="000331C1">
            <w:pPr>
              <w:spacing w:before="60" w:after="60"/>
              <w:jc w:val="center"/>
              <w:rPr>
                <w:sz w:val="20"/>
                <w:szCs w:val="20"/>
              </w:rPr>
            </w:pPr>
          </w:p>
        </w:tc>
        <w:tc>
          <w:tcPr>
            <w:tcW w:w="1417" w:type="dxa"/>
            <w:tcBorders>
              <w:top w:val="double" w:sz="4" w:space="0" w:color="auto"/>
            </w:tcBorders>
            <w:vAlign w:val="center"/>
          </w:tcPr>
          <w:p w14:paraId="31B6813C" w14:textId="246FBFAE" w:rsidR="000331C1" w:rsidRPr="008B096C" w:rsidRDefault="000331C1" w:rsidP="000331C1">
            <w:pPr>
              <w:spacing w:before="60" w:after="60"/>
              <w:jc w:val="center"/>
              <w:rPr>
                <w:sz w:val="20"/>
                <w:szCs w:val="20"/>
              </w:rPr>
            </w:pPr>
          </w:p>
        </w:tc>
        <w:tc>
          <w:tcPr>
            <w:tcW w:w="1418" w:type="dxa"/>
            <w:tcBorders>
              <w:top w:val="double" w:sz="4" w:space="0" w:color="auto"/>
            </w:tcBorders>
            <w:vAlign w:val="center"/>
          </w:tcPr>
          <w:p w14:paraId="4188994A" w14:textId="36C95765" w:rsidR="000331C1" w:rsidRPr="008B096C" w:rsidRDefault="000331C1" w:rsidP="00461990">
            <w:pPr>
              <w:spacing w:before="60" w:after="60"/>
              <w:jc w:val="center"/>
              <w:rPr>
                <w:sz w:val="20"/>
                <w:szCs w:val="20"/>
              </w:rPr>
            </w:pPr>
            <w:r w:rsidRPr="0042079B">
              <w:t>11.1%</w:t>
            </w:r>
          </w:p>
        </w:tc>
        <w:tc>
          <w:tcPr>
            <w:tcW w:w="1417" w:type="dxa"/>
            <w:tcBorders>
              <w:top w:val="double" w:sz="4" w:space="0" w:color="auto"/>
            </w:tcBorders>
            <w:vAlign w:val="center"/>
          </w:tcPr>
          <w:p w14:paraId="71BEBDC2" w14:textId="76AC1F9A" w:rsidR="000331C1" w:rsidRPr="008B096C" w:rsidRDefault="000331C1" w:rsidP="000331C1">
            <w:pPr>
              <w:spacing w:before="60" w:after="60"/>
              <w:jc w:val="center"/>
              <w:rPr>
                <w:sz w:val="20"/>
                <w:szCs w:val="20"/>
              </w:rPr>
            </w:pPr>
          </w:p>
        </w:tc>
      </w:tr>
    </w:tbl>
    <w:p w14:paraId="696DD8B5" w14:textId="58EC0A2B" w:rsidR="004D2792" w:rsidRPr="005169C2" w:rsidRDefault="004D2792" w:rsidP="004D2792">
      <w:pPr>
        <w:pStyle w:val="ListParagraph"/>
        <w:numPr>
          <w:ilvl w:val="0"/>
          <w:numId w:val="25"/>
        </w:numPr>
        <w:spacing w:before="60" w:after="0"/>
        <w:contextualSpacing w:val="0"/>
        <w:rPr>
          <w:rFonts w:ascii="Times New Roman" w:hAnsi="Times New Roman"/>
          <w:sz w:val="20"/>
          <w:szCs w:val="20"/>
        </w:rPr>
      </w:pPr>
      <w:r>
        <w:rPr>
          <w:rFonts w:ascii="Times New Roman" w:hAnsi="Times New Roman"/>
          <w:sz w:val="20"/>
          <w:szCs w:val="20"/>
        </w:rPr>
        <w:t>The shares have been rounded to whole numbers so some columns may not total to 100%.</w:t>
      </w:r>
    </w:p>
    <w:p w14:paraId="5C2A4B2A" w14:textId="6B9D5FE8" w:rsidR="000331C1" w:rsidRDefault="000331C1" w:rsidP="000331C1">
      <w:pPr>
        <w:rPr>
          <w:szCs w:val="22"/>
        </w:rPr>
      </w:pPr>
    </w:p>
    <w:p w14:paraId="22DDE13D" w14:textId="77777777" w:rsidR="002D27F5" w:rsidRDefault="002D27F5" w:rsidP="006E7A71">
      <w:pPr>
        <w:rPr>
          <w:szCs w:val="22"/>
        </w:rPr>
      </w:pPr>
    </w:p>
    <w:p w14:paraId="7CF91CD8" w14:textId="77777777" w:rsidR="002D27F5" w:rsidRDefault="002D27F5">
      <w:pPr>
        <w:spacing w:before="0"/>
        <w:jc w:val="left"/>
        <w:rPr>
          <w:rFonts w:ascii="Calibri" w:eastAsia="Times New Roman" w:hAnsi="Calibri" w:cs="Times New Roman"/>
          <w:b/>
          <w:bCs/>
          <w:kern w:val="32"/>
          <w:sz w:val="32"/>
          <w:szCs w:val="32"/>
          <w:lang w:val="en-US"/>
        </w:rPr>
      </w:pPr>
      <w:r>
        <w:br w:type="page"/>
      </w:r>
    </w:p>
    <w:p w14:paraId="29533CF2" w14:textId="59B4361D" w:rsidR="00042727" w:rsidRPr="0063444C" w:rsidRDefault="002D27F5" w:rsidP="002D27F5">
      <w:pPr>
        <w:pStyle w:val="Heading1"/>
      </w:pPr>
      <w:bookmarkStart w:id="79" w:name="_Toc233084162"/>
      <w:r>
        <w:lastRenderedPageBreak/>
        <w:t>Economics and e</w:t>
      </w:r>
      <w:r w:rsidRPr="002D27F5">
        <w:t>mployment</w:t>
      </w:r>
      <w:bookmarkEnd w:id="79"/>
    </w:p>
    <w:p w14:paraId="775EF913" w14:textId="11863D53" w:rsidR="009F2F54" w:rsidRDefault="009F2F54" w:rsidP="007B6646">
      <w:pPr>
        <w:pStyle w:val="Heading2"/>
        <w:ind w:left="567" w:hanging="567"/>
      </w:pPr>
      <w:bookmarkStart w:id="80" w:name="_Toc233084163"/>
      <w:r>
        <w:t>Structure of the industry</w:t>
      </w:r>
      <w:bookmarkEnd w:id="80"/>
    </w:p>
    <w:p w14:paraId="6FABC385" w14:textId="21AC3C37" w:rsidR="006F4866" w:rsidRPr="006F4866" w:rsidRDefault="006F4866" w:rsidP="006F4866">
      <w:pPr>
        <w:rPr>
          <w:szCs w:val="22"/>
        </w:rPr>
      </w:pPr>
      <w:r w:rsidRPr="006F4866">
        <w:rPr>
          <w:szCs w:val="22"/>
        </w:rPr>
        <w:t>The vast majority of the equipment and appliances</w:t>
      </w:r>
      <w:r w:rsidR="00D4014E">
        <w:rPr>
          <w:szCs w:val="22"/>
        </w:rPr>
        <w:t>,</w:t>
      </w:r>
      <w:r w:rsidRPr="006F4866">
        <w:rPr>
          <w:szCs w:val="22"/>
        </w:rPr>
        <w:t xml:space="preserve"> and all of the working gases described in the previous section</w:t>
      </w:r>
      <w:r w:rsidR="00421852">
        <w:rPr>
          <w:szCs w:val="22"/>
        </w:rPr>
        <w:t>s</w:t>
      </w:r>
      <w:r w:rsidRPr="006F4866">
        <w:rPr>
          <w:szCs w:val="22"/>
        </w:rPr>
        <w:t xml:space="preserve"> are imported.</w:t>
      </w:r>
    </w:p>
    <w:p w14:paraId="2B78C080" w14:textId="1FC83B23" w:rsidR="006F4866" w:rsidRPr="006F4866" w:rsidRDefault="006F4866" w:rsidP="006F4866">
      <w:pPr>
        <w:rPr>
          <w:szCs w:val="22"/>
        </w:rPr>
      </w:pPr>
      <w:r w:rsidRPr="006F4866">
        <w:rPr>
          <w:szCs w:val="22"/>
        </w:rPr>
        <w:t>The industry is made up of five main commercial groups</w:t>
      </w:r>
      <w:r w:rsidR="00421852">
        <w:rPr>
          <w:szCs w:val="22"/>
        </w:rPr>
        <w:t xml:space="preserve"> that can be </w:t>
      </w:r>
      <w:r w:rsidRPr="006F4866">
        <w:rPr>
          <w:szCs w:val="22"/>
        </w:rPr>
        <w:t>characterised as follows:</w:t>
      </w:r>
    </w:p>
    <w:p w14:paraId="527DB9A7" w14:textId="5F917977" w:rsidR="006F4866" w:rsidRPr="00062B56" w:rsidRDefault="006F4866" w:rsidP="00D05A74">
      <w:pPr>
        <w:pStyle w:val="ListParagraph"/>
        <w:numPr>
          <w:ilvl w:val="0"/>
          <w:numId w:val="21"/>
        </w:numPr>
        <w:spacing w:before="120" w:after="0" w:line="240" w:lineRule="auto"/>
        <w:ind w:left="357" w:hanging="357"/>
        <w:contextualSpacing w:val="0"/>
        <w:rPr>
          <w:rFonts w:ascii="Times New Roman" w:hAnsi="Times New Roman"/>
        </w:rPr>
      </w:pPr>
      <w:r w:rsidRPr="00062B56">
        <w:rPr>
          <w:rFonts w:ascii="Times New Roman" w:hAnsi="Times New Roman"/>
        </w:rPr>
        <w:t>Equipment and refrigerant gas importers</w:t>
      </w:r>
      <w:r w:rsidR="00421852">
        <w:rPr>
          <w:rFonts w:ascii="Times New Roman" w:hAnsi="Times New Roman"/>
        </w:rPr>
        <w:t>.</w:t>
      </w:r>
    </w:p>
    <w:p w14:paraId="3C481CA0" w14:textId="1C46693D" w:rsidR="006F4866" w:rsidRPr="00062B56" w:rsidRDefault="006F4866" w:rsidP="00D05A74">
      <w:pPr>
        <w:pStyle w:val="ListParagraph"/>
        <w:numPr>
          <w:ilvl w:val="0"/>
          <w:numId w:val="21"/>
        </w:numPr>
        <w:spacing w:before="120" w:after="0" w:line="240" w:lineRule="auto"/>
        <w:ind w:left="357" w:hanging="357"/>
        <w:contextualSpacing w:val="0"/>
        <w:rPr>
          <w:rFonts w:ascii="Times New Roman" w:hAnsi="Times New Roman"/>
        </w:rPr>
      </w:pPr>
      <w:r w:rsidRPr="00062B56">
        <w:rPr>
          <w:rFonts w:ascii="Times New Roman" w:hAnsi="Times New Roman"/>
        </w:rPr>
        <w:t>Equipment and gas resellers, wholesalers and retailers</w:t>
      </w:r>
      <w:r w:rsidR="00421852">
        <w:rPr>
          <w:rFonts w:ascii="Times New Roman" w:hAnsi="Times New Roman"/>
        </w:rPr>
        <w:t>.</w:t>
      </w:r>
      <w:r w:rsidR="00421852">
        <w:rPr>
          <w:rStyle w:val="FootnoteReference"/>
        </w:rPr>
        <w:footnoteReference w:id="29"/>
      </w:r>
    </w:p>
    <w:p w14:paraId="357F019D" w14:textId="3D680DEC" w:rsidR="006F4866" w:rsidRPr="00062B56" w:rsidRDefault="006F4866" w:rsidP="00D05A74">
      <w:pPr>
        <w:pStyle w:val="ListParagraph"/>
        <w:numPr>
          <w:ilvl w:val="0"/>
          <w:numId w:val="21"/>
        </w:numPr>
        <w:spacing w:before="120" w:after="0" w:line="240" w:lineRule="auto"/>
        <w:ind w:left="357" w:hanging="357"/>
        <w:contextualSpacing w:val="0"/>
        <w:rPr>
          <w:rFonts w:ascii="Times New Roman" w:hAnsi="Times New Roman"/>
        </w:rPr>
      </w:pPr>
      <w:r w:rsidRPr="00062B56">
        <w:rPr>
          <w:rFonts w:ascii="Times New Roman" w:hAnsi="Times New Roman"/>
        </w:rPr>
        <w:t>Equipment manufacturers</w:t>
      </w:r>
      <w:r w:rsidR="00421852">
        <w:rPr>
          <w:rFonts w:ascii="Times New Roman" w:hAnsi="Times New Roman"/>
        </w:rPr>
        <w:t>.</w:t>
      </w:r>
    </w:p>
    <w:p w14:paraId="646DB58E" w14:textId="2A5402F2" w:rsidR="006F4866" w:rsidRPr="00062B56" w:rsidRDefault="006F4866" w:rsidP="00D05A74">
      <w:pPr>
        <w:pStyle w:val="ListParagraph"/>
        <w:numPr>
          <w:ilvl w:val="0"/>
          <w:numId w:val="21"/>
        </w:numPr>
        <w:spacing w:before="120" w:after="0" w:line="240" w:lineRule="auto"/>
        <w:ind w:left="357" w:hanging="357"/>
        <w:contextualSpacing w:val="0"/>
        <w:rPr>
          <w:rFonts w:ascii="Times New Roman" w:hAnsi="Times New Roman"/>
        </w:rPr>
      </w:pPr>
      <w:r w:rsidRPr="00062B56">
        <w:rPr>
          <w:rFonts w:ascii="Times New Roman" w:hAnsi="Times New Roman"/>
        </w:rPr>
        <w:t>Co</w:t>
      </w:r>
      <w:r w:rsidR="00421852">
        <w:rPr>
          <w:rFonts w:ascii="Times New Roman" w:hAnsi="Times New Roman"/>
        </w:rPr>
        <w:t>ntractors, designers, engineers and</w:t>
      </w:r>
      <w:r w:rsidRPr="00062B56">
        <w:rPr>
          <w:rFonts w:ascii="Times New Roman" w:hAnsi="Times New Roman"/>
        </w:rPr>
        <w:t xml:space="preserve"> professional services</w:t>
      </w:r>
      <w:r w:rsidR="00421852">
        <w:rPr>
          <w:rFonts w:ascii="Times New Roman" w:hAnsi="Times New Roman"/>
        </w:rPr>
        <w:t>.</w:t>
      </w:r>
    </w:p>
    <w:p w14:paraId="5FDAFA67" w14:textId="7401D846" w:rsidR="006F4866" w:rsidRPr="00062B56" w:rsidRDefault="006F4866" w:rsidP="00D05A74">
      <w:pPr>
        <w:pStyle w:val="ListParagraph"/>
        <w:numPr>
          <w:ilvl w:val="0"/>
          <w:numId w:val="21"/>
        </w:numPr>
        <w:spacing w:before="120" w:after="0" w:line="240" w:lineRule="auto"/>
        <w:ind w:left="357" w:hanging="357"/>
        <w:contextualSpacing w:val="0"/>
        <w:rPr>
          <w:rFonts w:ascii="Times New Roman" w:hAnsi="Times New Roman"/>
        </w:rPr>
      </w:pPr>
      <w:r w:rsidRPr="00062B56">
        <w:rPr>
          <w:rFonts w:ascii="Times New Roman" w:hAnsi="Times New Roman"/>
        </w:rPr>
        <w:t>Refrigerated transport operators</w:t>
      </w:r>
      <w:r w:rsidR="00421852">
        <w:rPr>
          <w:rFonts w:ascii="Times New Roman" w:hAnsi="Times New Roman"/>
        </w:rPr>
        <w:t>.</w:t>
      </w:r>
    </w:p>
    <w:p w14:paraId="79DF52EF" w14:textId="678ED8F4" w:rsidR="00421852" w:rsidRPr="00421852" w:rsidRDefault="006F4866" w:rsidP="00421852">
      <w:pPr>
        <w:rPr>
          <w:szCs w:val="22"/>
        </w:rPr>
      </w:pPr>
      <w:r w:rsidRPr="006F4866">
        <w:rPr>
          <w:szCs w:val="22"/>
        </w:rPr>
        <w:t>These commercial groups could also be viewed through the lens of the various industry associations that have developed to represent the interests of these groups in the wider industry</w:t>
      </w:r>
      <w:r w:rsidR="00D4014E">
        <w:rPr>
          <w:szCs w:val="22"/>
        </w:rPr>
        <w:t>,</w:t>
      </w:r>
      <w:r w:rsidRPr="006F4866">
        <w:rPr>
          <w:szCs w:val="22"/>
        </w:rPr>
        <w:t xml:space="preserve"> and to government and the community. </w:t>
      </w:r>
      <w:r w:rsidR="00421852">
        <w:rPr>
          <w:szCs w:val="22"/>
        </w:rPr>
        <w:t xml:space="preserve">A list of the leading industry associations is included at the front of the document in </w:t>
      </w:r>
      <w:r w:rsidR="00421852" w:rsidRPr="00421852">
        <w:rPr>
          <w:i/>
          <w:szCs w:val="22"/>
        </w:rPr>
        <w:t>Acknowledgements</w:t>
      </w:r>
      <w:r w:rsidR="00421852">
        <w:rPr>
          <w:szCs w:val="22"/>
        </w:rPr>
        <w:t>.</w:t>
      </w:r>
    </w:p>
    <w:p w14:paraId="20E79C1E" w14:textId="10823EB1" w:rsidR="002D27F5" w:rsidRDefault="002D27F5" w:rsidP="002D27F5">
      <w:pPr>
        <w:rPr>
          <w:szCs w:val="22"/>
        </w:rPr>
      </w:pPr>
    </w:p>
    <w:p w14:paraId="718CCCC6" w14:textId="1DA72DA6" w:rsidR="002D27F5" w:rsidRDefault="002D27F5" w:rsidP="007B6646">
      <w:pPr>
        <w:pStyle w:val="Heading2"/>
        <w:ind w:left="567" w:hanging="567"/>
      </w:pPr>
      <w:bookmarkStart w:id="81" w:name="_Toc233084164"/>
      <w:r>
        <w:t>Supply lines</w:t>
      </w:r>
      <w:bookmarkEnd w:id="81"/>
    </w:p>
    <w:p w14:paraId="34B0E50F" w14:textId="0EE507FE" w:rsidR="001A5550" w:rsidRPr="001A5550" w:rsidRDefault="001A5550" w:rsidP="001A5550">
      <w:pPr>
        <w:rPr>
          <w:szCs w:val="22"/>
        </w:rPr>
      </w:pPr>
      <w:r w:rsidRPr="001A5550">
        <w:rPr>
          <w:szCs w:val="22"/>
        </w:rPr>
        <w:t xml:space="preserve">The supply chain of HFCs </w:t>
      </w:r>
      <w:r w:rsidR="00990DCD">
        <w:rPr>
          <w:szCs w:val="22"/>
        </w:rPr>
        <w:t xml:space="preserve">can be dissected into </w:t>
      </w:r>
      <w:r w:rsidRPr="001A5550">
        <w:rPr>
          <w:szCs w:val="22"/>
        </w:rPr>
        <w:t xml:space="preserve">three major </w:t>
      </w:r>
      <w:r w:rsidR="00990DCD">
        <w:rPr>
          <w:szCs w:val="22"/>
        </w:rPr>
        <w:t xml:space="preserve">supply </w:t>
      </w:r>
      <w:r w:rsidRPr="001A5550">
        <w:rPr>
          <w:szCs w:val="22"/>
        </w:rPr>
        <w:t>cha</w:t>
      </w:r>
      <w:r w:rsidR="00D4014E">
        <w:rPr>
          <w:szCs w:val="22"/>
        </w:rPr>
        <w:t>in</w:t>
      </w:r>
      <w:r w:rsidRPr="001A5550">
        <w:rPr>
          <w:szCs w:val="22"/>
        </w:rPr>
        <w:t>s:</w:t>
      </w:r>
    </w:p>
    <w:p w14:paraId="015049D8" w14:textId="66002596" w:rsidR="001A5550" w:rsidRPr="001A5550" w:rsidRDefault="001A5550" w:rsidP="00D05A74">
      <w:pPr>
        <w:pStyle w:val="ListParagraph"/>
        <w:numPr>
          <w:ilvl w:val="0"/>
          <w:numId w:val="21"/>
        </w:numPr>
        <w:spacing w:before="120" w:after="0" w:line="240" w:lineRule="auto"/>
        <w:ind w:left="357" w:hanging="357"/>
        <w:contextualSpacing w:val="0"/>
        <w:rPr>
          <w:rFonts w:ascii="Times New Roman" w:hAnsi="Times New Roman"/>
        </w:rPr>
      </w:pPr>
      <w:r w:rsidRPr="001A5550">
        <w:rPr>
          <w:rFonts w:ascii="Times New Roman" w:hAnsi="Times New Roman"/>
        </w:rPr>
        <w:t xml:space="preserve">Bulk gas decanted into trading quantities for supply to manufacturers, installers and service companies; </w:t>
      </w:r>
    </w:p>
    <w:p w14:paraId="002D8B56" w14:textId="0652EBD3" w:rsidR="001A5550" w:rsidRPr="001A5550" w:rsidRDefault="001A5550" w:rsidP="00D05A74">
      <w:pPr>
        <w:pStyle w:val="ListParagraph"/>
        <w:numPr>
          <w:ilvl w:val="0"/>
          <w:numId w:val="21"/>
        </w:numPr>
        <w:spacing w:before="120" w:after="0" w:line="240" w:lineRule="auto"/>
        <w:ind w:left="357" w:hanging="357"/>
        <w:contextualSpacing w:val="0"/>
        <w:rPr>
          <w:rFonts w:ascii="Times New Roman" w:hAnsi="Times New Roman"/>
        </w:rPr>
      </w:pPr>
      <w:r w:rsidRPr="001A5550">
        <w:rPr>
          <w:rFonts w:ascii="Times New Roman" w:hAnsi="Times New Roman"/>
        </w:rPr>
        <w:t>Imported pre-charged consumer appliances and equipment, and;</w:t>
      </w:r>
    </w:p>
    <w:p w14:paraId="6E4707A1" w14:textId="120DCF5F" w:rsidR="001A5550" w:rsidRPr="001A5550" w:rsidRDefault="001A5550" w:rsidP="00D05A74">
      <w:pPr>
        <w:pStyle w:val="ListParagraph"/>
        <w:numPr>
          <w:ilvl w:val="0"/>
          <w:numId w:val="21"/>
        </w:numPr>
        <w:spacing w:before="120" w:after="0" w:line="240" w:lineRule="auto"/>
        <w:ind w:left="357" w:hanging="357"/>
        <w:contextualSpacing w:val="0"/>
        <w:rPr>
          <w:rFonts w:ascii="Times New Roman" w:hAnsi="Times New Roman"/>
        </w:rPr>
      </w:pPr>
      <w:r w:rsidRPr="001A5550">
        <w:rPr>
          <w:rFonts w:ascii="Times New Roman" w:hAnsi="Times New Roman"/>
        </w:rPr>
        <w:t>Locally manufactured products.</w:t>
      </w:r>
    </w:p>
    <w:p w14:paraId="35FCA954" w14:textId="28D673E3" w:rsidR="001A5550" w:rsidRPr="00990DCD" w:rsidRDefault="001A5550" w:rsidP="00990DCD">
      <w:r w:rsidRPr="00990DCD">
        <w:t>These three product cha</w:t>
      </w:r>
      <w:r w:rsidR="00D4014E">
        <w:t>in</w:t>
      </w:r>
      <w:r w:rsidRPr="00990DCD">
        <w:t>s involve seven distinct commercial players prior to the end user:</w:t>
      </w:r>
    </w:p>
    <w:p w14:paraId="38F8D701" w14:textId="42A19B46" w:rsidR="001A5550" w:rsidRPr="001A5550" w:rsidRDefault="001A5550" w:rsidP="00D05A74">
      <w:pPr>
        <w:pStyle w:val="ListParagraph"/>
        <w:numPr>
          <w:ilvl w:val="0"/>
          <w:numId w:val="21"/>
        </w:numPr>
        <w:spacing w:before="120" w:after="0" w:line="240" w:lineRule="auto"/>
        <w:ind w:left="357" w:hanging="357"/>
        <w:contextualSpacing w:val="0"/>
        <w:rPr>
          <w:rFonts w:ascii="Times New Roman" w:hAnsi="Times New Roman"/>
        </w:rPr>
      </w:pPr>
      <w:r w:rsidRPr="001A5550">
        <w:rPr>
          <w:rFonts w:ascii="Times New Roman" w:hAnsi="Times New Roman"/>
        </w:rPr>
        <w:t>Importers;</w:t>
      </w:r>
    </w:p>
    <w:p w14:paraId="3D5D12E3" w14:textId="2D29C99F" w:rsidR="001A5550" w:rsidRPr="001A5550" w:rsidRDefault="001A5550" w:rsidP="00D05A74">
      <w:pPr>
        <w:pStyle w:val="ListParagraph"/>
        <w:numPr>
          <w:ilvl w:val="0"/>
          <w:numId w:val="21"/>
        </w:numPr>
        <w:spacing w:before="120" w:after="0" w:line="240" w:lineRule="auto"/>
        <w:ind w:left="357" w:hanging="357"/>
        <w:contextualSpacing w:val="0"/>
        <w:rPr>
          <w:rFonts w:ascii="Times New Roman" w:hAnsi="Times New Roman"/>
        </w:rPr>
      </w:pPr>
      <w:r w:rsidRPr="001A5550">
        <w:rPr>
          <w:rFonts w:ascii="Times New Roman" w:hAnsi="Times New Roman"/>
        </w:rPr>
        <w:t>RAC manufacturers;</w:t>
      </w:r>
    </w:p>
    <w:p w14:paraId="36AA59EB" w14:textId="2D75A558" w:rsidR="001A5550" w:rsidRPr="001A5550" w:rsidRDefault="001A5550" w:rsidP="00D05A74">
      <w:pPr>
        <w:pStyle w:val="ListParagraph"/>
        <w:numPr>
          <w:ilvl w:val="0"/>
          <w:numId w:val="21"/>
        </w:numPr>
        <w:spacing w:before="120" w:after="0" w:line="240" w:lineRule="auto"/>
        <w:ind w:left="357" w:hanging="357"/>
        <w:contextualSpacing w:val="0"/>
        <w:rPr>
          <w:rFonts w:ascii="Times New Roman" w:hAnsi="Times New Roman"/>
        </w:rPr>
      </w:pPr>
      <w:r w:rsidRPr="001A5550">
        <w:rPr>
          <w:rFonts w:ascii="Times New Roman" w:hAnsi="Times New Roman"/>
        </w:rPr>
        <w:t>RAC distributors/suppliers;</w:t>
      </w:r>
    </w:p>
    <w:p w14:paraId="404862D7" w14:textId="785A668A" w:rsidR="001A5550" w:rsidRPr="001A5550" w:rsidRDefault="001A5550" w:rsidP="00D05A74">
      <w:pPr>
        <w:pStyle w:val="ListParagraph"/>
        <w:numPr>
          <w:ilvl w:val="0"/>
          <w:numId w:val="21"/>
        </w:numPr>
        <w:spacing w:before="120" w:after="0" w:line="240" w:lineRule="auto"/>
        <w:ind w:left="357" w:hanging="357"/>
        <w:contextualSpacing w:val="0"/>
        <w:rPr>
          <w:rFonts w:ascii="Times New Roman" w:hAnsi="Times New Roman"/>
        </w:rPr>
      </w:pPr>
      <w:r w:rsidRPr="001A5550">
        <w:rPr>
          <w:rFonts w:ascii="Times New Roman" w:hAnsi="Times New Roman"/>
        </w:rPr>
        <w:t>Gas wholesalers;</w:t>
      </w:r>
    </w:p>
    <w:p w14:paraId="34049D1C" w14:textId="4CC27D5E" w:rsidR="001A5550" w:rsidRPr="001A5550" w:rsidRDefault="001A5550" w:rsidP="00D05A74">
      <w:pPr>
        <w:pStyle w:val="ListParagraph"/>
        <w:numPr>
          <w:ilvl w:val="0"/>
          <w:numId w:val="21"/>
        </w:numPr>
        <w:spacing w:before="120" w:after="0" w:line="240" w:lineRule="auto"/>
        <w:ind w:left="357" w:hanging="357"/>
        <w:contextualSpacing w:val="0"/>
        <w:rPr>
          <w:rFonts w:ascii="Times New Roman" w:hAnsi="Times New Roman"/>
        </w:rPr>
      </w:pPr>
      <w:r w:rsidRPr="001A5550">
        <w:rPr>
          <w:rFonts w:ascii="Times New Roman" w:hAnsi="Times New Roman"/>
        </w:rPr>
        <w:t>Specialist dealers of heating and cooling equipment (typically with their own showroom);</w:t>
      </w:r>
    </w:p>
    <w:p w14:paraId="300C0E32" w14:textId="123C4827" w:rsidR="001A5550" w:rsidRPr="001A5550" w:rsidRDefault="003C6CAB" w:rsidP="00D05A74">
      <w:pPr>
        <w:pStyle w:val="ListParagraph"/>
        <w:numPr>
          <w:ilvl w:val="0"/>
          <w:numId w:val="21"/>
        </w:numPr>
        <w:spacing w:before="120" w:after="0" w:line="240" w:lineRule="auto"/>
        <w:ind w:left="357" w:hanging="357"/>
        <w:contextualSpacing w:val="0"/>
        <w:rPr>
          <w:rFonts w:ascii="Times New Roman" w:hAnsi="Times New Roman"/>
        </w:rPr>
      </w:pPr>
      <w:r w:rsidRPr="001A5550">
        <w:rPr>
          <w:rFonts w:ascii="Times New Roman" w:hAnsi="Times New Roman"/>
        </w:rPr>
        <w:t>White goods</w:t>
      </w:r>
      <w:r w:rsidR="001A5550" w:rsidRPr="001A5550">
        <w:rPr>
          <w:rFonts w:ascii="Times New Roman" w:hAnsi="Times New Roman"/>
        </w:rPr>
        <w:t xml:space="preserve"> and</w:t>
      </w:r>
      <w:r w:rsidR="004A0306">
        <w:rPr>
          <w:rFonts w:ascii="Times New Roman" w:hAnsi="Times New Roman"/>
        </w:rPr>
        <w:t xml:space="preserve"> household appliances retailers; and,</w:t>
      </w:r>
    </w:p>
    <w:p w14:paraId="59895187" w14:textId="43FBF31E" w:rsidR="001A5550" w:rsidRPr="001A5550" w:rsidRDefault="001A5550" w:rsidP="00D05A74">
      <w:pPr>
        <w:pStyle w:val="ListParagraph"/>
        <w:numPr>
          <w:ilvl w:val="0"/>
          <w:numId w:val="21"/>
        </w:numPr>
        <w:spacing w:before="120" w:after="0" w:line="240" w:lineRule="auto"/>
        <w:ind w:left="357" w:hanging="357"/>
        <w:contextualSpacing w:val="0"/>
        <w:rPr>
          <w:rFonts w:ascii="Times New Roman" w:hAnsi="Times New Roman"/>
        </w:rPr>
      </w:pPr>
      <w:r w:rsidRPr="001A5550">
        <w:rPr>
          <w:rFonts w:ascii="Times New Roman" w:hAnsi="Times New Roman"/>
        </w:rPr>
        <w:t xml:space="preserve">Contracting businesses </w:t>
      </w:r>
      <w:r w:rsidR="004A0306">
        <w:rPr>
          <w:rFonts w:ascii="Times New Roman" w:hAnsi="Times New Roman"/>
        </w:rPr>
        <w:t xml:space="preserve">installing, repairing and servicing equipment, </w:t>
      </w:r>
      <w:r w:rsidRPr="001A5550">
        <w:rPr>
          <w:rFonts w:ascii="Times New Roman" w:hAnsi="Times New Roman"/>
        </w:rPr>
        <w:t>and sub-contractors</w:t>
      </w:r>
      <w:r w:rsidR="004A0306">
        <w:rPr>
          <w:rFonts w:ascii="Times New Roman" w:hAnsi="Times New Roman"/>
        </w:rPr>
        <w:t>.</w:t>
      </w:r>
    </w:p>
    <w:p w14:paraId="002C7A36" w14:textId="2C0C7C09" w:rsidR="001A5550" w:rsidRPr="001A5550" w:rsidRDefault="001A5550" w:rsidP="001A5550">
      <w:pPr>
        <w:rPr>
          <w:szCs w:val="22"/>
        </w:rPr>
      </w:pPr>
      <w:r w:rsidRPr="001A5550">
        <w:rPr>
          <w:szCs w:val="22"/>
        </w:rPr>
        <w:t>Importers take delivery of ship borne ISO containers each carrying between 10 and 18 tonnes of gas. These refrigerants are pumped into large vertical or horizontal storage tanks at the importer’s yards. The larger tanks will generally be capable of holding between 20 and 70 tonnes of gas, depending on the volumetric capacity and pressures of the refrigerant. Importers decant gas into tradeable quantities depending on purpose and market.</w:t>
      </w:r>
      <w:r w:rsidR="004A0306">
        <w:rPr>
          <w:szCs w:val="22"/>
        </w:rPr>
        <w:t xml:space="preserve"> There are three </w:t>
      </w:r>
      <w:r w:rsidRPr="001A5550">
        <w:rPr>
          <w:szCs w:val="22"/>
        </w:rPr>
        <w:t xml:space="preserve">significant bulk import decanting facilities </w:t>
      </w:r>
      <w:r w:rsidR="004A0306" w:rsidRPr="00CD08A2">
        <w:rPr>
          <w:szCs w:val="22"/>
        </w:rPr>
        <w:t xml:space="preserve">currently </w:t>
      </w:r>
      <w:r w:rsidRPr="00CD08A2">
        <w:rPr>
          <w:szCs w:val="22"/>
        </w:rPr>
        <w:t>operat</w:t>
      </w:r>
      <w:r w:rsidR="004A0306" w:rsidRPr="00CD08A2">
        <w:rPr>
          <w:szCs w:val="22"/>
        </w:rPr>
        <w:t xml:space="preserve">ing </w:t>
      </w:r>
      <w:r w:rsidRPr="00CD08A2">
        <w:rPr>
          <w:szCs w:val="22"/>
        </w:rPr>
        <w:t xml:space="preserve">in </w:t>
      </w:r>
      <w:r w:rsidR="004A0306" w:rsidRPr="00CD08A2">
        <w:rPr>
          <w:szCs w:val="22"/>
        </w:rPr>
        <w:t>Melbourne, and another one scaling up in Sydney</w:t>
      </w:r>
      <w:r w:rsidRPr="00CD08A2">
        <w:rPr>
          <w:szCs w:val="22"/>
        </w:rPr>
        <w:t>.</w:t>
      </w:r>
      <w:r w:rsidRPr="001A5550">
        <w:rPr>
          <w:szCs w:val="22"/>
        </w:rPr>
        <w:t xml:space="preserve"> </w:t>
      </w:r>
    </w:p>
    <w:p w14:paraId="45591C92" w14:textId="0FDBF59C" w:rsidR="001A5550" w:rsidRPr="001A5550" w:rsidRDefault="001A5550" w:rsidP="001A5550">
      <w:pPr>
        <w:rPr>
          <w:szCs w:val="22"/>
        </w:rPr>
      </w:pPr>
      <w:r w:rsidRPr="001A5550">
        <w:rPr>
          <w:szCs w:val="22"/>
        </w:rPr>
        <w:t xml:space="preserve">Gas is decanted at these sites into thousands of cylinders ranging in size </w:t>
      </w:r>
      <w:r w:rsidR="00F07648">
        <w:rPr>
          <w:szCs w:val="22"/>
        </w:rPr>
        <w:t>from</w:t>
      </w:r>
      <w:r w:rsidRPr="001A5550">
        <w:rPr>
          <w:szCs w:val="22"/>
        </w:rPr>
        <w:t xml:space="preserve"> 10 kg, </w:t>
      </w:r>
      <w:r w:rsidR="00F07648">
        <w:rPr>
          <w:szCs w:val="22"/>
        </w:rPr>
        <w:t xml:space="preserve">to </w:t>
      </w:r>
      <w:r w:rsidRPr="001A5550">
        <w:rPr>
          <w:szCs w:val="22"/>
        </w:rPr>
        <w:t xml:space="preserve">18 kg, </w:t>
      </w:r>
      <w:r w:rsidR="00F07648">
        <w:rPr>
          <w:szCs w:val="22"/>
        </w:rPr>
        <w:t xml:space="preserve">and </w:t>
      </w:r>
      <w:r w:rsidRPr="001A5550">
        <w:rPr>
          <w:szCs w:val="22"/>
        </w:rPr>
        <w:t>60 kg</w:t>
      </w:r>
      <w:r w:rsidR="00F07648">
        <w:rPr>
          <w:szCs w:val="22"/>
        </w:rPr>
        <w:t>,</w:t>
      </w:r>
      <w:r w:rsidRPr="001A5550">
        <w:rPr>
          <w:szCs w:val="22"/>
        </w:rPr>
        <w:t xml:space="preserve"> and then larger transportable tanks. Transportable tanks with a volumetric capacity of approximately 900 litres are commonly referred to as ‘one tonners’, and ‘half tonners’ for tanks with a 450 litres capacity. These transportable tanks can contain between 400 kilograms and 700 kilograms of product depending on </w:t>
      </w:r>
      <w:r w:rsidRPr="001A5550">
        <w:rPr>
          <w:szCs w:val="22"/>
        </w:rPr>
        <w:lastRenderedPageBreak/>
        <w:t>the gas involved. Some suppliers are expected to release smaller size cylinders</w:t>
      </w:r>
      <w:r w:rsidR="00F07648">
        <w:rPr>
          <w:szCs w:val="22"/>
        </w:rPr>
        <w:t xml:space="preserve"> in the near future</w:t>
      </w:r>
      <w:r w:rsidRPr="001A5550">
        <w:rPr>
          <w:szCs w:val="22"/>
        </w:rPr>
        <w:t xml:space="preserve"> as a source of competitive advantage as it will lower the trading price of the cylinder and reduce the amount of refrigerant stock carried by contractors. </w:t>
      </w:r>
    </w:p>
    <w:p w14:paraId="06A9D44D" w14:textId="77777777" w:rsidR="001A5550" w:rsidRPr="001A5550" w:rsidRDefault="001A5550" w:rsidP="001A5550">
      <w:pPr>
        <w:rPr>
          <w:szCs w:val="22"/>
        </w:rPr>
      </w:pPr>
      <w:r w:rsidRPr="001A5550">
        <w:rPr>
          <w:szCs w:val="22"/>
        </w:rPr>
        <w:t>More than 200 gas wholesalers around the country provide the channel for the tens of thousands of small cylinders to be distributed, the majority going to contractors and service companies.</w:t>
      </w:r>
    </w:p>
    <w:p w14:paraId="3C4245DF" w14:textId="6013EE69" w:rsidR="001A5550" w:rsidRPr="001A5550" w:rsidRDefault="001A5550" w:rsidP="001A5550">
      <w:pPr>
        <w:rPr>
          <w:szCs w:val="22"/>
        </w:rPr>
      </w:pPr>
      <w:r w:rsidRPr="001A5550">
        <w:rPr>
          <w:szCs w:val="22"/>
        </w:rPr>
        <w:t xml:space="preserve">RAC </w:t>
      </w:r>
      <w:r w:rsidR="00F07648">
        <w:rPr>
          <w:szCs w:val="22"/>
        </w:rPr>
        <w:t xml:space="preserve">equipment </w:t>
      </w:r>
      <w:r w:rsidRPr="001A5550">
        <w:rPr>
          <w:szCs w:val="22"/>
        </w:rPr>
        <w:t>manufacturers decant from transportable tanks into some smaller cylinders for use around their facility and for use when commissioning or servicing their own machinery. However they will also decant directly from the larger storage into supply lines in their factories to charge machinery that they have manufactured prior to dispatch from the factory floor.</w:t>
      </w:r>
    </w:p>
    <w:p w14:paraId="557F42D1" w14:textId="77777777" w:rsidR="001A5550" w:rsidRPr="001A5550" w:rsidRDefault="001A5550" w:rsidP="001A5550">
      <w:pPr>
        <w:rPr>
          <w:szCs w:val="22"/>
        </w:rPr>
      </w:pPr>
      <w:r w:rsidRPr="001A5550">
        <w:rPr>
          <w:szCs w:val="22"/>
        </w:rPr>
        <w:t xml:space="preserve">Air conditioning distributors/suppliers import and distribute pre-charged equipment and do not themselves require large volumes of bottled gas supplies from importers. They mostly purchase refrigerant from wholesalers for charging larger systems (i.e. variable refrigerant volume split systems) and small volumes when directly undertaking service work. </w:t>
      </w:r>
    </w:p>
    <w:p w14:paraId="0E333EB8" w14:textId="27730384" w:rsidR="001A5550" w:rsidRPr="001A5550" w:rsidRDefault="001A5550" w:rsidP="001A5550">
      <w:pPr>
        <w:rPr>
          <w:szCs w:val="22"/>
        </w:rPr>
      </w:pPr>
      <w:r w:rsidRPr="001A5550">
        <w:rPr>
          <w:szCs w:val="22"/>
        </w:rPr>
        <w:t>Specialist dealers are unlikely to carry bottled gas supplies. Some dealers will be operating as contractors installing or servicing equipment for their customers, in which case they will have bottled gas demands as part of providing that service. Specialist dealers will likely get a range of product from different air conditioning distributors/suppliers and may also stock and sell equipment from local air conditioning manufacturers. If the specialist dealer does not operate as a contractor installing or servicing equipment they are likely to have close relationships with contractors whom they rely on to install and service equipment they have sold.</w:t>
      </w:r>
    </w:p>
    <w:p w14:paraId="5EF9D6CF" w14:textId="025A950E" w:rsidR="001A5550" w:rsidRPr="001A5550" w:rsidRDefault="001A5550" w:rsidP="001A5550">
      <w:pPr>
        <w:rPr>
          <w:szCs w:val="22"/>
        </w:rPr>
      </w:pPr>
      <w:r w:rsidRPr="001A5550">
        <w:rPr>
          <w:szCs w:val="22"/>
        </w:rPr>
        <w:t>Retailers have no requirement for any bottled gas. Retailers sell pre-charged equipment supplied to them by air conditioning distributors/suppliers</w:t>
      </w:r>
      <w:r w:rsidR="00F07648">
        <w:rPr>
          <w:szCs w:val="22"/>
        </w:rPr>
        <w:t>,</w:t>
      </w:r>
      <w:r w:rsidR="00EA7137">
        <w:rPr>
          <w:szCs w:val="22"/>
        </w:rPr>
        <w:t xml:space="preserve"> or in some instance</w:t>
      </w:r>
      <w:r w:rsidR="00943FE1">
        <w:rPr>
          <w:szCs w:val="22"/>
        </w:rPr>
        <w:t>s</w:t>
      </w:r>
      <w:r w:rsidR="00EA7137">
        <w:rPr>
          <w:szCs w:val="22"/>
        </w:rPr>
        <w:t xml:space="preserve"> import directly</w:t>
      </w:r>
      <w:r w:rsidRPr="001A5550">
        <w:rPr>
          <w:szCs w:val="22"/>
        </w:rPr>
        <w:t>. Retailers may also have relationships with contractors whom they recommend for installation and service of equipment they have sold.</w:t>
      </w:r>
    </w:p>
    <w:p w14:paraId="31B2A55B" w14:textId="1DB04FDA" w:rsidR="001A5550" w:rsidRPr="001A5550" w:rsidRDefault="00EA7137" w:rsidP="001A5550">
      <w:pPr>
        <w:rPr>
          <w:szCs w:val="22"/>
        </w:rPr>
      </w:pPr>
      <w:r w:rsidRPr="00EA7137">
        <w:rPr>
          <w:szCs w:val="22"/>
        </w:rPr>
        <w:t>Contracting businesses install, repair and servic</w:t>
      </w:r>
      <w:r w:rsidR="00F07648">
        <w:rPr>
          <w:szCs w:val="22"/>
        </w:rPr>
        <w:t>e</w:t>
      </w:r>
      <w:r w:rsidRPr="00EA7137">
        <w:rPr>
          <w:szCs w:val="22"/>
        </w:rPr>
        <w:t xml:space="preserve"> equipment, and </w:t>
      </w:r>
      <w:r w:rsidR="00F07648">
        <w:rPr>
          <w:szCs w:val="22"/>
        </w:rPr>
        <w:t xml:space="preserve">often engage numerous individual </w:t>
      </w:r>
      <w:r w:rsidRPr="00EA7137">
        <w:rPr>
          <w:szCs w:val="22"/>
        </w:rPr>
        <w:t>sub-contractors.</w:t>
      </w:r>
      <w:r>
        <w:rPr>
          <w:szCs w:val="22"/>
        </w:rPr>
        <w:t xml:space="preserve"> </w:t>
      </w:r>
      <w:r w:rsidR="001A5550" w:rsidRPr="001A5550">
        <w:rPr>
          <w:szCs w:val="22"/>
        </w:rPr>
        <w:t xml:space="preserve">There are tens of thousands of individuals licensed to handle refrigerant gases and these contractors hold the majority of those licences. Contractors consume the majority of the small cylinders of gases decanted by </w:t>
      </w:r>
      <w:r>
        <w:rPr>
          <w:szCs w:val="22"/>
        </w:rPr>
        <w:t>i</w:t>
      </w:r>
      <w:r w:rsidR="001A5550" w:rsidRPr="001A5550">
        <w:rPr>
          <w:szCs w:val="22"/>
        </w:rPr>
        <w:t>mporters and distributed through gas wholesalers.</w:t>
      </w:r>
    </w:p>
    <w:p w14:paraId="5A6B72C6" w14:textId="51C604BF" w:rsidR="002D27F5" w:rsidRDefault="002D27F5" w:rsidP="002D27F5">
      <w:pPr>
        <w:rPr>
          <w:szCs w:val="22"/>
        </w:rPr>
      </w:pPr>
    </w:p>
    <w:p w14:paraId="4198CAC1" w14:textId="671F08F1" w:rsidR="002D27F5" w:rsidRDefault="002D27F5" w:rsidP="007B6646">
      <w:pPr>
        <w:pStyle w:val="Heading2"/>
        <w:ind w:left="567" w:hanging="567"/>
      </w:pPr>
      <w:bookmarkStart w:id="82" w:name="_Toc233084165"/>
      <w:r>
        <w:t>Indicators of value</w:t>
      </w:r>
      <w:bookmarkEnd w:id="82"/>
    </w:p>
    <w:p w14:paraId="1FB1743B" w14:textId="2DD80B3E" w:rsidR="001A5550" w:rsidRPr="001A5550" w:rsidRDefault="001A5550" w:rsidP="001A5550">
      <w:pPr>
        <w:rPr>
          <w:szCs w:val="22"/>
        </w:rPr>
      </w:pPr>
      <w:r w:rsidRPr="001A5550">
        <w:rPr>
          <w:szCs w:val="22"/>
        </w:rPr>
        <w:t>There is no simple measure of total economic activity in this sector. However there are a number of indicators that can be used to point to the overall size of the R</w:t>
      </w:r>
      <w:r w:rsidR="00F07648">
        <w:rPr>
          <w:szCs w:val="22"/>
        </w:rPr>
        <w:t>AC</w:t>
      </w:r>
      <w:r w:rsidRPr="001A5550">
        <w:rPr>
          <w:szCs w:val="22"/>
        </w:rPr>
        <w:t xml:space="preserve"> industry and its economic activity.</w:t>
      </w:r>
    </w:p>
    <w:p w14:paraId="234C5D21" w14:textId="1D8CFD08" w:rsidR="00F07648" w:rsidRDefault="001A5550" w:rsidP="001A5550">
      <w:pPr>
        <w:rPr>
          <w:szCs w:val="22"/>
        </w:rPr>
      </w:pPr>
      <w:r w:rsidRPr="001A5550">
        <w:rPr>
          <w:szCs w:val="22"/>
        </w:rPr>
        <w:t xml:space="preserve">The total stock of equipment, of almost 45 million devices, is quite well understood. A breakdown of the stock of equipment across all product categories is included in </w:t>
      </w:r>
      <w:r w:rsidR="00D82F99" w:rsidRPr="00D82F99">
        <w:rPr>
          <w:i/>
          <w:szCs w:val="22"/>
        </w:rPr>
        <w:t>Appendix D: The stock of equipment</w:t>
      </w:r>
      <w:r w:rsidRPr="001A5550">
        <w:rPr>
          <w:szCs w:val="22"/>
        </w:rPr>
        <w:t xml:space="preserve">. </w:t>
      </w:r>
      <w:r w:rsidR="00F07648">
        <w:rPr>
          <w:szCs w:val="22"/>
        </w:rPr>
        <w:t>Australian m</w:t>
      </w:r>
      <w:r w:rsidRPr="001A5550">
        <w:rPr>
          <w:szCs w:val="22"/>
        </w:rPr>
        <w:t xml:space="preserve">anufacturers output is well known. </w:t>
      </w:r>
    </w:p>
    <w:p w14:paraId="75C4BE1E" w14:textId="0966AF6E" w:rsidR="001A5550" w:rsidRPr="001A5550" w:rsidRDefault="001A5550" w:rsidP="001A5550">
      <w:pPr>
        <w:rPr>
          <w:szCs w:val="22"/>
        </w:rPr>
      </w:pPr>
      <w:r w:rsidRPr="001A5550">
        <w:rPr>
          <w:szCs w:val="22"/>
        </w:rPr>
        <w:t>Using models of hours of operation of the various equipment categories that the authors have tested with manufacturers and service technicians, and compared with other models constructed to underpin regulatory impact statements, a calculation of the quantity of electricity that must be purchased to provide RAC services every year</w:t>
      </w:r>
      <w:r w:rsidR="00F07648">
        <w:rPr>
          <w:szCs w:val="22"/>
        </w:rPr>
        <w:t xml:space="preserve"> can be made</w:t>
      </w:r>
      <w:r w:rsidRPr="001A5550">
        <w:rPr>
          <w:szCs w:val="22"/>
        </w:rPr>
        <w:t xml:space="preserve">. </w:t>
      </w:r>
    </w:p>
    <w:p w14:paraId="17BE7811" w14:textId="4EAED3C0" w:rsidR="001A5550" w:rsidRPr="001A5550" w:rsidRDefault="001A5550" w:rsidP="001A5550">
      <w:pPr>
        <w:rPr>
          <w:szCs w:val="22"/>
        </w:rPr>
      </w:pPr>
      <w:r w:rsidRPr="001A5550">
        <w:rPr>
          <w:szCs w:val="22"/>
        </w:rPr>
        <w:t>The approximately 59,000 GWh of electricity purchased was more than one fifth of all the electricity produced in Australia in 2012. Combined with liquid fuels consumed in the refrigerated transport sector, and for mobile air conditioning, the energy consumed produced total energy related greenhouse gas emissions of more than 57 Mt CO</w:t>
      </w:r>
      <w:r w:rsidRPr="001A5550">
        <w:rPr>
          <w:szCs w:val="22"/>
          <w:vertAlign w:val="subscript"/>
        </w:rPr>
        <w:t>2</w:t>
      </w:r>
      <w:r w:rsidRPr="001A5550">
        <w:rPr>
          <w:szCs w:val="22"/>
        </w:rPr>
        <w:t>-e, or more than 1</w:t>
      </w:r>
      <w:r w:rsidR="00F07648">
        <w:rPr>
          <w:szCs w:val="22"/>
        </w:rPr>
        <w:t>1</w:t>
      </w:r>
      <w:r w:rsidRPr="001A5550">
        <w:rPr>
          <w:szCs w:val="22"/>
        </w:rPr>
        <w:t xml:space="preserve"> per cent of Australia’s total annual emissions. The value of all energy consumed in the sector is estimated to have been worth more than $14 billion dollars and is listed by class of equipment in </w:t>
      </w:r>
      <w:r w:rsidRPr="001A5550">
        <w:rPr>
          <w:i/>
          <w:szCs w:val="22"/>
        </w:rPr>
        <w:t>Table 22</w:t>
      </w:r>
      <w:r w:rsidRPr="001A5550">
        <w:rPr>
          <w:szCs w:val="22"/>
        </w:rPr>
        <w:t>.</w:t>
      </w:r>
    </w:p>
    <w:p w14:paraId="3F3542A3" w14:textId="682BE207" w:rsidR="00BB75CC" w:rsidRDefault="00BB75CC">
      <w:pPr>
        <w:spacing w:before="0"/>
        <w:jc w:val="left"/>
        <w:rPr>
          <w:i/>
          <w:szCs w:val="22"/>
        </w:rPr>
      </w:pPr>
    </w:p>
    <w:p w14:paraId="78EB4D12" w14:textId="66BEC26A" w:rsidR="00971B22" w:rsidRPr="000226CB" w:rsidRDefault="00971B22" w:rsidP="00971B22">
      <w:pPr>
        <w:rPr>
          <w:i/>
          <w:szCs w:val="22"/>
        </w:rPr>
      </w:pPr>
      <w:bookmarkStart w:id="83" w:name="_Toc233084066"/>
      <w:r w:rsidRPr="000226CB">
        <w:rPr>
          <w:i/>
          <w:szCs w:val="22"/>
        </w:rPr>
        <w:t xml:space="preserve">Table </w:t>
      </w:r>
      <w:r w:rsidRPr="000226CB">
        <w:rPr>
          <w:i/>
          <w:szCs w:val="22"/>
        </w:rPr>
        <w:fldChar w:fldCharType="begin"/>
      </w:r>
      <w:r w:rsidRPr="000226CB">
        <w:rPr>
          <w:i/>
          <w:szCs w:val="22"/>
        </w:rPr>
        <w:instrText xml:space="preserve"> SEQ Table \* ARABIC </w:instrText>
      </w:r>
      <w:r w:rsidRPr="000226CB">
        <w:rPr>
          <w:i/>
          <w:szCs w:val="22"/>
        </w:rPr>
        <w:fldChar w:fldCharType="separate"/>
      </w:r>
      <w:r w:rsidR="00196462">
        <w:rPr>
          <w:i/>
          <w:noProof/>
          <w:szCs w:val="22"/>
        </w:rPr>
        <w:t>22</w:t>
      </w:r>
      <w:r w:rsidRPr="000226CB">
        <w:rPr>
          <w:i/>
          <w:szCs w:val="22"/>
        </w:rPr>
        <w:fldChar w:fldCharType="end"/>
      </w:r>
      <w:r w:rsidRPr="000226CB">
        <w:rPr>
          <w:i/>
          <w:szCs w:val="22"/>
        </w:rPr>
        <w:t xml:space="preserve">: </w:t>
      </w:r>
      <w:r w:rsidR="009503E6">
        <w:rPr>
          <w:i/>
          <w:szCs w:val="22"/>
        </w:rPr>
        <w:t>Estimated c</w:t>
      </w:r>
      <w:r w:rsidRPr="00971B22">
        <w:rPr>
          <w:i/>
          <w:szCs w:val="22"/>
        </w:rPr>
        <w:t xml:space="preserve">ost of energy in </w:t>
      </w:r>
      <w:r>
        <w:rPr>
          <w:i/>
          <w:szCs w:val="22"/>
        </w:rPr>
        <w:t>a</w:t>
      </w:r>
      <w:r w:rsidRPr="00971B22">
        <w:rPr>
          <w:i/>
          <w:szCs w:val="22"/>
        </w:rPr>
        <w:t xml:space="preserve">ir conditioning and </w:t>
      </w:r>
      <w:r>
        <w:rPr>
          <w:i/>
          <w:szCs w:val="22"/>
        </w:rPr>
        <w:t>r</w:t>
      </w:r>
      <w:r w:rsidRPr="00971B22">
        <w:rPr>
          <w:i/>
          <w:szCs w:val="22"/>
        </w:rPr>
        <w:t xml:space="preserve">efrigeration services </w:t>
      </w:r>
      <w:r>
        <w:rPr>
          <w:i/>
          <w:szCs w:val="22"/>
        </w:rPr>
        <w:t xml:space="preserve">in </w:t>
      </w:r>
      <w:r w:rsidRPr="00971B22">
        <w:rPr>
          <w:i/>
          <w:szCs w:val="22"/>
        </w:rPr>
        <w:t>2012</w:t>
      </w:r>
      <w:bookmarkEnd w:id="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2353"/>
      </w:tblGrid>
      <w:tr w:rsidR="00971B22" w:rsidRPr="00923150" w14:paraId="41F22491" w14:textId="77777777" w:rsidTr="00CF6747">
        <w:trPr>
          <w:trHeight w:val="684"/>
        </w:trPr>
        <w:tc>
          <w:tcPr>
            <w:tcW w:w="4111" w:type="dxa"/>
            <w:tcBorders>
              <w:top w:val="single" w:sz="8" w:space="0" w:color="auto"/>
              <w:left w:val="single" w:sz="8" w:space="0" w:color="auto"/>
              <w:bottom w:val="single" w:sz="8" w:space="0" w:color="auto"/>
              <w:right w:val="single" w:sz="4" w:space="0" w:color="FFFFFF"/>
            </w:tcBorders>
            <w:shd w:val="clear" w:color="auto" w:fill="000000"/>
          </w:tcPr>
          <w:p w14:paraId="75F8B5A1" w14:textId="10800E60" w:rsidR="00971B22" w:rsidRPr="00923150" w:rsidRDefault="00971B22" w:rsidP="00971B22">
            <w:pPr>
              <w:spacing w:after="120"/>
              <w:ind w:left="34"/>
              <w:jc w:val="left"/>
            </w:pPr>
            <w:r w:rsidRPr="00521292">
              <w:lastRenderedPageBreak/>
              <w:t xml:space="preserve">Expenditure by major sector </w:t>
            </w:r>
            <w:r>
              <w:t xml:space="preserve">                       </w:t>
            </w:r>
            <w:r w:rsidRPr="00521292">
              <w:t>($ Million)</w:t>
            </w:r>
          </w:p>
        </w:tc>
        <w:tc>
          <w:tcPr>
            <w:tcW w:w="2353" w:type="dxa"/>
            <w:tcBorders>
              <w:top w:val="single" w:sz="8" w:space="0" w:color="auto"/>
              <w:left w:val="single" w:sz="4" w:space="0" w:color="FFFFFF"/>
              <w:bottom w:val="single" w:sz="8" w:space="0" w:color="auto"/>
              <w:right w:val="single" w:sz="8" w:space="0" w:color="auto"/>
            </w:tcBorders>
            <w:shd w:val="clear" w:color="auto" w:fill="000000"/>
          </w:tcPr>
          <w:p w14:paraId="615CD8B3" w14:textId="105B87A0" w:rsidR="00971B22" w:rsidRPr="00923150" w:rsidRDefault="00971B22" w:rsidP="00CE3CAD">
            <w:pPr>
              <w:spacing w:after="120"/>
              <w:jc w:val="center"/>
            </w:pPr>
            <w:r w:rsidRPr="00521292">
              <w:t xml:space="preserve">Energy spend </w:t>
            </w:r>
            <w:r>
              <w:t xml:space="preserve">                </w:t>
            </w:r>
            <w:r w:rsidRPr="00521292">
              <w:t xml:space="preserve">           (end-user)</w:t>
            </w:r>
          </w:p>
        </w:tc>
      </w:tr>
      <w:tr w:rsidR="00971B22" w:rsidRPr="00923150" w14:paraId="55254706" w14:textId="77777777" w:rsidTr="00971B22">
        <w:trPr>
          <w:trHeight w:val="456"/>
        </w:trPr>
        <w:tc>
          <w:tcPr>
            <w:tcW w:w="4111" w:type="dxa"/>
            <w:vAlign w:val="center"/>
          </w:tcPr>
          <w:p w14:paraId="0266EC2F" w14:textId="31AED1FD" w:rsidR="00971B22" w:rsidRPr="00876FAE" w:rsidRDefault="00971B22" w:rsidP="00971B22">
            <w:pPr>
              <w:spacing w:before="60" w:after="60"/>
              <w:ind w:left="34"/>
              <w:jc w:val="left"/>
            </w:pPr>
            <w:r w:rsidRPr="00521292">
              <w:t>Stationary air conditioning</w:t>
            </w:r>
          </w:p>
        </w:tc>
        <w:tc>
          <w:tcPr>
            <w:tcW w:w="2353" w:type="dxa"/>
            <w:vAlign w:val="center"/>
          </w:tcPr>
          <w:p w14:paraId="417F8BDC" w14:textId="1ABA9388" w:rsidR="00971B22" w:rsidRPr="00876FAE" w:rsidRDefault="00971B22" w:rsidP="00CE3CAD">
            <w:pPr>
              <w:spacing w:before="60" w:after="60"/>
              <w:jc w:val="center"/>
            </w:pPr>
            <w:r w:rsidRPr="00521292">
              <w:t>$7,456</w:t>
            </w:r>
          </w:p>
        </w:tc>
      </w:tr>
      <w:tr w:rsidR="00971B22" w:rsidRPr="00923150" w14:paraId="7C2A0AAB" w14:textId="77777777" w:rsidTr="00971B22">
        <w:trPr>
          <w:trHeight w:val="456"/>
        </w:trPr>
        <w:tc>
          <w:tcPr>
            <w:tcW w:w="4111" w:type="dxa"/>
            <w:vAlign w:val="center"/>
          </w:tcPr>
          <w:p w14:paraId="3F7B1C87" w14:textId="02BA79DD" w:rsidR="00971B22" w:rsidRPr="00876FAE" w:rsidRDefault="00971B22" w:rsidP="00971B22">
            <w:pPr>
              <w:spacing w:before="60" w:after="60"/>
              <w:ind w:left="34"/>
              <w:jc w:val="left"/>
            </w:pPr>
            <w:r w:rsidRPr="00521292">
              <w:t>Domestic refrigeration</w:t>
            </w:r>
          </w:p>
        </w:tc>
        <w:tc>
          <w:tcPr>
            <w:tcW w:w="2353" w:type="dxa"/>
            <w:vAlign w:val="center"/>
          </w:tcPr>
          <w:p w14:paraId="7102314B" w14:textId="46E1C244" w:rsidR="00971B22" w:rsidRPr="00876FAE" w:rsidRDefault="00971B22" w:rsidP="00CE3CAD">
            <w:pPr>
              <w:spacing w:before="60" w:after="60"/>
              <w:jc w:val="center"/>
            </w:pPr>
            <w:r w:rsidRPr="00521292">
              <w:t>$2,058</w:t>
            </w:r>
          </w:p>
        </w:tc>
      </w:tr>
      <w:tr w:rsidR="00971B22" w:rsidRPr="00923150" w14:paraId="6736DF36" w14:textId="77777777" w:rsidTr="00971B22">
        <w:trPr>
          <w:trHeight w:val="456"/>
        </w:trPr>
        <w:tc>
          <w:tcPr>
            <w:tcW w:w="4111" w:type="dxa"/>
            <w:vAlign w:val="center"/>
          </w:tcPr>
          <w:p w14:paraId="51D40CD6" w14:textId="5DE68046" w:rsidR="00971B22" w:rsidRPr="00876FAE" w:rsidRDefault="00971B22" w:rsidP="00971B22">
            <w:pPr>
              <w:spacing w:before="60" w:after="60"/>
              <w:ind w:left="34"/>
              <w:jc w:val="left"/>
            </w:pPr>
            <w:r w:rsidRPr="00521292">
              <w:t xml:space="preserve">Refrigerated cold food chain: stationary </w:t>
            </w:r>
          </w:p>
        </w:tc>
        <w:tc>
          <w:tcPr>
            <w:tcW w:w="2353" w:type="dxa"/>
            <w:vAlign w:val="center"/>
          </w:tcPr>
          <w:p w14:paraId="4EFD51C5" w14:textId="6ED3D88A" w:rsidR="00971B22" w:rsidRPr="00876FAE" w:rsidRDefault="00971B22" w:rsidP="00CE3CAD">
            <w:pPr>
              <w:spacing w:before="60" w:after="60"/>
              <w:jc w:val="center"/>
            </w:pPr>
            <w:r w:rsidRPr="00521292">
              <w:t>$2,811</w:t>
            </w:r>
          </w:p>
        </w:tc>
      </w:tr>
      <w:tr w:rsidR="00971B22" w:rsidRPr="00923150" w14:paraId="19366334" w14:textId="77777777" w:rsidTr="00971B22">
        <w:trPr>
          <w:trHeight w:val="456"/>
        </w:trPr>
        <w:tc>
          <w:tcPr>
            <w:tcW w:w="4111" w:type="dxa"/>
            <w:vAlign w:val="center"/>
          </w:tcPr>
          <w:p w14:paraId="241667F7" w14:textId="083E8B45" w:rsidR="00971B22" w:rsidRDefault="00971B22" w:rsidP="00971B22">
            <w:pPr>
              <w:spacing w:before="60" w:after="60"/>
              <w:ind w:left="34"/>
              <w:jc w:val="left"/>
              <w:rPr>
                <w:sz w:val="20"/>
              </w:rPr>
            </w:pPr>
            <w:r w:rsidRPr="00521292">
              <w:t>Refrigerated cold food chain: mobile</w:t>
            </w:r>
          </w:p>
        </w:tc>
        <w:tc>
          <w:tcPr>
            <w:tcW w:w="2353" w:type="dxa"/>
            <w:vAlign w:val="center"/>
          </w:tcPr>
          <w:p w14:paraId="0A9F3810" w14:textId="38F88832" w:rsidR="00971B22" w:rsidRDefault="00971B22" w:rsidP="00CE3CAD">
            <w:pPr>
              <w:spacing w:before="60" w:after="60"/>
              <w:jc w:val="center"/>
              <w:rPr>
                <w:sz w:val="20"/>
              </w:rPr>
            </w:pPr>
            <w:r w:rsidRPr="00521292">
              <w:t>$99</w:t>
            </w:r>
          </w:p>
        </w:tc>
      </w:tr>
      <w:tr w:rsidR="00971B22" w:rsidRPr="00923150" w14:paraId="48B25BED" w14:textId="77777777" w:rsidTr="00971B22">
        <w:trPr>
          <w:trHeight w:val="456"/>
        </w:trPr>
        <w:tc>
          <w:tcPr>
            <w:tcW w:w="4111" w:type="dxa"/>
            <w:vAlign w:val="center"/>
          </w:tcPr>
          <w:p w14:paraId="56888DDE" w14:textId="4D070310" w:rsidR="00971B22" w:rsidRDefault="00971B22" w:rsidP="00971B22">
            <w:pPr>
              <w:spacing w:before="60" w:after="60"/>
              <w:ind w:left="34"/>
              <w:jc w:val="left"/>
              <w:rPr>
                <w:sz w:val="20"/>
              </w:rPr>
            </w:pPr>
            <w:r w:rsidRPr="00521292">
              <w:t xml:space="preserve">Mobile </w:t>
            </w:r>
            <w:r w:rsidR="009503E6" w:rsidRPr="00521292">
              <w:t>air conditioning</w:t>
            </w:r>
          </w:p>
        </w:tc>
        <w:tc>
          <w:tcPr>
            <w:tcW w:w="2353" w:type="dxa"/>
            <w:vAlign w:val="center"/>
          </w:tcPr>
          <w:p w14:paraId="4FB75E88" w14:textId="2A24618A" w:rsidR="00971B22" w:rsidRDefault="00971B22" w:rsidP="00CE3CAD">
            <w:pPr>
              <w:spacing w:before="60" w:after="60"/>
              <w:jc w:val="center"/>
              <w:rPr>
                <w:sz w:val="20"/>
              </w:rPr>
            </w:pPr>
            <w:r w:rsidRPr="00521292">
              <w:t>$1,637</w:t>
            </w:r>
          </w:p>
        </w:tc>
      </w:tr>
      <w:tr w:rsidR="00971B22" w:rsidRPr="00923150" w14:paraId="4E651B95" w14:textId="77777777" w:rsidTr="00971B22">
        <w:trPr>
          <w:trHeight w:val="456"/>
        </w:trPr>
        <w:tc>
          <w:tcPr>
            <w:tcW w:w="4111" w:type="dxa"/>
            <w:tcBorders>
              <w:top w:val="double" w:sz="4" w:space="0" w:color="auto"/>
            </w:tcBorders>
            <w:vAlign w:val="center"/>
          </w:tcPr>
          <w:p w14:paraId="7D7D68BD" w14:textId="3D9AE40A" w:rsidR="00971B22" w:rsidRDefault="00971B22" w:rsidP="00971B22">
            <w:pPr>
              <w:spacing w:before="60" w:after="60"/>
              <w:ind w:left="34"/>
              <w:jc w:val="left"/>
              <w:rPr>
                <w:sz w:val="20"/>
              </w:rPr>
            </w:pPr>
            <w:r w:rsidRPr="00521292">
              <w:t>Total estimated energy spending</w:t>
            </w:r>
          </w:p>
        </w:tc>
        <w:tc>
          <w:tcPr>
            <w:tcW w:w="2353" w:type="dxa"/>
            <w:tcBorders>
              <w:top w:val="double" w:sz="4" w:space="0" w:color="auto"/>
            </w:tcBorders>
            <w:vAlign w:val="center"/>
          </w:tcPr>
          <w:p w14:paraId="4F280C1A" w14:textId="6631647B" w:rsidR="00971B22" w:rsidRDefault="00971B22" w:rsidP="00CE3CAD">
            <w:pPr>
              <w:spacing w:before="60" w:after="60"/>
              <w:jc w:val="center"/>
              <w:rPr>
                <w:sz w:val="20"/>
              </w:rPr>
            </w:pPr>
            <w:r w:rsidRPr="00521292">
              <w:t>$14,061</w:t>
            </w:r>
          </w:p>
        </w:tc>
      </w:tr>
    </w:tbl>
    <w:p w14:paraId="2B0B8F02" w14:textId="05475B0E" w:rsidR="00BB75CC" w:rsidRPr="00BB75CC" w:rsidRDefault="00BB75CC" w:rsidP="00BB75CC">
      <w:pPr>
        <w:spacing w:before="240"/>
        <w:rPr>
          <w:szCs w:val="22"/>
        </w:rPr>
      </w:pPr>
      <w:r w:rsidRPr="00BB75CC">
        <w:rPr>
          <w:szCs w:val="22"/>
        </w:rPr>
        <w:t>At the present (</w:t>
      </w:r>
      <w:r>
        <w:rPr>
          <w:szCs w:val="22"/>
        </w:rPr>
        <w:t xml:space="preserve">FY </w:t>
      </w:r>
      <w:r w:rsidRPr="00BB75CC">
        <w:rPr>
          <w:szCs w:val="22"/>
        </w:rPr>
        <w:t xml:space="preserve">2012-13) </w:t>
      </w:r>
      <w:r w:rsidR="00763010">
        <w:rPr>
          <w:szCs w:val="22"/>
        </w:rPr>
        <w:t xml:space="preserve">a </w:t>
      </w:r>
      <w:r w:rsidRPr="00BB75CC">
        <w:rPr>
          <w:szCs w:val="22"/>
        </w:rPr>
        <w:t xml:space="preserve">fixed carbon price </w:t>
      </w:r>
      <w:r w:rsidR="00763010">
        <w:rPr>
          <w:szCs w:val="22"/>
        </w:rPr>
        <w:t xml:space="preserve">is </w:t>
      </w:r>
      <w:r w:rsidRPr="00BB75CC">
        <w:rPr>
          <w:szCs w:val="22"/>
        </w:rPr>
        <w:t>being employed in Australia of $23 per ton</w:t>
      </w:r>
      <w:r>
        <w:rPr>
          <w:szCs w:val="22"/>
        </w:rPr>
        <w:t>ne</w:t>
      </w:r>
      <w:r w:rsidRPr="00BB75CC">
        <w:rPr>
          <w:szCs w:val="22"/>
        </w:rPr>
        <w:t>, the emissions from this energy consumption could be costed at more than $1.3 billion dollars per annum.</w:t>
      </w:r>
    </w:p>
    <w:p w14:paraId="757A07CE" w14:textId="63DEE210" w:rsidR="00BB75CC" w:rsidRPr="00BB75CC" w:rsidRDefault="00BB75CC" w:rsidP="00BB75CC">
      <w:pPr>
        <w:rPr>
          <w:szCs w:val="22"/>
        </w:rPr>
      </w:pPr>
      <w:r w:rsidRPr="00BB75CC">
        <w:rPr>
          <w:szCs w:val="22"/>
        </w:rPr>
        <w:t>Based on the detailed import records of refrigerant gas, and using market data on wholesale and retail gas prices, total expenditure on refrigerant gas can be estimated to be approximately $533 million in the present financial year</w:t>
      </w:r>
      <w:r w:rsidR="00F07648">
        <w:rPr>
          <w:szCs w:val="22"/>
        </w:rPr>
        <w:t>,</w:t>
      </w:r>
      <w:r w:rsidRPr="00BB75CC">
        <w:rPr>
          <w:szCs w:val="22"/>
        </w:rPr>
        <w:t xml:space="preserve"> and the replacement value of the refrigerant bank is estimated to be about $5.8 billion.  This has been calculated </w:t>
      </w:r>
      <w:r w:rsidR="00F07648">
        <w:rPr>
          <w:szCs w:val="22"/>
        </w:rPr>
        <w:t>on market prices</w:t>
      </w:r>
      <w:r w:rsidRPr="00BB75CC">
        <w:rPr>
          <w:szCs w:val="22"/>
        </w:rPr>
        <w:t xml:space="preserve"> </w:t>
      </w:r>
      <w:r w:rsidR="00763010">
        <w:rPr>
          <w:szCs w:val="22"/>
        </w:rPr>
        <w:t xml:space="preserve">after </w:t>
      </w:r>
      <w:r w:rsidRPr="00BB75CC">
        <w:rPr>
          <w:szCs w:val="22"/>
        </w:rPr>
        <w:t>the introduction of the equivalent carbon price.</w:t>
      </w:r>
      <w:r w:rsidR="00F07648">
        <w:rPr>
          <w:szCs w:val="22"/>
        </w:rPr>
        <w:t xml:space="preserve"> </w:t>
      </w:r>
    </w:p>
    <w:p w14:paraId="0A89C635" w14:textId="5B20CBEF" w:rsidR="009503E6" w:rsidRDefault="00BB75CC" w:rsidP="009503E6">
      <w:pPr>
        <w:rPr>
          <w:szCs w:val="22"/>
        </w:rPr>
      </w:pPr>
      <w:r w:rsidRPr="00BB75CC">
        <w:rPr>
          <w:szCs w:val="22"/>
        </w:rPr>
        <w:t>Another useful measure of activity is the estimate of expenditure on new installed equipment in 2012 based on well documented imports, accurate national sales data, and conservative average installation costs.</w:t>
      </w:r>
      <w:r>
        <w:rPr>
          <w:szCs w:val="22"/>
        </w:rPr>
        <w:t xml:space="preserve"> The estimated value of new equipment installed in 2012 by major equipment class is provided in </w:t>
      </w:r>
      <w:r w:rsidRPr="00BB75CC">
        <w:rPr>
          <w:i/>
          <w:szCs w:val="22"/>
        </w:rPr>
        <w:t>Table 23</w:t>
      </w:r>
      <w:r>
        <w:rPr>
          <w:szCs w:val="22"/>
        </w:rPr>
        <w:t>.</w:t>
      </w:r>
    </w:p>
    <w:p w14:paraId="318F037C" w14:textId="77777777" w:rsidR="002D27F5" w:rsidRDefault="002D27F5" w:rsidP="002D27F5">
      <w:pPr>
        <w:rPr>
          <w:szCs w:val="22"/>
        </w:rPr>
      </w:pPr>
    </w:p>
    <w:p w14:paraId="69D3F086" w14:textId="719F2001" w:rsidR="00CE3CAD" w:rsidRPr="000226CB" w:rsidRDefault="00CE3CAD" w:rsidP="00CE3CAD">
      <w:pPr>
        <w:rPr>
          <w:i/>
          <w:szCs w:val="22"/>
        </w:rPr>
      </w:pPr>
      <w:bookmarkStart w:id="84" w:name="_Toc233084067"/>
      <w:r w:rsidRPr="000226CB">
        <w:rPr>
          <w:i/>
          <w:szCs w:val="22"/>
        </w:rPr>
        <w:t xml:space="preserve">Table </w:t>
      </w:r>
      <w:r w:rsidRPr="000226CB">
        <w:rPr>
          <w:i/>
          <w:szCs w:val="22"/>
        </w:rPr>
        <w:fldChar w:fldCharType="begin"/>
      </w:r>
      <w:r w:rsidRPr="000226CB">
        <w:rPr>
          <w:i/>
          <w:szCs w:val="22"/>
        </w:rPr>
        <w:instrText xml:space="preserve"> SEQ Table \* ARABIC </w:instrText>
      </w:r>
      <w:r w:rsidRPr="000226CB">
        <w:rPr>
          <w:i/>
          <w:szCs w:val="22"/>
        </w:rPr>
        <w:fldChar w:fldCharType="separate"/>
      </w:r>
      <w:r w:rsidR="00196462">
        <w:rPr>
          <w:i/>
          <w:noProof/>
          <w:szCs w:val="22"/>
        </w:rPr>
        <w:t>23</w:t>
      </w:r>
      <w:r w:rsidRPr="000226CB">
        <w:rPr>
          <w:i/>
          <w:szCs w:val="22"/>
        </w:rPr>
        <w:fldChar w:fldCharType="end"/>
      </w:r>
      <w:r w:rsidRPr="000226CB">
        <w:rPr>
          <w:i/>
          <w:szCs w:val="22"/>
        </w:rPr>
        <w:t xml:space="preserve">: </w:t>
      </w:r>
      <w:r w:rsidR="009503E6">
        <w:rPr>
          <w:i/>
          <w:szCs w:val="22"/>
        </w:rPr>
        <w:t>Estimated va</w:t>
      </w:r>
      <w:r w:rsidRPr="00CE3CAD">
        <w:rPr>
          <w:i/>
          <w:szCs w:val="22"/>
        </w:rPr>
        <w:t xml:space="preserve">lue of </w:t>
      </w:r>
      <w:r>
        <w:rPr>
          <w:i/>
          <w:szCs w:val="22"/>
        </w:rPr>
        <w:t>n</w:t>
      </w:r>
      <w:r w:rsidRPr="00CE3CAD">
        <w:rPr>
          <w:i/>
          <w:szCs w:val="22"/>
        </w:rPr>
        <w:t xml:space="preserve">ew </w:t>
      </w:r>
      <w:r>
        <w:rPr>
          <w:i/>
          <w:szCs w:val="22"/>
        </w:rPr>
        <w:t>i</w:t>
      </w:r>
      <w:r w:rsidRPr="00CE3CAD">
        <w:rPr>
          <w:i/>
          <w:szCs w:val="22"/>
        </w:rPr>
        <w:t xml:space="preserve">nstalled </w:t>
      </w:r>
      <w:r>
        <w:rPr>
          <w:i/>
          <w:szCs w:val="22"/>
        </w:rPr>
        <w:t>e</w:t>
      </w:r>
      <w:r w:rsidRPr="00CE3CAD">
        <w:rPr>
          <w:i/>
          <w:szCs w:val="22"/>
        </w:rPr>
        <w:t xml:space="preserve">quipment </w:t>
      </w:r>
      <w:r>
        <w:rPr>
          <w:i/>
          <w:szCs w:val="22"/>
        </w:rPr>
        <w:t xml:space="preserve">in </w:t>
      </w:r>
      <w:r w:rsidRPr="00CE3CAD">
        <w:rPr>
          <w:i/>
          <w:szCs w:val="22"/>
        </w:rPr>
        <w:t>2012</w:t>
      </w:r>
      <w:bookmarkEnd w:id="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2353"/>
      </w:tblGrid>
      <w:tr w:rsidR="00CE3CAD" w:rsidRPr="00923150" w14:paraId="574CA2BD" w14:textId="77777777" w:rsidTr="00CF6747">
        <w:trPr>
          <w:trHeight w:val="684"/>
        </w:trPr>
        <w:tc>
          <w:tcPr>
            <w:tcW w:w="4111" w:type="dxa"/>
            <w:tcBorders>
              <w:top w:val="single" w:sz="8" w:space="0" w:color="auto"/>
              <w:left w:val="single" w:sz="8" w:space="0" w:color="auto"/>
              <w:bottom w:val="single" w:sz="8" w:space="0" w:color="auto"/>
              <w:right w:val="single" w:sz="4" w:space="0" w:color="FFFFFF"/>
            </w:tcBorders>
            <w:shd w:val="clear" w:color="auto" w:fill="000000"/>
          </w:tcPr>
          <w:p w14:paraId="02BF3F1E" w14:textId="77777777" w:rsidR="00CE3CAD" w:rsidRPr="00923150" w:rsidRDefault="00CE3CAD" w:rsidP="00CE3CAD">
            <w:pPr>
              <w:spacing w:after="120"/>
              <w:ind w:left="34"/>
              <w:jc w:val="left"/>
            </w:pPr>
            <w:r w:rsidRPr="00521292">
              <w:t xml:space="preserve">Expenditure by major sector </w:t>
            </w:r>
            <w:r>
              <w:t xml:space="preserve">                       </w:t>
            </w:r>
            <w:r w:rsidRPr="00521292">
              <w:t>($ Million)</w:t>
            </w:r>
          </w:p>
        </w:tc>
        <w:tc>
          <w:tcPr>
            <w:tcW w:w="2353" w:type="dxa"/>
            <w:tcBorders>
              <w:top w:val="single" w:sz="8" w:space="0" w:color="auto"/>
              <w:left w:val="single" w:sz="4" w:space="0" w:color="FFFFFF"/>
              <w:bottom w:val="single" w:sz="8" w:space="0" w:color="auto"/>
              <w:right w:val="single" w:sz="8" w:space="0" w:color="auto"/>
            </w:tcBorders>
            <w:shd w:val="clear" w:color="auto" w:fill="000000"/>
          </w:tcPr>
          <w:p w14:paraId="7DE50DBA" w14:textId="69F12EA0" w:rsidR="00CE3CAD" w:rsidRPr="00923150" w:rsidRDefault="00CE3CAD" w:rsidP="00CE3CAD">
            <w:pPr>
              <w:spacing w:after="120"/>
              <w:jc w:val="center"/>
            </w:pPr>
            <w:r>
              <w:t>Equipment spend</w:t>
            </w:r>
            <w:r w:rsidRPr="00521292">
              <w:t xml:space="preserve"> </w:t>
            </w:r>
            <w:r>
              <w:t xml:space="preserve">                </w:t>
            </w:r>
            <w:r w:rsidRPr="00521292">
              <w:t xml:space="preserve">           (</w:t>
            </w:r>
            <w:r>
              <w:t>installed</w:t>
            </w:r>
            <w:r w:rsidRPr="00521292">
              <w:t>)</w:t>
            </w:r>
          </w:p>
        </w:tc>
      </w:tr>
      <w:tr w:rsidR="009503E6" w:rsidRPr="00923150" w14:paraId="7895F8C2" w14:textId="77777777" w:rsidTr="009503E6">
        <w:trPr>
          <w:trHeight w:val="456"/>
        </w:trPr>
        <w:tc>
          <w:tcPr>
            <w:tcW w:w="4111" w:type="dxa"/>
            <w:vAlign w:val="center"/>
          </w:tcPr>
          <w:p w14:paraId="320C1B7B" w14:textId="77777777" w:rsidR="009503E6" w:rsidRPr="00876FAE" w:rsidRDefault="009503E6" w:rsidP="00CE3CAD">
            <w:pPr>
              <w:spacing w:before="60" w:after="60"/>
              <w:ind w:left="34"/>
              <w:jc w:val="left"/>
            </w:pPr>
            <w:r w:rsidRPr="00521292">
              <w:t>Stationary air conditioning</w:t>
            </w:r>
          </w:p>
        </w:tc>
        <w:tc>
          <w:tcPr>
            <w:tcW w:w="2353" w:type="dxa"/>
            <w:vAlign w:val="center"/>
          </w:tcPr>
          <w:p w14:paraId="158709F7" w14:textId="54965D7F" w:rsidR="009503E6" w:rsidRPr="00876FAE" w:rsidRDefault="009503E6" w:rsidP="00CE3CAD">
            <w:pPr>
              <w:spacing w:before="60" w:after="60"/>
              <w:jc w:val="center"/>
            </w:pPr>
            <w:r w:rsidRPr="00B75B79">
              <w:t>$3,350</w:t>
            </w:r>
          </w:p>
        </w:tc>
      </w:tr>
      <w:tr w:rsidR="009503E6" w:rsidRPr="00923150" w14:paraId="221D274F" w14:textId="77777777" w:rsidTr="009503E6">
        <w:trPr>
          <w:trHeight w:val="456"/>
        </w:trPr>
        <w:tc>
          <w:tcPr>
            <w:tcW w:w="4111" w:type="dxa"/>
            <w:vAlign w:val="center"/>
          </w:tcPr>
          <w:p w14:paraId="2C7514E0" w14:textId="77777777" w:rsidR="009503E6" w:rsidRPr="00876FAE" w:rsidRDefault="009503E6" w:rsidP="00CE3CAD">
            <w:pPr>
              <w:spacing w:before="60" w:after="60"/>
              <w:ind w:left="34"/>
              <w:jc w:val="left"/>
            </w:pPr>
            <w:r w:rsidRPr="00521292">
              <w:t>Domestic refrigeration</w:t>
            </w:r>
          </w:p>
        </w:tc>
        <w:tc>
          <w:tcPr>
            <w:tcW w:w="2353" w:type="dxa"/>
            <w:vAlign w:val="center"/>
          </w:tcPr>
          <w:p w14:paraId="22AEAC85" w14:textId="035D6E0B" w:rsidR="009503E6" w:rsidRPr="00876FAE" w:rsidRDefault="009503E6" w:rsidP="00CE3CAD">
            <w:pPr>
              <w:spacing w:before="60" w:after="60"/>
              <w:jc w:val="center"/>
            </w:pPr>
            <w:r w:rsidRPr="00B75B79">
              <w:t>$1,201</w:t>
            </w:r>
          </w:p>
        </w:tc>
      </w:tr>
      <w:tr w:rsidR="009503E6" w:rsidRPr="00923150" w14:paraId="75323250" w14:textId="77777777" w:rsidTr="009503E6">
        <w:trPr>
          <w:trHeight w:val="456"/>
        </w:trPr>
        <w:tc>
          <w:tcPr>
            <w:tcW w:w="4111" w:type="dxa"/>
            <w:vAlign w:val="center"/>
          </w:tcPr>
          <w:p w14:paraId="5379D5FE" w14:textId="77777777" w:rsidR="009503E6" w:rsidRPr="00876FAE" w:rsidRDefault="009503E6" w:rsidP="00CE3CAD">
            <w:pPr>
              <w:spacing w:before="60" w:after="60"/>
              <w:ind w:left="34"/>
              <w:jc w:val="left"/>
            </w:pPr>
            <w:r w:rsidRPr="00521292">
              <w:t xml:space="preserve">Refrigerated cold food chain: stationary </w:t>
            </w:r>
          </w:p>
        </w:tc>
        <w:tc>
          <w:tcPr>
            <w:tcW w:w="2353" w:type="dxa"/>
            <w:vAlign w:val="center"/>
          </w:tcPr>
          <w:p w14:paraId="04135861" w14:textId="4327CF17" w:rsidR="009503E6" w:rsidRPr="00876FAE" w:rsidRDefault="009503E6" w:rsidP="00CE3CAD">
            <w:pPr>
              <w:spacing w:before="60" w:after="60"/>
              <w:jc w:val="center"/>
            </w:pPr>
            <w:r w:rsidRPr="00B75B79">
              <w:t>$728</w:t>
            </w:r>
          </w:p>
        </w:tc>
      </w:tr>
      <w:tr w:rsidR="009503E6" w:rsidRPr="00923150" w14:paraId="76A7F46D" w14:textId="77777777" w:rsidTr="009503E6">
        <w:trPr>
          <w:trHeight w:val="456"/>
        </w:trPr>
        <w:tc>
          <w:tcPr>
            <w:tcW w:w="4111" w:type="dxa"/>
            <w:vAlign w:val="center"/>
          </w:tcPr>
          <w:p w14:paraId="21C1264B" w14:textId="77777777" w:rsidR="009503E6" w:rsidRDefault="009503E6" w:rsidP="00CE3CAD">
            <w:pPr>
              <w:spacing w:before="60" w:after="60"/>
              <w:ind w:left="34"/>
              <w:jc w:val="left"/>
              <w:rPr>
                <w:sz w:val="20"/>
              </w:rPr>
            </w:pPr>
            <w:r w:rsidRPr="00521292">
              <w:t>Refrigerated cold food chain: mobile</w:t>
            </w:r>
          </w:p>
        </w:tc>
        <w:tc>
          <w:tcPr>
            <w:tcW w:w="2353" w:type="dxa"/>
            <w:vAlign w:val="center"/>
          </w:tcPr>
          <w:p w14:paraId="09E6CF36" w14:textId="6CE055DD" w:rsidR="009503E6" w:rsidRDefault="009503E6" w:rsidP="00CE3CAD">
            <w:pPr>
              <w:spacing w:before="60" w:after="60"/>
              <w:jc w:val="center"/>
              <w:rPr>
                <w:sz w:val="20"/>
              </w:rPr>
            </w:pPr>
            <w:r w:rsidRPr="00B75B79">
              <w:t>$54</w:t>
            </w:r>
          </w:p>
        </w:tc>
      </w:tr>
      <w:tr w:rsidR="009503E6" w:rsidRPr="00923150" w14:paraId="4A4E67C8" w14:textId="77777777" w:rsidTr="009503E6">
        <w:trPr>
          <w:trHeight w:val="456"/>
        </w:trPr>
        <w:tc>
          <w:tcPr>
            <w:tcW w:w="4111" w:type="dxa"/>
            <w:vAlign w:val="center"/>
          </w:tcPr>
          <w:p w14:paraId="2458E113" w14:textId="16F5FF86" w:rsidR="009503E6" w:rsidRDefault="009503E6" w:rsidP="00CE3CAD">
            <w:pPr>
              <w:spacing w:before="60" w:after="60"/>
              <w:ind w:left="34"/>
              <w:jc w:val="left"/>
              <w:rPr>
                <w:sz w:val="20"/>
              </w:rPr>
            </w:pPr>
            <w:r w:rsidRPr="00521292">
              <w:t>Mobile air conditioning</w:t>
            </w:r>
          </w:p>
        </w:tc>
        <w:tc>
          <w:tcPr>
            <w:tcW w:w="2353" w:type="dxa"/>
            <w:vAlign w:val="center"/>
          </w:tcPr>
          <w:p w14:paraId="00BF69E7" w14:textId="58CAF512" w:rsidR="009503E6" w:rsidRDefault="009503E6" w:rsidP="00CE3CAD">
            <w:pPr>
              <w:spacing w:before="60" w:after="60"/>
              <w:jc w:val="center"/>
              <w:rPr>
                <w:sz w:val="20"/>
              </w:rPr>
            </w:pPr>
            <w:r w:rsidRPr="00B75B79">
              <w:t>$562</w:t>
            </w:r>
          </w:p>
        </w:tc>
      </w:tr>
      <w:tr w:rsidR="009503E6" w:rsidRPr="00923150" w14:paraId="660A283F" w14:textId="77777777" w:rsidTr="009503E6">
        <w:trPr>
          <w:trHeight w:val="456"/>
        </w:trPr>
        <w:tc>
          <w:tcPr>
            <w:tcW w:w="4111" w:type="dxa"/>
            <w:tcBorders>
              <w:top w:val="double" w:sz="4" w:space="0" w:color="auto"/>
            </w:tcBorders>
            <w:vAlign w:val="center"/>
          </w:tcPr>
          <w:p w14:paraId="3CF04B95" w14:textId="2E3F32B3" w:rsidR="009503E6" w:rsidRDefault="009503E6" w:rsidP="009503E6">
            <w:pPr>
              <w:spacing w:before="60" w:after="60"/>
              <w:ind w:left="34"/>
              <w:jc w:val="left"/>
              <w:rPr>
                <w:sz w:val="20"/>
              </w:rPr>
            </w:pPr>
            <w:r w:rsidRPr="00521292">
              <w:t xml:space="preserve">Total estimated </w:t>
            </w:r>
            <w:r>
              <w:t>cost of new installed equipment</w:t>
            </w:r>
          </w:p>
        </w:tc>
        <w:tc>
          <w:tcPr>
            <w:tcW w:w="2353" w:type="dxa"/>
            <w:tcBorders>
              <w:top w:val="double" w:sz="4" w:space="0" w:color="auto"/>
            </w:tcBorders>
            <w:vAlign w:val="center"/>
          </w:tcPr>
          <w:p w14:paraId="699075F5" w14:textId="193A431A" w:rsidR="009503E6" w:rsidRDefault="009503E6" w:rsidP="00CE3CAD">
            <w:pPr>
              <w:spacing w:before="60" w:after="60"/>
              <w:jc w:val="center"/>
              <w:rPr>
                <w:sz w:val="20"/>
              </w:rPr>
            </w:pPr>
            <w:r w:rsidRPr="00B75B79">
              <w:t>$5,896</w:t>
            </w:r>
          </w:p>
        </w:tc>
      </w:tr>
    </w:tbl>
    <w:p w14:paraId="2EB6D679" w14:textId="77777777" w:rsidR="00CE3CAD" w:rsidRDefault="00CE3CAD" w:rsidP="00CE3CAD">
      <w:pPr>
        <w:rPr>
          <w:szCs w:val="22"/>
        </w:rPr>
      </w:pPr>
    </w:p>
    <w:p w14:paraId="22EBB5B8" w14:textId="32F69B2F" w:rsidR="004808F3" w:rsidRPr="004808F3" w:rsidRDefault="004808F3" w:rsidP="004808F3">
      <w:pPr>
        <w:rPr>
          <w:szCs w:val="22"/>
        </w:rPr>
      </w:pPr>
      <w:r w:rsidRPr="004808F3">
        <w:rPr>
          <w:szCs w:val="22"/>
        </w:rPr>
        <w:t>Th</w:t>
      </w:r>
      <w:r w:rsidR="00AC51AD">
        <w:rPr>
          <w:szCs w:val="22"/>
        </w:rPr>
        <w:t xml:space="preserve">is equipment is imported, or designed and manufactured, sold installed and serviced by more than </w:t>
      </w:r>
      <w:r w:rsidRPr="004808F3">
        <w:rPr>
          <w:szCs w:val="22"/>
        </w:rPr>
        <w:t xml:space="preserve">20,000 businesses, comprising around 18,700 contracting businesses, 2,200 suppliers and the balance </w:t>
      </w:r>
      <w:r w:rsidR="00763010">
        <w:rPr>
          <w:szCs w:val="22"/>
        </w:rPr>
        <w:t xml:space="preserve">consisting of </w:t>
      </w:r>
      <w:r w:rsidRPr="004808F3">
        <w:rPr>
          <w:szCs w:val="22"/>
        </w:rPr>
        <w:t xml:space="preserve">manufacturers and other service providers. One useful measure of the number of enterprises or contracting businesses operating in this industry is the 17,048 Australian Refrigerant Council (ARC) business authorisations to handle refrigerant. The main business types </w:t>
      </w:r>
      <w:r w:rsidR="00F07648">
        <w:rPr>
          <w:szCs w:val="22"/>
        </w:rPr>
        <w:t>recorded in the licen</w:t>
      </w:r>
      <w:r w:rsidR="00763010">
        <w:rPr>
          <w:szCs w:val="22"/>
        </w:rPr>
        <w:t>s</w:t>
      </w:r>
      <w:r w:rsidR="00F07648">
        <w:rPr>
          <w:szCs w:val="22"/>
        </w:rPr>
        <w:t xml:space="preserve">ing database </w:t>
      </w:r>
      <w:r w:rsidRPr="004808F3">
        <w:rPr>
          <w:szCs w:val="22"/>
        </w:rPr>
        <w:t>are 47 per cent automotive air conditioning, 46 per cent stationary air conditioning and 4 per cent domestic refrigeration.</w:t>
      </w:r>
    </w:p>
    <w:p w14:paraId="47A713B8" w14:textId="77777777" w:rsidR="004808F3" w:rsidRPr="004808F3" w:rsidRDefault="004808F3" w:rsidP="004808F3">
      <w:pPr>
        <w:rPr>
          <w:szCs w:val="22"/>
        </w:rPr>
      </w:pPr>
      <w:r w:rsidRPr="004808F3">
        <w:rPr>
          <w:szCs w:val="22"/>
        </w:rPr>
        <w:lastRenderedPageBreak/>
        <w:t>We know some things about where this stock of equipment is and the work it does. For instance the approximate area of commercial, retail, educational, public and other non-residential buildings serviced by air conditioning is known to be at least 165 million square metres.</w:t>
      </w:r>
    </w:p>
    <w:p w14:paraId="6FAC610E" w14:textId="0E86481F" w:rsidR="004808F3" w:rsidRPr="004808F3" w:rsidRDefault="004808F3" w:rsidP="004808F3">
      <w:pPr>
        <w:rPr>
          <w:szCs w:val="22"/>
        </w:rPr>
      </w:pPr>
      <w:r w:rsidRPr="004808F3">
        <w:rPr>
          <w:szCs w:val="22"/>
        </w:rPr>
        <w:t xml:space="preserve">Additionally there are much smaller areas of buildings serviced by energy intensive </w:t>
      </w:r>
      <w:r w:rsidR="00AC51AD">
        <w:rPr>
          <w:szCs w:val="22"/>
        </w:rPr>
        <w:t>R</w:t>
      </w:r>
      <w:r w:rsidRPr="004808F3">
        <w:rPr>
          <w:szCs w:val="22"/>
        </w:rPr>
        <w:t>AC systems delivering critical tasks keeping telecommunications and server centres under close temperature controls.</w:t>
      </w:r>
    </w:p>
    <w:p w14:paraId="43144B20" w14:textId="30172ED3" w:rsidR="004808F3" w:rsidRPr="004808F3" w:rsidRDefault="004808F3" w:rsidP="004808F3">
      <w:pPr>
        <w:rPr>
          <w:szCs w:val="22"/>
        </w:rPr>
      </w:pPr>
      <w:r w:rsidRPr="004808F3">
        <w:rPr>
          <w:szCs w:val="22"/>
        </w:rPr>
        <w:t xml:space="preserve">The estimate </w:t>
      </w:r>
      <w:r w:rsidR="00AC51AD">
        <w:rPr>
          <w:szCs w:val="22"/>
        </w:rPr>
        <w:t>of expenditure on</w:t>
      </w:r>
      <w:r w:rsidRPr="004808F3">
        <w:rPr>
          <w:szCs w:val="22"/>
        </w:rPr>
        <w:t xml:space="preserve"> stationary air conditioning</w:t>
      </w:r>
      <w:r w:rsidR="00AC51AD">
        <w:rPr>
          <w:szCs w:val="22"/>
        </w:rPr>
        <w:t xml:space="preserve"> systems</w:t>
      </w:r>
      <w:r w:rsidRPr="004808F3">
        <w:rPr>
          <w:szCs w:val="22"/>
        </w:rPr>
        <w:t xml:space="preserve"> is conservative and does not include the wide range of ancillary devices and mechanical services such as building management systems, pumps, etc. essential to the operation of large space cooling chiller systems.  </w:t>
      </w:r>
    </w:p>
    <w:p w14:paraId="7C92D9F8" w14:textId="77777777" w:rsidR="004808F3" w:rsidRPr="004808F3" w:rsidRDefault="004808F3" w:rsidP="004808F3">
      <w:pPr>
        <w:rPr>
          <w:szCs w:val="22"/>
        </w:rPr>
      </w:pPr>
      <w:r w:rsidRPr="004808F3">
        <w:rPr>
          <w:szCs w:val="22"/>
        </w:rPr>
        <w:t xml:space="preserve">Alongside the investment in air conditioning in buildings that we all rely on and enjoy, the more critical infrastructure of the refrigerated cold food chain can be identified and reasonably well quantified. </w:t>
      </w:r>
    </w:p>
    <w:p w14:paraId="28C10D02" w14:textId="3A04C7F7" w:rsidR="004808F3" w:rsidRPr="004808F3" w:rsidRDefault="004808F3" w:rsidP="004808F3">
      <w:pPr>
        <w:rPr>
          <w:szCs w:val="22"/>
        </w:rPr>
      </w:pPr>
      <w:r w:rsidRPr="004808F3">
        <w:rPr>
          <w:szCs w:val="22"/>
        </w:rPr>
        <w:t xml:space="preserve">We know for instance that there are more than </w:t>
      </w:r>
      <w:r w:rsidR="00F90537">
        <w:rPr>
          <w:szCs w:val="22"/>
        </w:rPr>
        <w:t>10,000</w:t>
      </w:r>
      <w:r w:rsidRPr="004808F3">
        <w:rPr>
          <w:szCs w:val="22"/>
        </w:rPr>
        <w:t xml:space="preserve"> supermarkets large and small</w:t>
      </w:r>
      <w:r w:rsidR="00F90537">
        <w:rPr>
          <w:szCs w:val="22"/>
        </w:rPr>
        <w:t>,</w:t>
      </w:r>
      <w:r w:rsidRPr="004808F3">
        <w:rPr>
          <w:szCs w:val="22"/>
        </w:rPr>
        <w:t xml:space="preserve"> and convenience stores. There are another 6,400 butchers, grocery stores, fishmongers and specialised poultry and game stores. There are more than 20,000 restaurants, more than 5,000 hotels and clubs, and more than 16,000 delicatessens, sandwich bars, takeaways, bakeries and other retail food outlets</w:t>
      </w:r>
      <w:r w:rsidR="00654AC6">
        <w:rPr>
          <w:szCs w:val="22"/>
        </w:rPr>
        <w:t xml:space="preserve"> </w:t>
      </w:r>
      <w:r w:rsidR="00654AC6" w:rsidRPr="00D95B5B">
        <w:rPr>
          <w:szCs w:val="22"/>
        </w:rPr>
        <w:t>(DAFF 20</w:t>
      </w:r>
      <w:r w:rsidR="002633CA" w:rsidRPr="00D95B5B">
        <w:rPr>
          <w:szCs w:val="22"/>
        </w:rPr>
        <w:t>07</w:t>
      </w:r>
      <w:r w:rsidR="00654AC6" w:rsidRPr="00D95B5B">
        <w:rPr>
          <w:szCs w:val="22"/>
        </w:rPr>
        <w:t>).</w:t>
      </w:r>
    </w:p>
    <w:p w14:paraId="111CE0C5" w14:textId="43798FF0" w:rsidR="004808F3" w:rsidRPr="004808F3" w:rsidRDefault="004808F3" w:rsidP="004808F3">
      <w:pPr>
        <w:rPr>
          <w:szCs w:val="22"/>
        </w:rPr>
      </w:pPr>
      <w:r w:rsidRPr="004808F3">
        <w:rPr>
          <w:szCs w:val="22"/>
        </w:rPr>
        <w:t xml:space="preserve">There are more than 20 million tonnes of dairy, fruit, poultry, meat and fish produced every year that are refrigerated, from the point of harvest on more than 80,000 farms and from 420 registered and active </w:t>
      </w:r>
      <w:r w:rsidR="00183AE9">
        <w:rPr>
          <w:szCs w:val="22"/>
        </w:rPr>
        <w:t xml:space="preserve">large </w:t>
      </w:r>
      <w:r w:rsidRPr="004808F3">
        <w:rPr>
          <w:szCs w:val="22"/>
        </w:rPr>
        <w:t>commercial fishing vessels, all the way to the kitchen (or restaurant) table, or to export in refrigerated containers</w:t>
      </w:r>
      <w:r w:rsidR="0091479D">
        <w:rPr>
          <w:szCs w:val="22"/>
        </w:rPr>
        <w:t xml:space="preserve"> </w:t>
      </w:r>
      <w:r w:rsidR="0091479D" w:rsidRPr="00D95B5B">
        <w:rPr>
          <w:szCs w:val="22"/>
        </w:rPr>
        <w:t>(DAFF 2012)</w:t>
      </w:r>
      <w:r w:rsidRPr="00D95B5B">
        <w:rPr>
          <w:szCs w:val="22"/>
        </w:rPr>
        <w:t>.</w:t>
      </w:r>
      <w:r w:rsidRPr="004808F3">
        <w:rPr>
          <w:szCs w:val="22"/>
        </w:rPr>
        <w:t xml:space="preserve"> </w:t>
      </w:r>
    </w:p>
    <w:p w14:paraId="1BE78D48" w14:textId="6DE1FB6E" w:rsidR="004808F3" w:rsidRPr="004808F3" w:rsidRDefault="004808F3" w:rsidP="004808F3">
      <w:pPr>
        <w:rPr>
          <w:szCs w:val="22"/>
        </w:rPr>
      </w:pPr>
      <w:r w:rsidRPr="004808F3">
        <w:rPr>
          <w:szCs w:val="22"/>
        </w:rPr>
        <w:t>Worth more than $</w:t>
      </w:r>
      <w:r w:rsidR="002633CA">
        <w:rPr>
          <w:szCs w:val="22"/>
        </w:rPr>
        <w:t>28</w:t>
      </w:r>
      <w:r w:rsidRPr="004808F3">
        <w:rPr>
          <w:szCs w:val="22"/>
        </w:rPr>
        <w:t xml:space="preserve"> billion at the farm gate, some of these refrigeration dependent perishable foods are significantly value added through processing and production techniques that require refrigeration and freezing to form a significant part of the total $1</w:t>
      </w:r>
      <w:r w:rsidR="002633CA">
        <w:rPr>
          <w:szCs w:val="22"/>
        </w:rPr>
        <w:t>30</w:t>
      </w:r>
      <w:r w:rsidRPr="004808F3">
        <w:rPr>
          <w:szCs w:val="22"/>
        </w:rPr>
        <w:t xml:space="preserve"> billion in retail food sales in </w:t>
      </w:r>
      <w:r w:rsidRPr="00D95B5B">
        <w:rPr>
          <w:szCs w:val="22"/>
        </w:rPr>
        <w:t>2012</w:t>
      </w:r>
      <w:r w:rsidR="0091479D" w:rsidRPr="00D95B5B">
        <w:rPr>
          <w:szCs w:val="22"/>
        </w:rPr>
        <w:t xml:space="preserve"> (DAFF 2012)</w:t>
      </w:r>
      <w:r w:rsidRPr="00D95B5B">
        <w:rPr>
          <w:szCs w:val="22"/>
        </w:rPr>
        <w:t>.</w:t>
      </w:r>
      <w:r w:rsidRPr="004808F3">
        <w:rPr>
          <w:szCs w:val="22"/>
        </w:rPr>
        <w:t xml:space="preserve"> </w:t>
      </w:r>
    </w:p>
    <w:p w14:paraId="1D23C0F9" w14:textId="318C3410" w:rsidR="004808F3" w:rsidRPr="004808F3" w:rsidRDefault="004808F3" w:rsidP="004808F3">
      <w:pPr>
        <w:rPr>
          <w:szCs w:val="22"/>
        </w:rPr>
      </w:pPr>
      <w:r w:rsidRPr="004808F3">
        <w:rPr>
          <w:szCs w:val="22"/>
        </w:rPr>
        <w:t xml:space="preserve">It is no surprise that to move this vast quantity of food employs more than 28,900 registered commercial refrigerated transport vehicles. </w:t>
      </w:r>
    </w:p>
    <w:p w14:paraId="7FAEE4AC" w14:textId="487B927B" w:rsidR="004808F3" w:rsidRPr="004808F3" w:rsidRDefault="004808F3" w:rsidP="004808F3">
      <w:pPr>
        <w:rPr>
          <w:szCs w:val="22"/>
        </w:rPr>
      </w:pPr>
      <w:r w:rsidRPr="004808F3">
        <w:rPr>
          <w:szCs w:val="22"/>
        </w:rPr>
        <w:t xml:space="preserve">There are generally quite large investments in commercial refrigeration in many health facilities and hospitals. For instance large hospitals have major centralised process kitchens in operation to feed patients and staff, bigger than most hotels and restaurants, with some </w:t>
      </w:r>
      <w:r w:rsidR="00183AE9">
        <w:rPr>
          <w:szCs w:val="22"/>
        </w:rPr>
        <w:t xml:space="preserve">hospitals operating equipment </w:t>
      </w:r>
      <w:r w:rsidRPr="004808F3">
        <w:rPr>
          <w:szCs w:val="22"/>
        </w:rPr>
        <w:t xml:space="preserve">equivalent in refrigeration capacity to a medium sized supermarket.  </w:t>
      </w:r>
    </w:p>
    <w:p w14:paraId="7387A0FA" w14:textId="77777777" w:rsidR="004808F3" w:rsidRPr="004808F3" w:rsidRDefault="004808F3" w:rsidP="004808F3">
      <w:pPr>
        <w:rPr>
          <w:szCs w:val="22"/>
        </w:rPr>
      </w:pPr>
      <w:r w:rsidRPr="004808F3">
        <w:rPr>
          <w:szCs w:val="22"/>
        </w:rPr>
        <w:t xml:space="preserve">All of this visible evidence points to a very large investment in the ownership, operation and maintenance of RAC equipment. It also points to the fundamental interdependence of much of our modern world on the art and science of refrigeration and air conditioning. </w:t>
      </w:r>
    </w:p>
    <w:p w14:paraId="353798D2" w14:textId="6A715676" w:rsidR="004808F3" w:rsidRPr="004808F3" w:rsidRDefault="004808F3" w:rsidP="004808F3">
      <w:pPr>
        <w:rPr>
          <w:szCs w:val="22"/>
        </w:rPr>
      </w:pPr>
      <w:r w:rsidRPr="004808F3">
        <w:rPr>
          <w:szCs w:val="22"/>
        </w:rPr>
        <w:t>What is not well known are the number people employed in this industry, developing and maintaining this substantial investment</w:t>
      </w:r>
      <w:r w:rsidR="00183AE9">
        <w:rPr>
          <w:szCs w:val="22"/>
        </w:rPr>
        <w:t xml:space="preserve">. </w:t>
      </w:r>
    </w:p>
    <w:p w14:paraId="30EE8FD3" w14:textId="26E17A32" w:rsidR="004808F3" w:rsidRPr="004808F3" w:rsidRDefault="004808F3" w:rsidP="004808F3">
      <w:pPr>
        <w:rPr>
          <w:szCs w:val="22"/>
        </w:rPr>
      </w:pPr>
      <w:r w:rsidRPr="004808F3">
        <w:rPr>
          <w:szCs w:val="22"/>
        </w:rPr>
        <w:t>A review of the data available from the last census, and other collections of the Australian Bureau of Statistics</w:t>
      </w:r>
      <w:r w:rsidR="00FF3075">
        <w:rPr>
          <w:szCs w:val="22"/>
        </w:rPr>
        <w:t xml:space="preserve"> (ABS)</w:t>
      </w:r>
      <w:r w:rsidRPr="004808F3">
        <w:rPr>
          <w:szCs w:val="22"/>
        </w:rPr>
        <w:t>, produced results that seemed to generally align with other data that the RAC  industry itself could provide regarding the number of licences issued by the Australian Refrigeration Council for handling refrigerant gas.</w:t>
      </w:r>
    </w:p>
    <w:p w14:paraId="4B105BD5" w14:textId="0B424FE5" w:rsidR="004808F3" w:rsidRPr="004808F3" w:rsidRDefault="004808F3" w:rsidP="004808F3">
      <w:pPr>
        <w:rPr>
          <w:szCs w:val="22"/>
        </w:rPr>
      </w:pPr>
      <w:r w:rsidRPr="004808F3">
        <w:rPr>
          <w:szCs w:val="22"/>
        </w:rPr>
        <w:t>The total number of refrigerant handling licences that are on issue are known, including the classes of lice</w:t>
      </w:r>
      <w:r>
        <w:rPr>
          <w:szCs w:val="22"/>
        </w:rPr>
        <w:t xml:space="preserve">nces held as set out in </w:t>
      </w:r>
      <w:r w:rsidRPr="004808F3">
        <w:rPr>
          <w:i/>
          <w:szCs w:val="22"/>
        </w:rPr>
        <w:t>Table 24</w:t>
      </w:r>
      <w:r w:rsidRPr="004808F3">
        <w:rPr>
          <w:szCs w:val="22"/>
        </w:rPr>
        <w:t xml:space="preserve">. </w:t>
      </w:r>
    </w:p>
    <w:p w14:paraId="6E60785F" w14:textId="77777777" w:rsidR="00E04B64" w:rsidRDefault="00E04B64" w:rsidP="003937A5">
      <w:pPr>
        <w:rPr>
          <w:szCs w:val="22"/>
        </w:rPr>
      </w:pPr>
    </w:p>
    <w:p w14:paraId="2513EA74" w14:textId="1090632C" w:rsidR="009503E6" w:rsidRPr="000226CB" w:rsidRDefault="009503E6" w:rsidP="009503E6">
      <w:pPr>
        <w:rPr>
          <w:i/>
          <w:szCs w:val="22"/>
        </w:rPr>
      </w:pPr>
      <w:bookmarkStart w:id="85" w:name="_Toc233084068"/>
      <w:r w:rsidRPr="000226CB">
        <w:rPr>
          <w:i/>
          <w:szCs w:val="22"/>
        </w:rPr>
        <w:t xml:space="preserve">Table </w:t>
      </w:r>
      <w:r w:rsidRPr="000226CB">
        <w:rPr>
          <w:i/>
          <w:szCs w:val="22"/>
        </w:rPr>
        <w:fldChar w:fldCharType="begin"/>
      </w:r>
      <w:r w:rsidRPr="000226CB">
        <w:rPr>
          <w:i/>
          <w:szCs w:val="22"/>
        </w:rPr>
        <w:instrText xml:space="preserve"> SEQ Table \* ARABIC </w:instrText>
      </w:r>
      <w:r w:rsidRPr="000226CB">
        <w:rPr>
          <w:i/>
          <w:szCs w:val="22"/>
        </w:rPr>
        <w:fldChar w:fldCharType="separate"/>
      </w:r>
      <w:r w:rsidR="00196462">
        <w:rPr>
          <w:i/>
          <w:noProof/>
          <w:szCs w:val="22"/>
        </w:rPr>
        <w:t>24</w:t>
      </w:r>
      <w:r w:rsidRPr="000226CB">
        <w:rPr>
          <w:i/>
          <w:szCs w:val="22"/>
        </w:rPr>
        <w:fldChar w:fldCharType="end"/>
      </w:r>
      <w:r w:rsidRPr="000226CB">
        <w:rPr>
          <w:i/>
          <w:szCs w:val="22"/>
        </w:rPr>
        <w:t xml:space="preserve">: </w:t>
      </w:r>
      <w:r>
        <w:rPr>
          <w:i/>
          <w:szCs w:val="22"/>
        </w:rPr>
        <w:t>Number of r</w:t>
      </w:r>
      <w:r w:rsidRPr="009503E6">
        <w:rPr>
          <w:i/>
          <w:szCs w:val="22"/>
        </w:rPr>
        <w:t xml:space="preserve">efrigerant handling licences by </w:t>
      </w:r>
      <w:r w:rsidR="00FF3075">
        <w:rPr>
          <w:i/>
          <w:szCs w:val="22"/>
        </w:rPr>
        <w:t>type</w:t>
      </w:r>
      <w:bookmarkEnd w:id="8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2353"/>
      </w:tblGrid>
      <w:tr w:rsidR="009503E6" w:rsidRPr="00923150" w14:paraId="5288907C" w14:textId="77777777" w:rsidTr="00CF6747">
        <w:trPr>
          <w:trHeight w:val="684"/>
        </w:trPr>
        <w:tc>
          <w:tcPr>
            <w:tcW w:w="4111" w:type="dxa"/>
            <w:tcBorders>
              <w:top w:val="single" w:sz="8" w:space="0" w:color="auto"/>
              <w:left w:val="single" w:sz="8" w:space="0" w:color="auto"/>
              <w:bottom w:val="single" w:sz="8" w:space="0" w:color="auto"/>
              <w:right w:val="single" w:sz="4" w:space="0" w:color="FFFFFF"/>
            </w:tcBorders>
            <w:shd w:val="clear" w:color="auto" w:fill="000000"/>
            <w:vAlign w:val="center"/>
          </w:tcPr>
          <w:p w14:paraId="08162A6D" w14:textId="38A51910" w:rsidR="009503E6" w:rsidRPr="00923150" w:rsidRDefault="009503E6" w:rsidP="00925DF3">
            <w:pPr>
              <w:spacing w:after="120"/>
              <w:ind w:left="34"/>
              <w:jc w:val="left"/>
            </w:pPr>
            <w:r w:rsidRPr="00957119">
              <w:t>Licence type</w:t>
            </w:r>
          </w:p>
        </w:tc>
        <w:tc>
          <w:tcPr>
            <w:tcW w:w="2353" w:type="dxa"/>
            <w:tcBorders>
              <w:top w:val="single" w:sz="8" w:space="0" w:color="auto"/>
              <w:left w:val="single" w:sz="4" w:space="0" w:color="FFFFFF"/>
              <w:bottom w:val="single" w:sz="8" w:space="0" w:color="auto"/>
              <w:right w:val="single" w:sz="8" w:space="0" w:color="auto"/>
            </w:tcBorders>
            <w:shd w:val="clear" w:color="auto" w:fill="000000"/>
            <w:vAlign w:val="center"/>
          </w:tcPr>
          <w:p w14:paraId="5566599C" w14:textId="2448B324" w:rsidR="009503E6" w:rsidRPr="00923150" w:rsidRDefault="009503E6" w:rsidP="009503E6">
            <w:pPr>
              <w:spacing w:after="120"/>
              <w:jc w:val="center"/>
            </w:pPr>
            <w:r w:rsidRPr="00957119">
              <w:t xml:space="preserve">Number issued </w:t>
            </w:r>
          </w:p>
        </w:tc>
      </w:tr>
      <w:tr w:rsidR="009503E6" w:rsidRPr="00923150" w14:paraId="3ACF73CC" w14:textId="77777777" w:rsidTr="009503E6">
        <w:trPr>
          <w:trHeight w:val="456"/>
        </w:trPr>
        <w:tc>
          <w:tcPr>
            <w:tcW w:w="4111" w:type="dxa"/>
            <w:vAlign w:val="center"/>
          </w:tcPr>
          <w:p w14:paraId="5C1BC494" w14:textId="00BC36BC" w:rsidR="009503E6" w:rsidRPr="00876FAE" w:rsidRDefault="009503E6" w:rsidP="00925DF3">
            <w:pPr>
              <w:spacing w:before="60" w:after="60"/>
              <w:ind w:left="34"/>
              <w:jc w:val="left"/>
            </w:pPr>
            <w:r w:rsidRPr="00C179F1">
              <w:t>Automotive air conditioning</w:t>
            </w:r>
          </w:p>
        </w:tc>
        <w:tc>
          <w:tcPr>
            <w:tcW w:w="2353" w:type="dxa"/>
            <w:vAlign w:val="center"/>
          </w:tcPr>
          <w:p w14:paraId="3051524F" w14:textId="5D06B7FD" w:rsidR="009503E6" w:rsidRPr="00876FAE" w:rsidRDefault="009503E6" w:rsidP="00925DF3">
            <w:pPr>
              <w:spacing w:before="60" w:after="60"/>
              <w:jc w:val="center"/>
            </w:pPr>
            <w:r w:rsidRPr="00C179F1">
              <w:t>24,315</w:t>
            </w:r>
          </w:p>
        </w:tc>
      </w:tr>
      <w:tr w:rsidR="009503E6" w:rsidRPr="00923150" w14:paraId="68CC82C7" w14:textId="77777777" w:rsidTr="009503E6">
        <w:trPr>
          <w:trHeight w:val="456"/>
        </w:trPr>
        <w:tc>
          <w:tcPr>
            <w:tcW w:w="4111" w:type="dxa"/>
            <w:vAlign w:val="center"/>
          </w:tcPr>
          <w:p w14:paraId="45921CE7" w14:textId="65CD4471" w:rsidR="009503E6" w:rsidRPr="00521292" w:rsidRDefault="009503E6" w:rsidP="00925DF3">
            <w:pPr>
              <w:spacing w:before="60" w:after="60"/>
              <w:ind w:left="34"/>
              <w:jc w:val="left"/>
            </w:pPr>
            <w:r w:rsidRPr="00C179F1">
              <w:t>Aviation</w:t>
            </w:r>
          </w:p>
        </w:tc>
        <w:tc>
          <w:tcPr>
            <w:tcW w:w="2353" w:type="dxa"/>
            <w:vAlign w:val="center"/>
          </w:tcPr>
          <w:p w14:paraId="116B9F57" w14:textId="0EC79399" w:rsidR="009503E6" w:rsidRPr="00B75B79" w:rsidRDefault="009503E6" w:rsidP="00925DF3">
            <w:pPr>
              <w:spacing w:before="60" w:after="60"/>
              <w:jc w:val="center"/>
            </w:pPr>
            <w:r w:rsidRPr="00C179F1">
              <w:t>122</w:t>
            </w:r>
          </w:p>
        </w:tc>
      </w:tr>
      <w:tr w:rsidR="009503E6" w:rsidRPr="00923150" w14:paraId="7C05E36C" w14:textId="77777777" w:rsidTr="009503E6">
        <w:trPr>
          <w:trHeight w:val="456"/>
        </w:trPr>
        <w:tc>
          <w:tcPr>
            <w:tcW w:w="4111" w:type="dxa"/>
            <w:vAlign w:val="center"/>
          </w:tcPr>
          <w:p w14:paraId="75A65C3A" w14:textId="00E3B97F" w:rsidR="009503E6" w:rsidRPr="00521292" w:rsidRDefault="009503E6" w:rsidP="00925DF3">
            <w:pPr>
              <w:spacing w:before="60" w:after="60"/>
              <w:ind w:left="34"/>
              <w:jc w:val="left"/>
            </w:pPr>
            <w:r w:rsidRPr="00C179F1">
              <w:lastRenderedPageBreak/>
              <w:t>Domestic RAC</w:t>
            </w:r>
          </w:p>
        </w:tc>
        <w:tc>
          <w:tcPr>
            <w:tcW w:w="2353" w:type="dxa"/>
            <w:vAlign w:val="center"/>
          </w:tcPr>
          <w:p w14:paraId="0A2D042D" w14:textId="3B4FE9A5" w:rsidR="009503E6" w:rsidRPr="00B75B79" w:rsidRDefault="009503E6" w:rsidP="00925DF3">
            <w:pPr>
              <w:spacing w:before="60" w:after="60"/>
              <w:jc w:val="center"/>
            </w:pPr>
            <w:r w:rsidRPr="00C179F1">
              <w:t>387</w:t>
            </w:r>
          </w:p>
        </w:tc>
      </w:tr>
      <w:tr w:rsidR="009503E6" w:rsidRPr="00923150" w14:paraId="461E82EC" w14:textId="77777777" w:rsidTr="009503E6">
        <w:trPr>
          <w:trHeight w:val="456"/>
        </w:trPr>
        <w:tc>
          <w:tcPr>
            <w:tcW w:w="4111" w:type="dxa"/>
            <w:vAlign w:val="center"/>
          </w:tcPr>
          <w:p w14:paraId="69471DA1" w14:textId="03C334BD" w:rsidR="009503E6" w:rsidRPr="00521292" w:rsidRDefault="009503E6" w:rsidP="00925DF3">
            <w:pPr>
              <w:spacing w:before="60" w:after="60"/>
              <w:ind w:left="34"/>
              <w:jc w:val="left"/>
            </w:pPr>
            <w:r w:rsidRPr="00C179F1">
              <w:t>Marine</w:t>
            </w:r>
          </w:p>
        </w:tc>
        <w:tc>
          <w:tcPr>
            <w:tcW w:w="2353" w:type="dxa"/>
            <w:vAlign w:val="center"/>
          </w:tcPr>
          <w:p w14:paraId="6848A63E" w14:textId="72CAF4C6" w:rsidR="009503E6" w:rsidRPr="00B75B79" w:rsidRDefault="009503E6" w:rsidP="00925DF3">
            <w:pPr>
              <w:spacing w:before="60" w:after="60"/>
              <w:jc w:val="center"/>
            </w:pPr>
            <w:r w:rsidRPr="00C179F1">
              <w:t>241</w:t>
            </w:r>
          </w:p>
        </w:tc>
      </w:tr>
      <w:tr w:rsidR="009503E6" w:rsidRPr="00923150" w14:paraId="3AE65DFD" w14:textId="77777777" w:rsidTr="009503E6">
        <w:trPr>
          <w:trHeight w:val="456"/>
        </w:trPr>
        <w:tc>
          <w:tcPr>
            <w:tcW w:w="4111" w:type="dxa"/>
            <w:vAlign w:val="center"/>
          </w:tcPr>
          <w:p w14:paraId="4F4119C6" w14:textId="6F1D4005" w:rsidR="009503E6" w:rsidRPr="00521292" w:rsidRDefault="009503E6" w:rsidP="00925DF3">
            <w:pPr>
              <w:spacing w:before="60" w:after="60"/>
              <w:ind w:left="34"/>
              <w:jc w:val="left"/>
            </w:pPr>
            <w:r w:rsidRPr="00C179F1">
              <w:t xml:space="preserve">Commercial refrigeration </w:t>
            </w:r>
          </w:p>
        </w:tc>
        <w:tc>
          <w:tcPr>
            <w:tcW w:w="2353" w:type="dxa"/>
            <w:vAlign w:val="center"/>
          </w:tcPr>
          <w:p w14:paraId="0F86A14A" w14:textId="502DF5D4" w:rsidR="009503E6" w:rsidRPr="00B75B79" w:rsidRDefault="009503E6" w:rsidP="00925DF3">
            <w:pPr>
              <w:spacing w:before="60" w:after="60"/>
              <w:jc w:val="center"/>
            </w:pPr>
            <w:r w:rsidRPr="00C179F1">
              <w:t>5,244</w:t>
            </w:r>
          </w:p>
        </w:tc>
      </w:tr>
      <w:tr w:rsidR="009503E6" w:rsidRPr="00923150" w14:paraId="6F6E6E0A" w14:textId="77777777" w:rsidTr="009503E6">
        <w:trPr>
          <w:trHeight w:val="456"/>
        </w:trPr>
        <w:tc>
          <w:tcPr>
            <w:tcW w:w="4111" w:type="dxa"/>
            <w:vAlign w:val="center"/>
          </w:tcPr>
          <w:p w14:paraId="652D182A" w14:textId="0E3CA328" w:rsidR="009503E6" w:rsidRPr="00521292" w:rsidRDefault="009503E6" w:rsidP="00925DF3">
            <w:pPr>
              <w:spacing w:before="60" w:after="60"/>
              <w:ind w:left="34"/>
              <w:jc w:val="left"/>
            </w:pPr>
            <w:r w:rsidRPr="00C179F1">
              <w:t>Light commercial (incl. large residential) and chillers</w:t>
            </w:r>
          </w:p>
        </w:tc>
        <w:tc>
          <w:tcPr>
            <w:tcW w:w="2353" w:type="dxa"/>
            <w:vAlign w:val="center"/>
          </w:tcPr>
          <w:p w14:paraId="0E04F66D" w14:textId="474BE08A" w:rsidR="009503E6" w:rsidRPr="00B75B79" w:rsidRDefault="009503E6" w:rsidP="00925DF3">
            <w:pPr>
              <w:spacing w:before="60" w:after="60"/>
              <w:jc w:val="center"/>
            </w:pPr>
            <w:r w:rsidRPr="00C179F1">
              <w:t>15,731</w:t>
            </w:r>
          </w:p>
        </w:tc>
      </w:tr>
      <w:tr w:rsidR="009503E6" w:rsidRPr="00923150" w14:paraId="62E03E0B" w14:textId="77777777" w:rsidTr="009503E6">
        <w:trPr>
          <w:trHeight w:val="456"/>
        </w:trPr>
        <w:tc>
          <w:tcPr>
            <w:tcW w:w="4111" w:type="dxa"/>
            <w:vAlign w:val="center"/>
          </w:tcPr>
          <w:p w14:paraId="439A1D72" w14:textId="10DE3BCD" w:rsidR="009503E6" w:rsidRPr="00876FAE" w:rsidRDefault="009503E6" w:rsidP="00925DF3">
            <w:pPr>
              <w:spacing w:before="60" w:after="60"/>
              <w:ind w:left="34"/>
              <w:jc w:val="left"/>
            </w:pPr>
            <w:r w:rsidRPr="00C179F1">
              <w:t>Split systems (up to 18kWr)</w:t>
            </w:r>
          </w:p>
        </w:tc>
        <w:tc>
          <w:tcPr>
            <w:tcW w:w="2353" w:type="dxa"/>
            <w:vAlign w:val="center"/>
          </w:tcPr>
          <w:p w14:paraId="0A686B12" w14:textId="444E46A2" w:rsidR="009503E6" w:rsidRPr="00876FAE" w:rsidRDefault="009503E6" w:rsidP="00925DF3">
            <w:pPr>
              <w:spacing w:before="60" w:after="60"/>
              <w:jc w:val="center"/>
            </w:pPr>
            <w:r w:rsidRPr="00C179F1">
              <w:t>7,443</w:t>
            </w:r>
          </w:p>
        </w:tc>
      </w:tr>
      <w:tr w:rsidR="009503E6" w:rsidRPr="00923150" w14:paraId="5A0C91D2" w14:textId="77777777" w:rsidTr="009503E6">
        <w:trPr>
          <w:trHeight w:val="456"/>
        </w:trPr>
        <w:tc>
          <w:tcPr>
            <w:tcW w:w="4111" w:type="dxa"/>
            <w:vAlign w:val="center"/>
          </w:tcPr>
          <w:p w14:paraId="4FB92827" w14:textId="216F97FD" w:rsidR="009503E6" w:rsidRPr="00876FAE" w:rsidRDefault="009503E6" w:rsidP="00925DF3">
            <w:pPr>
              <w:spacing w:before="60" w:after="60"/>
              <w:ind w:left="34"/>
              <w:jc w:val="left"/>
            </w:pPr>
            <w:r w:rsidRPr="00C179F1">
              <w:t>Refrigerant handler</w:t>
            </w:r>
          </w:p>
        </w:tc>
        <w:tc>
          <w:tcPr>
            <w:tcW w:w="2353" w:type="dxa"/>
            <w:vAlign w:val="center"/>
          </w:tcPr>
          <w:p w14:paraId="0D463930" w14:textId="50128F87" w:rsidR="009503E6" w:rsidRPr="00876FAE" w:rsidRDefault="009503E6" w:rsidP="00925DF3">
            <w:pPr>
              <w:spacing w:before="60" w:after="60"/>
              <w:jc w:val="center"/>
            </w:pPr>
            <w:r w:rsidRPr="00C179F1">
              <w:t>267</w:t>
            </w:r>
          </w:p>
        </w:tc>
      </w:tr>
      <w:tr w:rsidR="009503E6" w:rsidRPr="00923150" w14:paraId="60573745" w14:textId="77777777" w:rsidTr="009503E6">
        <w:trPr>
          <w:trHeight w:val="456"/>
        </w:trPr>
        <w:tc>
          <w:tcPr>
            <w:tcW w:w="4111" w:type="dxa"/>
            <w:vAlign w:val="center"/>
          </w:tcPr>
          <w:p w14:paraId="2F4305A6" w14:textId="227878F7" w:rsidR="009503E6" w:rsidRDefault="009503E6" w:rsidP="00925DF3">
            <w:pPr>
              <w:spacing w:before="60" w:after="60"/>
              <w:ind w:left="34"/>
              <w:jc w:val="left"/>
              <w:rPr>
                <w:sz w:val="20"/>
              </w:rPr>
            </w:pPr>
            <w:r w:rsidRPr="00C179F1">
              <w:t>Refrigerant recoverer</w:t>
            </w:r>
          </w:p>
        </w:tc>
        <w:tc>
          <w:tcPr>
            <w:tcW w:w="2353" w:type="dxa"/>
            <w:vAlign w:val="center"/>
          </w:tcPr>
          <w:p w14:paraId="393C7B69" w14:textId="694555DA" w:rsidR="009503E6" w:rsidRDefault="009503E6" w:rsidP="00925DF3">
            <w:pPr>
              <w:spacing w:before="60" w:after="60"/>
              <w:jc w:val="center"/>
              <w:rPr>
                <w:sz w:val="20"/>
              </w:rPr>
            </w:pPr>
            <w:r w:rsidRPr="00C179F1">
              <w:t>231</w:t>
            </w:r>
          </w:p>
        </w:tc>
      </w:tr>
      <w:tr w:rsidR="009503E6" w:rsidRPr="00923150" w14:paraId="35ED1F6B" w14:textId="77777777" w:rsidTr="009503E6">
        <w:trPr>
          <w:trHeight w:val="456"/>
        </w:trPr>
        <w:tc>
          <w:tcPr>
            <w:tcW w:w="4111" w:type="dxa"/>
            <w:vAlign w:val="center"/>
          </w:tcPr>
          <w:p w14:paraId="0CF040E4" w14:textId="0085F8EE" w:rsidR="009503E6" w:rsidRDefault="009503E6" w:rsidP="00925DF3">
            <w:pPr>
              <w:spacing w:before="60" w:after="60"/>
              <w:ind w:left="34"/>
              <w:jc w:val="left"/>
              <w:rPr>
                <w:sz w:val="20"/>
              </w:rPr>
            </w:pPr>
            <w:r w:rsidRPr="00C179F1">
              <w:t>Transport refrigeration</w:t>
            </w:r>
          </w:p>
        </w:tc>
        <w:tc>
          <w:tcPr>
            <w:tcW w:w="2353" w:type="dxa"/>
            <w:vAlign w:val="center"/>
          </w:tcPr>
          <w:p w14:paraId="77F610BD" w14:textId="00B9024F" w:rsidR="009503E6" w:rsidRDefault="009503E6" w:rsidP="00925DF3">
            <w:pPr>
              <w:spacing w:before="60" w:after="60"/>
              <w:jc w:val="center"/>
              <w:rPr>
                <w:sz w:val="20"/>
              </w:rPr>
            </w:pPr>
            <w:r w:rsidRPr="00C179F1">
              <w:t>121</w:t>
            </w:r>
          </w:p>
        </w:tc>
      </w:tr>
      <w:tr w:rsidR="009503E6" w:rsidRPr="00923150" w14:paraId="15C2927C" w14:textId="77777777" w:rsidTr="009503E6">
        <w:trPr>
          <w:trHeight w:val="456"/>
        </w:trPr>
        <w:tc>
          <w:tcPr>
            <w:tcW w:w="4111" w:type="dxa"/>
            <w:tcBorders>
              <w:top w:val="double" w:sz="4" w:space="0" w:color="auto"/>
            </w:tcBorders>
            <w:vAlign w:val="center"/>
          </w:tcPr>
          <w:p w14:paraId="64DB0FFB" w14:textId="5B40458D" w:rsidR="009503E6" w:rsidRDefault="009503E6" w:rsidP="009503E6">
            <w:pPr>
              <w:spacing w:before="60" w:after="60"/>
              <w:ind w:left="34"/>
              <w:jc w:val="left"/>
              <w:rPr>
                <w:sz w:val="20"/>
              </w:rPr>
            </w:pPr>
            <w:r w:rsidRPr="00C179F1">
              <w:t xml:space="preserve">Total </w:t>
            </w:r>
            <w:r>
              <w:t>l</w:t>
            </w:r>
            <w:r w:rsidRPr="00C179F1">
              <w:t>icences</w:t>
            </w:r>
          </w:p>
        </w:tc>
        <w:tc>
          <w:tcPr>
            <w:tcW w:w="2353" w:type="dxa"/>
            <w:tcBorders>
              <w:top w:val="double" w:sz="4" w:space="0" w:color="auto"/>
            </w:tcBorders>
            <w:vAlign w:val="center"/>
          </w:tcPr>
          <w:p w14:paraId="4300EE4B" w14:textId="6D1EC2D8" w:rsidR="009503E6" w:rsidRDefault="009503E6" w:rsidP="009503E6">
            <w:pPr>
              <w:spacing w:before="60" w:after="60"/>
              <w:jc w:val="center"/>
              <w:rPr>
                <w:sz w:val="20"/>
              </w:rPr>
            </w:pPr>
            <w:r w:rsidRPr="00C179F1">
              <w:t>54,</w:t>
            </w:r>
            <w:r>
              <w:t>102</w:t>
            </w:r>
          </w:p>
        </w:tc>
      </w:tr>
    </w:tbl>
    <w:p w14:paraId="4F5A8209" w14:textId="0E395A4A" w:rsidR="00FB1B3B" w:rsidRPr="005F51BB" w:rsidRDefault="00FB1B3B" w:rsidP="00FB1B3B">
      <w:pPr>
        <w:spacing w:before="0"/>
        <w:rPr>
          <w:sz w:val="20"/>
          <w:szCs w:val="20"/>
        </w:rPr>
      </w:pPr>
      <w:r w:rsidRPr="005F51BB">
        <w:rPr>
          <w:sz w:val="20"/>
          <w:szCs w:val="20"/>
        </w:rPr>
        <w:t xml:space="preserve">(Source: </w:t>
      </w:r>
      <w:r w:rsidRPr="00FB1B3B">
        <w:rPr>
          <w:sz w:val="20"/>
          <w:szCs w:val="20"/>
        </w:rPr>
        <w:t>ARCtick</w:t>
      </w:r>
      <w:r w:rsidR="00FF3075">
        <w:rPr>
          <w:sz w:val="20"/>
          <w:szCs w:val="20"/>
        </w:rPr>
        <w:t>, March</w:t>
      </w:r>
      <w:r w:rsidRPr="00FB1B3B">
        <w:rPr>
          <w:sz w:val="20"/>
          <w:szCs w:val="20"/>
        </w:rPr>
        <w:t xml:space="preserve"> 2013</w:t>
      </w:r>
      <w:r w:rsidRPr="005F51BB">
        <w:rPr>
          <w:sz w:val="20"/>
          <w:szCs w:val="20"/>
        </w:rPr>
        <w:t>)</w:t>
      </w:r>
    </w:p>
    <w:p w14:paraId="57F05056" w14:textId="77777777" w:rsidR="00367F59" w:rsidRPr="00367F59" w:rsidRDefault="00367F59" w:rsidP="00367F59">
      <w:pPr>
        <w:spacing w:before="240"/>
        <w:rPr>
          <w:szCs w:val="22"/>
        </w:rPr>
      </w:pPr>
      <w:r w:rsidRPr="00367F59">
        <w:rPr>
          <w:szCs w:val="22"/>
        </w:rPr>
        <w:t>Searching the ABS database using the ANZSCO employment code for “air conditioning” produces a range of occupations, including:</w:t>
      </w:r>
    </w:p>
    <w:p w14:paraId="3946C5E4" w14:textId="65641A7A" w:rsidR="00367F59" w:rsidRPr="00367F59" w:rsidRDefault="00367F59" w:rsidP="00D05A74">
      <w:pPr>
        <w:pStyle w:val="ListParagraph"/>
        <w:numPr>
          <w:ilvl w:val="0"/>
          <w:numId w:val="21"/>
        </w:numPr>
        <w:spacing w:before="120" w:after="0" w:line="240" w:lineRule="auto"/>
        <w:ind w:left="357" w:hanging="357"/>
        <w:contextualSpacing w:val="0"/>
        <w:rPr>
          <w:rFonts w:ascii="Times New Roman" w:hAnsi="Times New Roman"/>
        </w:rPr>
      </w:pPr>
      <w:r w:rsidRPr="00367F59">
        <w:rPr>
          <w:rFonts w:ascii="Times New Roman" w:hAnsi="Times New Roman"/>
        </w:rPr>
        <w:t>233512 Mechanical Engineer, which includes the specialisations of Air conditioning Engineer and Heating and Ventilation Engineer</w:t>
      </w:r>
    </w:p>
    <w:p w14:paraId="6B227CB7" w14:textId="77D87ABC" w:rsidR="00367F59" w:rsidRPr="00367F59" w:rsidRDefault="00367F59" w:rsidP="00D05A74">
      <w:pPr>
        <w:pStyle w:val="ListParagraph"/>
        <w:numPr>
          <w:ilvl w:val="0"/>
          <w:numId w:val="21"/>
        </w:numPr>
        <w:spacing w:before="120" w:after="0" w:line="240" w:lineRule="auto"/>
        <w:ind w:left="357" w:hanging="357"/>
        <w:contextualSpacing w:val="0"/>
        <w:rPr>
          <w:rFonts w:ascii="Times New Roman" w:hAnsi="Times New Roman"/>
        </w:rPr>
      </w:pPr>
      <w:r w:rsidRPr="00367F59">
        <w:rPr>
          <w:rFonts w:ascii="Times New Roman" w:hAnsi="Times New Roman"/>
        </w:rPr>
        <w:t>312511 Mechanical Engineering Draftsperson, which includes the specialisations of, Air conditioning Drafting Officer, Heating and Ventilating Technical Officer, Tool Design Draftsperson, Tool Designer</w:t>
      </w:r>
    </w:p>
    <w:p w14:paraId="25175DDC" w14:textId="6B699C5D" w:rsidR="00367F59" w:rsidRPr="00367F59" w:rsidRDefault="00367F59" w:rsidP="00D05A74">
      <w:pPr>
        <w:pStyle w:val="ListParagraph"/>
        <w:numPr>
          <w:ilvl w:val="0"/>
          <w:numId w:val="21"/>
        </w:numPr>
        <w:spacing w:before="120" w:after="0" w:line="240" w:lineRule="auto"/>
        <w:ind w:left="357" w:hanging="357"/>
        <w:contextualSpacing w:val="0"/>
        <w:rPr>
          <w:rFonts w:ascii="Times New Roman" w:hAnsi="Times New Roman"/>
        </w:rPr>
      </w:pPr>
      <w:r w:rsidRPr="00367F59">
        <w:rPr>
          <w:rFonts w:ascii="Times New Roman" w:hAnsi="Times New Roman"/>
        </w:rPr>
        <w:t>321211 Motor Mechanic (General) which includes the specialisation of “Automotive Air conditioning Mechanic”</w:t>
      </w:r>
    </w:p>
    <w:p w14:paraId="0C7891A0" w14:textId="08679701" w:rsidR="00367F59" w:rsidRPr="00367F59" w:rsidRDefault="00367F59" w:rsidP="00D05A74">
      <w:pPr>
        <w:pStyle w:val="ListParagraph"/>
        <w:numPr>
          <w:ilvl w:val="0"/>
          <w:numId w:val="21"/>
        </w:numPr>
        <w:spacing w:before="120" w:after="0" w:line="240" w:lineRule="auto"/>
        <w:ind w:left="357" w:hanging="357"/>
        <w:contextualSpacing w:val="0"/>
        <w:rPr>
          <w:rFonts w:ascii="Times New Roman" w:hAnsi="Times New Roman"/>
        </w:rPr>
      </w:pPr>
      <w:r w:rsidRPr="00367F59">
        <w:rPr>
          <w:rFonts w:ascii="Times New Roman" w:hAnsi="Times New Roman"/>
        </w:rPr>
        <w:t>334112 Air conditioning and Mechanical Services Plumber</w:t>
      </w:r>
    </w:p>
    <w:p w14:paraId="08774C4B" w14:textId="4218B13D" w:rsidR="00367F59" w:rsidRPr="00367F59" w:rsidRDefault="00367F59" w:rsidP="00D05A74">
      <w:pPr>
        <w:pStyle w:val="ListParagraph"/>
        <w:numPr>
          <w:ilvl w:val="0"/>
          <w:numId w:val="21"/>
        </w:numPr>
        <w:spacing w:before="120" w:after="0" w:line="240" w:lineRule="auto"/>
        <w:ind w:left="357" w:hanging="357"/>
        <w:contextualSpacing w:val="0"/>
        <w:rPr>
          <w:rFonts w:ascii="Times New Roman" w:hAnsi="Times New Roman"/>
        </w:rPr>
      </w:pPr>
      <w:r w:rsidRPr="00367F59">
        <w:rPr>
          <w:rFonts w:ascii="Times New Roman" w:hAnsi="Times New Roman"/>
        </w:rPr>
        <w:t>342111 Air conditioning and Refrigeration Mechanic</w:t>
      </w:r>
    </w:p>
    <w:p w14:paraId="63B69051" w14:textId="1773F734" w:rsidR="00367F59" w:rsidRPr="00367F59" w:rsidRDefault="00367F59" w:rsidP="00367F59">
      <w:pPr>
        <w:rPr>
          <w:szCs w:val="22"/>
        </w:rPr>
      </w:pPr>
      <w:r w:rsidRPr="00367F59">
        <w:rPr>
          <w:szCs w:val="22"/>
        </w:rPr>
        <w:t xml:space="preserve">The numbers of persons reporting their occupation against these classifications is listed in </w:t>
      </w:r>
      <w:r w:rsidRPr="00367F59">
        <w:rPr>
          <w:i/>
          <w:szCs w:val="22"/>
        </w:rPr>
        <w:t>Table 25</w:t>
      </w:r>
      <w:r w:rsidRPr="00367F59">
        <w:rPr>
          <w:szCs w:val="22"/>
        </w:rPr>
        <w:t>.</w:t>
      </w:r>
    </w:p>
    <w:p w14:paraId="57CE3D44" w14:textId="77777777" w:rsidR="001343DE" w:rsidRDefault="001343DE">
      <w:pPr>
        <w:spacing w:before="0"/>
        <w:jc w:val="left"/>
        <w:rPr>
          <w:szCs w:val="22"/>
        </w:rPr>
      </w:pPr>
    </w:p>
    <w:p w14:paraId="469D12CF" w14:textId="688FAAF5" w:rsidR="009F2F54" w:rsidRPr="005D159D" w:rsidRDefault="009F2F54" w:rsidP="009F2F54">
      <w:pPr>
        <w:rPr>
          <w:i/>
          <w:szCs w:val="22"/>
        </w:rPr>
      </w:pPr>
      <w:bookmarkStart w:id="86" w:name="_Toc233084069"/>
      <w:r w:rsidRPr="005D159D">
        <w:rPr>
          <w:i/>
          <w:szCs w:val="22"/>
        </w:rPr>
        <w:t xml:space="preserve">Table </w:t>
      </w:r>
      <w:r w:rsidRPr="005D159D">
        <w:rPr>
          <w:i/>
          <w:szCs w:val="22"/>
        </w:rPr>
        <w:fldChar w:fldCharType="begin"/>
      </w:r>
      <w:r w:rsidRPr="005D159D">
        <w:rPr>
          <w:i/>
          <w:szCs w:val="22"/>
        </w:rPr>
        <w:instrText xml:space="preserve"> SEQ Table \* ARABIC </w:instrText>
      </w:r>
      <w:r w:rsidRPr="005D159D">
        <w:rPr>
          <w:i/>
          <w:szCs w:val="22"/>
        </w:rPr>
        <w:fldChar w:fldCharType="separate"/>
      </w:r>
      <w:r w:rsidR="00196462">
        <w:rPr>
          <w:i/>
          <w:noProof/>
          <w:szCs w:val="22"/>
        </w:rPr>
        <w:t>25</w:t>
      </w:r>
      <w:r w:rsidRPr="005D159D">
        <w:rPr>
          <w:i/>
          <w:szCs w:val="22"/>
        </w:rPr>
        <w:fldChar w:fldCharType="end"/>
      </w:r>
      <w:r w:rsidRPr="005D159D">
        <w:rPr>
          <w:i/>
          <w:szCs w:val="22"/>
        </w:rPr>
        <w:t xml:space="preserve">: </w:t>
      </w:r>
      <w:r w:rsidRPr="009F2F54">
        <w:rPr>
          <w:i/>
          <w:szCs w:val="22"/>
        </w:rPr>
        <w:t>Employee numbers in occupations that include air conditioning</w:t>
      </w:r>
      <w:bookmarkEnd w:id="8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1"/>
        <w:gridCol w:w="5222"/>
        <w:gridCol w:w="2542"/>
      </w:tblGrid>
      <w:tr w:rsidR="009F2F54" w:rsidRPr="00923150" w14:paraId="45D2BBB1" w14:textId="77777777" w:rsidTr="00CF6747">
        <w:trPr>
          <w:trHeight w:val="684"/>
        </w:trPr>
        <w:tc>
          <w:tcPr>
            <w:tcW w:w="1843" w:type="dxa"/>
            <w:tcBorders>
              <w:top w:val="single" w:sz="8" w:space="0" w:color="auto"/>
              <w:left w:val="single" w:sz="8" w:space="0" w:color="auto"/>
              <w:bottom w:val="single" w:sz="8" w:space="0" w:color="auto"/>
              <w:right w:val="single" w:sz="4" w:space="0" w:color="FFFFFF"/>
            </w:tcBorders>
            <w:shd w:val="clear" w:color="auto" w:fill="000000"/>
            <w:vAlign w:val="center"/>
          </w:tcPr>
          <w:p w14:paraId="12E77BD9" w14:textId="3CF280CC" w:rsidR="009F2F54" w:rsidRPr="00923150" w:rsidRDefault="009F2F54" w:rsidP="0095043C">
            <w:pPr>
              <w:spacing w:after="120"/>
              <w:ind w:left="284"/>
            </w:pPr>
            <w:r w:rsidRPr="009F2F54">
              <w:t>ANZSCO</w:t>
            </w:r>
            <w:r w:rsidR="0095043C">
              <w:t xml:space="preserve">        6 digit level</w:t>
            </w:r>
          </w:p>
        </w:tc>
        <w:tc>
          <w:tcPr>
            <w:tcW w:w="5245" w:type="dxa"/>
            <w:tcBorders>
              <w:top w:val="single" w:sz="8" w:space="0" w:color="auto"/>
              <w:left w:val="single" w:sz="4" w:space="0" w:color="FFFFFF"/>
              <w:bottom w:val="single" w:sz="8" w:space="0" w:color="auto"/>
              <w:right w:val="single" w:sz="4" w:space="0" w:color="FFFFFF"/>
            </w:tcBorders>
            <w:shd w:val="clear" w:color="auto" w:fill="000000"/>
            <w:vAlign w:val="center"/>
          </w:tcPr>
          <w:p w14:paraId="5586F5D8" w14:textId="0E595426" w:rsidR="009F2F54" w:rsidRPr="00923150" w:rsidRDefault="009F2F54" w:rsidP="009F2F54">
            <w:pPr>
              <w:spacing w:after="120"/>
              <w:jc w:val="left"/>
            </w:pPr>
            <w:r>
              <w:t>Occupation</w:t>
            </w:r>
          </w:p>
        </w:tc>
        <w:tc>
          <w:tcPr>
            <w:tcW w:w="2551" w:type="dxa"/>
            <w:tcBorders>
              <w:top w:val="single" w:sz="8" w:space="0" w:color="auto"/>
              <w:left w:val="single" w:sz="4" w:space="0" w:color="FFFFFF"/>
              <w:bottom w:val="single" w:sz="8" w:space="0" w:color="auto"/>
              <w:right w:val="single" w:sz="8" w:space="0" w:color="auto"/>
            </w:tcBorders>
            <w:shd w:val="clear" w:color="auto" w:fill="000000"/>
            <w:vAlign w:val="center"/>
          </w:tcPr>
          <w:p w14:paraId="35923A48" w14:textId="108EEDF3" w:rsidR="009F2F54" w:rsidRPr="00923150" w:rsidRDefault="009F2F54" w:rsidP="009F2F54">
            <w:pPr>
              <w:spacing w:after="120"/>
              <w:jc w:val="center"/>
            </w:pPr>
            <w:r>
              <w:t>Number employed</w:t>
            </w:r>
          </w:p>
        </w:tc>
      </w:tr>
      <w:tr w:rsidR="009F2F54" w:rsidRPr="00923150" w14:paraId="07B46CEE" w14:textId="77777777" w:rsidTr="009F2F54">
        <w:trPr>
          <w:trHeight w:val="456"/>
        </w:trPr>
        <w:tc>
          <w:tcPr>
            <w:tcW w:w="1843" w:type="dxa"/>
            <w:tcBorders>
              <w:top w:val="single" w:sz="8" w:space="0" w:color="auto"/>
            </w:tcBorders>
            <w:vAlign w:val="center"/>
          </w:tcPr>
          <w:p w14:paraId="40773F7B" w14:textId="4037673A" w:rsidR="009F2F54" w:rsidRPr="00923150" w:rsidRDefault="009F2F54" w:rsidP="009F2F54">
            <w:pPr>
              <w:spacing w:before="60" w:after="60"/>
              <w:ind w:left="284"/>
              <w:rPr>
                <w:sz w:val="20"/>
              </w:rPr>
            </w:pPr>
            <w:r w:rsidRPr="0038249B">
              <w:t>233512</w:t>
            </w:r>
          </w:p>
        </w:tc>
        <w:tc>
          <w:tcPr>
            <w:tcW w:w="5245" w:type="dxa"/>
            <w:tcBorders>
              <w:top w:val="single" w:sz="8" w:space="0" w:color="auto"/>
            </w:tcBorders>
            <w:vAlign w:val="center"/>
          </w:tcPr>
          <w:p w14:paraId="39CB24C8" w14:textId="4FFE3DD5" w:rsidR="009F2F54" w:rsidRPr="008343EF" w:rsidRDefault="009F2F54" w:rsidP="009F2F54">
            <w:pPr>
              <w:spacing w:before="60" w:after="60"/>
              <w:jc w:val="left"/>
              <w:rPr>
                <w:sz w:val="20"/>
              </w:rPr>
            </w:pPr>
            <w:r w:rsidRPr="0038249B">
              <w:t>Mechanical Engineer</w:t>
            </w:r>
          </w:p>
        </w:tc>
        <w:tc>
          <w:tcPr>
            <w:tcW w:w="2551" w:type="dxa"/>
            <w:tcBorders>
              <w:top w:val="single" w:sz="8" w:space="0" w:color="auto"/>
            </w:tcBorders>
            <w:vAlign w:val="center"/>
          </w:tcPr>
          <w:p w14:paraId="414ED0FE" w14:textId="1B87DC6A" w:rsidR="009F2F54" w:rsidRPr="00923150" w:rsidRDefault="009F2F54" w:rsidP="009F2F54">
            <w:pPr>
              <w:spacing w:before="60" w:after="60"/>
              <w:jc w:val="center"/>
              <w:rPr>
                <w:sz w:val="20"/>
              </w:rPr>
            </w:pPr>
            <w:r w:rsidRPr="0038249B">
              <w:t>10</w:t>
            </w:r>
            <w:r>
              <w:t>,</w:t>
            </w:r>
            <w:r w:rsidRPr="0038249B">
              <w:t>189</w:t>
            </w:r>
            <w:r>
              <w:t xml:space="preserve"> </w:t>
            </w:r>
            <w:r w:rsidRPr="00690A68">
              <w:rPr>
                <w:sz w:val="20"/>
                <w:szCs w:val="20"/>
                <w:vertAlign w:val="superscript"/>
              </w:rPr>
              <w:t>(1)</w:t>
            </w:r>
          </w:p>
        </w:tc>
      </w:tr>
      <w:tr w:rsidR="009F2F54" w:rsidRPr="00923150" w14:paraId="03599A6F" w14:textId="77777777" w:rsidTr="009F2F54">
        <w:trPr>
          <w:trHeight w:val="456"/>
        </w:trPr>
        <w:tc>
          <w:tcPr>
            <w:tcW w:w="1843" w:type="dxa"/>
            <w:vAlign w:val="center"/>
          </w:tcPr>
          <w:p w14:paraId="2FC392F8" w14:textId="002EAE17" w:rsidR="009F2F54" w:rsidRDefault="009F2F54" w:rsidP="009F2F54">
            <w:pPr>
              <w:spacing w:before="60" w:after="60"/>
              <w:ind w:left="284"/>
              <w:rPr>
                <w:sz w:val="20"/>
              </w:rPr>
            </w:pPr>
            <w:r w:rsidRPr="0038249B">
              <w:t>312511</w:t>
            </w:r>
          </w:p>
        </w:tc>
        <w:tc>
          <w:tcPr>
            <w:tcW w:w="5245" w:type="dxa"/>
            <w:vAlign w:val="center"/>
          </w:tcPr>
          <w:p w14:paraId="7CEA09E2" w14:textId="42938CD4" w:rsidR="009F2F54" w:rsidRDefault="009F2F54" w:rsidP="009F2F54">
            <w:pPr>
              <w:spacing w:before="60" w:after="60"/>
              <w:jc w:val="left"/>
              <w:rPr>
                <w:sz w:val="20"/>
              </w:rPr>
            </w:pPr>
            <w:r w:rsidRPr="0038249B">
              <w:t>Mechanical Engineering Draftsperson</w:t>
            </w:r>
          </w:p>
        </w:tc>
        <w:tc>
          <w:tcPr>
            <w:tcW w:w="2551" w:type="dxa"/>
            <w:vAlign w:val="center"/>
          </w:tcPr>
          <w:p w14:paraId="398A227B" w14:textId="411DF9FB" w:rsidR="009F2F54" w:rsidRDefault="009F2F54" w:rsidP="009F2F54">
            <w:pPr>
              <w:spacing w:before="60" w:after="60"/>
              <w:jc w:val="center"/>
              <w:rPr>
                <w:sz w:val="20"/>
              </w:rPr>
            </w:pPr>
            <w:r w:rsidRPr="0038249B">
              <w:t>3</w:t>
            </w:r>
            <w:r>
              <w:t>,</w:t>
            </w:r>
            <w:r w:rsidRPr="0038249B">
              <w:t>688</w:t>
            </w:r>
            <w:r>
              <w:t xml:space="preserve"> </w:t>
            </w:r>
            <w:r w:rsidRPr="00690A68">
              <w:rPr>
                <w:sz w:val="20"/>
                <w:szCs w:val="20"/>
                <w:vertAlign w:val="superscript"/>
              </w:rPr>
              <w:t>(1)</w:t>
            </w:r>
          </w:p>
        </w:tc>
      </w:tr>
      <w:tr w:rsidR="009F2F54" w:rsidRPr="00923150" w14:paraId="44CB0C3F" w14:textId="77777777" w:rsidTr="009F2F54">
        <w:trPr>
          <w:trHeight w:val="456"/>
        </w:trPr>
        <w:tc>
          <w:tcPr>
            <w:tcW w:w="1843" w:type="dxa"/>
            <w:vAlign w:val="center"/>
          </w:tcPr>
          <w:p w14:paraId="1F864E52" w14:textId="2C61811D" w:rsidR="009F2F54" w:rsidRDefault="009F2F54" w:rsidP="009F2F54">
            <w:pPr>
              <w:spacing w:before="60" w:after="60"/>
              <w:ind w:left="284"/>
              <w:rPr>
                <w:sz w:val="20"/>
              </w:rPr>
            </w:pPr>
            <w:r w:rsidRPr="0038249B">
              <w:t>321211</w:t>
            </w:r>
          </w:p>
        </w:tc>
        <w:tc>
          <w:tcPr>
            <w:tcW w:w="5245" w:type="dxa"/>
            <w:vAlign w:val="center"/>
          </w:tcPr>
          <w:p w14:paraId="7E7769E4" w14:textId="0D81165E" w:rsidR="009F2F54" w:rsidRDefault="009F2F54" w:rsidP="009F2F54">
            <w:pPr>
              <w:spacing w:before="60" w:after="60"/>
              <w:jc w:val="left"/>
              <w:rPr>
                <w:sz w:val="20"/>
              </w:rPr>
            </w:pPr>
            <w:r w:rsidRPr="0038249B">
              <w:t>Motor Mechanic (General)</w:t>
            </w:r>
          </w:p>
        </w:tc>
        <w:tc>
          <w:tcPr>
            <w:tcW w:w="2551" w:type="dxa"/>
            <w:vAlign w:val="center"/>
          </w:tcPr>
          <w:p w14:paraId="46264252" w14:textId="7F28D95A" w:rsidR="009F2F54" w:rsidRDefault="009F2F54" w:rsidP="009F2F54">
            <w:pPr>
              <w:spacing w:before="60" w:after="60"/>
              <w:jc w:val="center"/>
              <w:rPr>
                <w:sz w:val="20"/>
              </w:rPr>
            </w:pPr>
            <w:r w:rsidRPr="0038249B">
              <w:t>71</w:t>
            </w:r>
            <w:r>
              <w:t>,</w:t>
            </w:r>
            <w:r w:rsidRPr="0038249B">
              <w:t>026</w:t>
            </w:r>
            <w:r>
              <w:t xml:space="preserve"> </w:t>
            </w:r>
            <w:r w:rsidRPr="00690A68">
              <w:rPr>
                <w:sz w:val="20"/>
                <w:szCs w:val="20"/>
                <w:vertAlign w:val="superscript"/>
              </w:rPr>
              <w:t>(1)</w:t>
            </w:r>
          </w:p>
        </w:tc>
      </w:tr>
      <w:tr w:rsidR="009F2F54" w:rsidRPr="00923150" w14:paraId="1DF01889" w14:textId="77777777" w:rsidTr="009F2F54">
        <w:trPr>
          <w:trHeight w:val="456"/>
        </w:trPr>
        <w:tc>
          <w:tcPr>
            <w:tcW w:w="1843" w:type="dxa"/>
            <w:vAlign w:val="center"/>
          </w:tcPr>
          <w:p w14:paraId="3CA1992A" w14:textId="5D4114BF" w:rsidR="009F2F54" w:rsidRDefault="009F2F54" w:rsidP="009F2F54">
            <w:pPr>
              <w:spacing w:before="60" w:after="60"/>
              <w:ind w:left="284"/>
              <w:rPr>
                <w:sz w:val="20"/>
              </w:rPr>
            </w:pPr>
            <w:r w:rsidRPr="0038249B">
              <w:t>334112</w:t>
            </w:r>
          </w:p>
        </w:tc>
        <w:tc>
          <w:tcPr>
            <w:tcW w:w="5245" w:type="dxa"/>
            <w:vAlign w:val="center"/>
          </w:tcPr>
          <w:p w14:paraId="1E7DB6A7" w14:textId="53E48A1E" w:rsidR="009F2F54" w:rsidRDefault="009F2F54" w:rsidP="009F2F54">
            <w:pPr>
              <w:spacing w:before="60" w:after="60"/>
              <w:jc w:val="left"/>
              <w:rPr>
                <w:sz w:val="20"/>
              </w:rPr>
            </w:pPr>
            <w:r w:rsidRPr="0038249B">
              <w:t>Air conditioning and Mechanical Services Plumber</w:t>
            </w:r>
          </w:p>
        </w:tc>
        <w:tc>
          <w:tcPr>
            <w:tcW w:w="2551" w:type="dxa"/>
            <w:vAlign w:val="center"/>
          </w:tcPr>
          <w:p w14:paraId="57D4E8B4" w14:textId="3E960528" w:rsidR="009F2F54" w:rsidRDefault="009F2F54" w:rsidP="009F2F54">
            <w:pPr>
              <w:spacing w:before="60" w:after="60"/>
              <w:jc w:val="center"/>
              <w:rPr>
                <w:sz w:val="20"/>
              </w:rPr>
            </w:pPr>
            <w:r w:rsidRPr="0038249B">
              <w:t>2</w:t>
            </w:r>
            <w:r>
              <w:t>,</w:t>
            </w:r>
            <w:r w:rsidRPr="0038249B">
              <w:t>672</w:t>
            </w:r>
          </w:p>
        </w:tc>
      </w:tr>
      <w:tr w:rsidR="009F2F54" w:rsidRPr="00923150" w14:paraId="4A90FD95" w14:textId="77777777" w:rsidTr="009F2F54">
        <w:trPr>
          <w:trHeight w:val="456"/>
        </w:trPr>
        <w:tc>
          <w:tcPr>
            <w:tcW w:w="1843" w:type="dxa"/>
            <w:vAlign w:val="center"/>
          </w:tcPr>
          <w:p w14:paraId="1EE9FCC3" w14:textId="7EAABADF" w:rsidR="009F2F54" w:rsidRPr="003D5DAC" w:rsidRDefault="009F2F54" w:rsidP="009F2F54">
            <w:pPr>
              <w:spacing w:before="60" w:after="60"/>
              <w:ind w:left="284"/>
            </w:pPr>
            <w:r w:rsidRPr="0038249B">
              <w:t>342111</w:t>
            </w:r>
          </w:p>
        </w:tc>
        <w:tc>
          <w:tcPr>
            <w:tcW w:w="5245" w:type="dxa"/>
            <w:vAlign w:val="center"/>
          </w:tcPr>
          <w:p w14:paraId="11929923" w14:textId="25B1B780" w:rsidR="009F2F54" w:rsidRPr="003D5DAC" w:rsidRDefault="009F2F54" w:rsidP="009F2F54">
            <w:pPr>
              <w:spacing w:before="60" w:after="60"/>
              <w:jc w:val="left"/>
            </w:pPr>
            <w:r w:rsidRPr="0038249B">
              <w:t>Air conditioning and Refrigeration Mechanic</w:t>
            </w:r>
          </w:p>
        </w:tc>
        <w:tc>
          <w:tcPr>
            <w:tcW w:w="2551" w:type="dxa"/>
            <w:vAlign w:val="center"/>
          </w:tcPr>
          <w:p w14:paraId="40099474" w14:textId="1C50B2F7" w:rsidR="009F2F54" w:rsidRPr="003D5DAC" w:rsidRDefault="009F2F54" w:rsidP="009F2F54">
            <w:pPr>
              <w:spacing w:before="60" w:after="60"/>
              <w:jc w:val="center"/>
            </w:pPr>
            <w:r w:rsidRPr="0038249B">
              <w:t>17</w:t>
            </w:r>
            <w:r>
              <w:t>,</w:t>
            </w:r>
            <w:r w:rsidRPr="0038249B">
              <w:t>471</w:t>
            </w:r>
          </w:p>
        </w:tc>
      </w:tr>
      <w:tr w:rsidR="009F2F54" w:rsidRPr="00923150" w14:paraId="2BD6245E" w14:textId="77777777" w:rsidTr="009F2F54">
        <w:trPr>
          <w:trHeight w:val="456"/>
        </w:trPr>
        <w:tc>
          <w:tcPr>
            <w:tcW w:w="1843" w:type="dxa"/>
            <w:tcBorders>
              <w:top w:val="double" w:sz="4" w:space="0" w:color="auto"/>
            </w:tcBorders>
            <w:vAlign w:val="center"/>
          </w:tcPr>
          <w:p w14:paraId="1277CB06" w14:textId="70C30FCF" w:rsidR="009F2F54" w:rsidRPr="00923150" w:rsidRDefault="009F2F54" w:rsidP="009F2F54">
            <w:pPr>
              <w:spacing w:before="60" w:after="60"/>
              <w:ind w:left="284"/>
              <w:rPr>
                <w:sz w:val="20"/>
              </w:rPr>
            </w:pPr>
            <w:r w:rsidRPr="0018798E">
              <w:t>Total</w:t>
            </w:r>
          </w:p>
        </w:tc>
        <w:tc>
          <w:tcPr>
            <w:tcW w:w="5245" w:type="dxa"/>
            <w:tcBorders>
              <w:top w:val="double" w:sz="4" w:space="0" w:color="auto"/>
            </w:tcBorders>
            <w:vAlign w:val="center"/>
          </w:tcPr>
          <w:p w14:paraId="18B46998" w14:textId="3C37BA04" w:rsidR="009F2F54" w:rsidRPr="008343EF" w:rsidRDefault="009F2F54" w:rsidP="009F2F54">
            <w:pPr>
              <w:spacing w:before="60" w:after="60"/>
              <w:jc w:val="left"/>
              <w:rPr>
                <w:sz w:val="20"/>
              </w:rPr>
            </w:pPr>
            <w:r w:rsidRPr="0018798E">
              <w:t xml:space="preserve"> </w:t>
            </w:r>
          </w:p>
        </w:tc>
        <w:tc>
          <w:tcPr>
            <w:tcW w:w="2551" w:type="dxa"/>
            <w:tcBorders>
              <w:top w:val="double" w:sz="4" w:space="0" w:color="auto"/>
            </w:tcBorders>
            <w:vAlign w:val="center"/>
          </w:tcPr>
          <w:p w14:paraId="5C43B07A" w14:textId="5320AC44" w:rsidR="009F2F54" w:rsidRPr="00923150" w:rsidRDefault="009F2F54" w:rsidP="009F2F54">
            <w:pPr>
              <w:spacing w:before="60" w:after="60"/>
              <w:jc w:val="center"/>
              <w:rPr>
                <w:sz w:val="20"/>
              </w:rPr>
            </w:pPr>
            <w:r w:rsidRPr="0018798E">
              <w:t>105</w:t>
            </w:r>
            <w:r>
              <w:t>,</w:t>
            </w:r>
            <w:r w:rsidRPr="0018798E">
              <w:t>046</w:t>
            </w:r>
          </w:p>
        </w:tc>
      </w:tr>
    </w:tbl>
    <w:p w14:paraId="22411960" w14:textId="77777777" w:rsidR="009F2F54" w:rsidRPr="0095043C" w:rsidRDefault="009F2F54">
      <w:pPr>
        <w:spacing w:before="0"/>
        <w:jc w:val="left"/>
        <w:rPr>
          <w:sz w:val="20"/>
          <w:szCs w:val="20"/>
        </w:rPr>
      </w:pPr>
      <w:r w:rsidRPr="0095043C">
        <w:rPr>
          <w:sz w:val="20"/>
          <w:szCs w:val="20"/>
        </w:rPr>
        <w:t xml:space="preserve">(Source: Census 2011) </w:t>
      </w:r>
    </w:p>
    <w:p w14:paraId="1E113CC3" w14:textId="0DBF1CB1" w:rsidR="001343DE" w:rsidRPr="00367F59" w:rsidRDefault="009F2F54" w:rsidP="00D05A74">
      <w:pPr>
        <w:pStyle w:val="ListParagraph"/>
        <w:numPr>
          <w:ilvl w:val="0"/>
          <w:numId w:val="7"/>
        </w:numPr>
        <w:spacing w:before="120" w:after="0" w:line="240" w:lineRule="auto"/>
        <w:ind w:left="357" w:hanging="357"/>
        <w:contextualSpacing w:val="0"/>
        <w:jc w:val="both"/>
        <w:rPr>
          <w:rFonts w:ascii="Times New Roman" w:hAnsi="Times New Roman"/>
          <w:sz w:val="20"/>
          <w:szCs w:val="20"/>
        </w:rPr>
      </w:pPr>
      <w:r w:rsidRPr="00367F59">
        <w:rPr>
          <w:rFonts w:ascii="Times New Roman" w:hAnsi="Times New Roman"/>
          <w:sz w:val="20"/>
          <w:szCs w:val="20"/>
        </w:rPr>
        <w:t xml:space="preserve">Occupation contains specialisations in air conditioning and heating occupations but it is not possible to quantify this with </w:t>
      </w:r>
      <w:r w:rsidR="0095043C" w:rsidRPr="00367F59">
        <w:rPr>
          <w:rFonts w:ascii="Times New Roman" w:hAnsi="Times New Roman"/>
          <w:sz w:val="20"/>
          <w:szCs w:val="20"/>
        </w:rPr>
        <w:t>Australian and New Zealand Standard Classification of Occupations (</w:t>
      </w:r>
      <w:r w:rsidRPr="00367F59">
        <w:rPr>
          <w:rFonts w:ascii="Times New Roman" w:hAnsi="Times New Roman"/>
          <w:sz w:val="20"/>
          <w:szCs w:val="20"/>
        </w:rPr>
        <w:t>ANZSCO</w:t>
      </w:r>
      <w:r w:rsidR="0095043C" w:rsidRPr="00367F59">
        <w:rPr>
          <w:rFonts w:ascii="Times New Roman" w:hAnsi="Times New Roman"/>
          <w:sz w:val="20"/>
          <w:szCs w:val="20"/>
        </w:rPr>
        <w:t>)</w:t>
      </w:r>
      <w:r w:rsidRPr="00367F59">
        <w:rPr>
          <w:rFonts w:ascii="Times New Roman" w:hAnsi="Times New Roman"/>
          <w:sz w:val="20"/>
          <w:szCs w:val="20"/>
        </w:rPr>
        <w:t>.</w:t>
      </w:r>
    </w:p>
    <w:p w14:paraId="367802D4" w14:textId="2CAC3645" w:rsidR="009771E9" w:rsidRPr="009771E9" w:rsidRDefault="0091479D" w:rsidP="00FF1158">
      <w:pPr>
        <w:spacing w:before="240"/>
        <w:rPr>
          <w:szCs w:val="22"/>
        </w:rPr>
      </w:pPr>
      <w:r>
        <w:rPr>
          <w:szCs w:val="22"/>
        </w:rPr>
        <w:lastRenderedPageBreak/>
        <w:t>In a simplistic comparison t</w:t>
      </w:r>
      <w:r w:rsidR="009771E9" w:rsidRPr="009771E9">
        <w:rPr>
          <w:szCs w:val="22"/>
        </w:rPr>
        <w:t xml:space="preserve">hese two sets of numbers align well. </w:t>
      </w:r>
      <w:r>
        <w:rPr>
          <w:szCs w:val="22"/>
        </w:rPr>
        <w:t>B</w:t>
      </w:r>
      <w:r w:rsidR="009771E9" w:rsidRPr="009771E9">
        <w:rPr>
          <w:szCs w:val="22"/>
        </w:rPr>
        <w:t xml:space="preserve">y </w:t>
      </w:r>
      <w:r w:rsidR="00183AE9">
        <w:rPr>
          <w:szCs w:val="22"/>
        </w:rPr>
        <w:t xml:space="preserve">replacing the number of motor mechanics listed in </w:t>
      </w:r>
      <w:r w:rsidR="00183AE9" w:rsidRPr="0091479D">
        <w:rPr>
          <w:i/>
          <w:szCs w:val="22"/>
        </w:rPr>
        <w:t>Table 25</w:t>
      </w:r>
      <w:r w:rsidR="00183AE9">
        <w:rPr>
          <w:szCs w:val="22"/>
        </w:rPr>
        <w:t>, with the smaller number holding</w:t>
      </w:r>
      <w:r w:rsidR="009771E9" w:rsidRPr="009771E9">
        <w:rPr>
          <w:szCs w:val="22"/>
        </w:rPr>
        <w:t xml:space="preserve"> automotive air conditioning licenses from </w:t>
      </w:r>
      <w:r w:rsidR="009771E9" w:rsidRPr="009771E9">
        <w:rPr>
          <w:i/>
          <w:szCs w:val="22"/>
        </w:rPr>
        <w:t>Table 24</w:t>
      </w:r>
      <w:r w:rsidR="009771E9">
        <w:rPr>
          <w:szCs w:val="22"/>
        </w:rPr>
        <w:t xml:space="preserve"> of </w:t>
      </w:r>
      <w:r w:rsidR="009771E9" w:rsidRPr="009771E9">
        <w:rPr>
          <w:szCs w:val="22"/>
        </w:rPr>
        <w:t xml:space="preserve">24,315, both collections </w:t>
      </w:r>
      <w:r w:rsidR="00D266F8">
        <w:rPr>
          <w:szCs w:val="22"/>
        </w:rPr>
        <w:t xml:space="preserve">arrive at similar values.  The total of </w:t>
      </w:r>
      <w:r w:rsidR="009771E9" w:rsidRPr="009771E9">
        <w:rPr>
          <w:szCs w:val="22"/>
        </w:rPr>
        <w:t xml:space="preserve">54,526 licensees from </w:t>
      </w:r>
      <w:r w:rsidR="009771E9" w:rsidRPr="00915F7D">
        <w:rPr>
          <w:i/>
          <w:szCs w:val="22"/>
        </w:rPr>
        <w:t>Table 24</w:t>
      </w:r>
      <w:r w:rsidR="00D266F8">
        <w:rPr>
          <w:szCs w:val="22"/>
        </w:rPr>
        <w:t xml:space="preserve"> is not that dissimilar to a</w:t>
      </w:r>
      <w:r w:rsidR="009771E9" w:rsidRPr="009771E9">
        <w:rPr>
          <w:szCs w:val="22"/>
        </w:rPr>
        <w:t xml:space="preserve"> total of 58,335 employed in </w:t>
      </w:r>
      <w:r w:rsidR="009771E9" w:rsidRPr="00915F7D">
        <w:rPr>
          <w:i/>
          <w:szCs w:val="22"/>
        </w:rPr>
        <w:t>Table 2</w:t>
      </w:r>
      <w:r w:rsidR="00915F7D" w:rsidRPr="00915F7D">
        <w:rPr>
          <w:i/>
          <w:szCs w:val="22"/>
        </w:rPr>
        <w:t>5</w:t>
      </w:r>
      <w:r w:rsidR="009771E9" w:rsidRPr="009771E9">
        <w:rPr>
          <w:szCs w:val="22"/>
        </w:rPr>
        <w:t xml:space="preserve"> </w:t>
      </w:r>
      <w:r w:rsidR="00D266F8">
        <w:rPr>
          <w:szCs w:val="22"/>
        </w:rPr>
        <w:t xml:space="preserve">where only the automotive air conditioning licence holders are included in the ‘Motor Mechanic’ category. </w:t>
      </w:r>
    </w:p>
    <w:p w14:paraId="35113DCE" w14:textId="6F76F3C3" w:rsidR="009771E9" w:rsidRPr="009771E9" w:rsidRDefault="009771E9" w:rsidP="009771E9">
      <w:pPr>
        <w:rPr>
          <w:szCs w:val="22"/>
        </w:rPr>
      </w:pPr>
      <w:r w:rsidRPr="009771E9">
        <w:rPr>
          <w:szCs w:val="22"/>
        </w:rPr>
        <w:t>When making</w:t>
      </w:r>
      <w:r w:rsidR="00D266F8">
        <w:rPr>
          <w:szCs w:val="22"/>
        </w:rPr>
        <w:t xml:space="preserve"> further</w:t>
      </w:r>
      <w:r w:rsidRPr="009771E9">
        <w:rPr>
          <w:szCs w:val="22"/>
        </w:rPr>
        <w:t xml:space="preserve"> allowances for some of the specialisations in these ANZSCO occupation codes that do not require refrigerant handling licenses, such as the Tool Design </w:t>
      </w:r>
      <w:r w:rsidR="003C6CAB" w:rsidRPr="009771E9">
        <w:rPr>
          <w:szCs w:val="22"/>
        </w:rPr>
        <w:t>Draftsperson</w:t>
      </w:r>
      <w:r w:rsidRPr="009771E9">
        <w:rPr>
          <w:szCs w:val="22"/>
        </w:rPr>
        <w:t xml:space="preserve"> and Tool Designers, possibly some people employed as air conditioning engineers, </w:t>
      </w:r>
      <w:r w:rsidR="00D266F8">
        <w:rPr>
          <w:szCs w:val="22"/>
        </w:rPr>
        <w:t xml:space="preserve">and </w:t>
      </w:r>
      <w:r w:rsidRPr="009771E9">
        <w:rPr>
          <w:szCs w:val="22"/>
        </w:rPr>
        <w:t xml:space="preserve">some </w:t>
      </w:r>
      <w:r w:rsidR="00D266F8">
        <w:rPr>
          <w:szCs w:val="22"/>
        </w:rPr>
        <w:t xml:space="preserve">of the </w:t>
      </w:r>
      <w:r w:rsidRPr="009771E9">
        <w:rPr>
          <w:szCs w:val="22"/>
        </w:rPr>
        <w:t xml:space="preserve">heating and ventilating technical officers, it is possible to get close to the same number of skilled technicians in both data sets. </w:t>
      </w:r>
    </w:p>
    <w:p w14:paraId="717CE9EA" w14:textId="3DC11360" w:rsidR="009771E9" w:rsidRPr="009771E9" w:rsidRDefault="009771E9" w:rsidP="009771E9">
      <w:pPr>
        <w:rPr>
          <w:szCs w:val="22"/>
        </w:rPr>
      </w:pPr>
      <w:r w:rsidRPr="009771E9">
        <w:rPr>
          <w:szCs w:val="22"/>
        </w:rPr>
        <w:t>However th</w:t>
      </w:r>
      <w:r w:rsidR="006C6A60">
        <w:rPr>
          <w:szCs w:val="22"/>
        </w:rPr>
        <w:t xml:space="preserve">is close alignment between the ABS data and </w:t>
      </w:r>
      <w:r w:rsidRPr="009771E9">
        <w:rPr>
          <w:szCs w:val="22"/>
        </w:rPr>
        <w:t>the number of skilled technical personnel who handle refrigerant gases, and who renew their licence every year, does not tell us total employment in the sector.</w:t>
      </w:r>
    </w:p>
    <w:p w14:paraId="6026AD4B" w14:textId="71756587" w:rsidR="009771E9" w:rsidRPr="009771E9" w:rsidRDefault="009771E9" w:rsidP="009771E9">
      <w:pPr>
        <w:rPr>
          <w:szCs w:val="22"/>
        </w:rPr>
      </w:pPr>
      <w:r w:rsidRPr="009771E9">
        <w:rPr>
          <w:szCs w:val="22"/>
        </w:rPr>
        <w:t>Another piece of the puzzle is the data</w:t>
      </w:r>
      <w:r w:rsidR="006C6A60">
        <w:rPr>
          <w:szCs w:val="22"/>
        </w:rPr>
        <w:t xml:space="preserve"> presented</w:t>
      </w:r>
      <w:r w:rsidRPr="009771E9">
        <w:rPr>
          <w:szCs w:val="22"/>
        </w:rPr>
        <w:t xml:space="preserve"> in </w:t>
      </w:r>
      <w:r w:rsidRPr="00F7635A">
        <w:rPr>
          <w:i/>
          <w:szCs w:val="22"/>
        </w:rPr>
        <w:t>Table 2</w:t>
      </w:r>
      <w:r w:rsidR="00F7635A" w:rsidRPr="00F7635A">
        <w:rPr>
          <w:i/>
          <w:szCs w:val="22"/>
        </w:rPr>
        <w:t>6</w:t>
      </w:r>
      <w:r w:rsidRPr="009771E9">
        <w:rPr>
          <w:szCs w:val="22"/>
        </w:rPr>
        <w:t xml:space="preserve"> that</w:t>
      </w:r>
      <w:r w:rsidR="006C6A60">
        <w:rPr>
          <w:szCs w:val="22"/>
        </w:rPr>
        <w:t>, in part</w:t>
      </w:r>
      <w:r w:rsidRPr="009771E9">
        <w:rPr>
          <w:szCs w:val="22"/>
        </w:rPr>
        <w:t xml:space="preserve"> confirms what we already know, and that is that RAC technology is employed across most of the economy. This is demonstrated by the range of industries reported as employing the </w:t>
      </w:r>
      <w:r w:rsidR="00F7635A">
        <w:rPr>
          <w:szCs w:val="22"/>
        </w:rPr>
        <w:t>a</w:t>
      </w:r>
      <w:r w:rsidRPr="009771E9">
        <w:rPr>
          <w:szCs w:val="22"/>
        </w:rPr>
        <w:t xml:space="preserve">ir conditioning and refrigeration mechanics, identified by ANZSCO Code 342111 in </w:t>
      </w:r>
      <w:r w:rsidRPr="00F7635A">
        <w:rPr>
          <w:i/>
          <w:szCs w:val="22"/>
        </w:rPr>
        <w:t>Table 2</w:t>
      </w:r>
      <w:r w:rsidR="00F7635A" w:rsidRPr="00F7635A">
        <w:rPr>
          <w:i/>
          <w:szCs w:val="22"/>
        </w:rPr>
        <w:t>6</w:t>
      </w:r>
      <w:r w:rsidRPr="009771E9">
        <w:rPr>
          <w:szCs w:val="22"/>
        </w:rPr>
        <w:t xml:space="preserve">. </w:t>
      </w:r>
    </w:p>
    <w:p w14:paraId="4BED8490" w14:textId="77777777" w:rsidR="001343DE" w:rsidRDefault="001343DE">
      <w:pPr>
        <w:spacing w:before="0"/>
        <w:jc w:val="left"/>
        <w:rPr>
          <w:szCs w:val="22"/>
        </w:rPr>
      </w:pPr>
    </w:p>
    <w:p w14:paraId="2ABC479D" w14:textId="4236978B" w:rsidR="0095043C" w:rsidRPr="000226CB" w:rsidRDefault="0095043C" w:rsidP="0095043C">
      <w:pPr>
        <w:rPr>
          <w:i/>
          <w:szCs w:val="22"/>
        </w:rPr>
      </w:pPr>
      <w:bookmarkStart w:id="87" w:name="_Toc233084070"/>
      <w:r w:rsidRPr="000226CB">
        <w:rPr>
          <w:i/>
          <w:szCs w:val="22"/>
        </w:rPr>
        <w:t xml:space="preserve">Table </w:t>
      </w:r>
      <w:r w:rsidRPr="000226CB">
        <w:rPr>
          <w:i/>
          <w:szCs w:val="22"/>
        </w:rPr>
        <w:fldChar w:fldCharType="begin"/>
      </w:r>
      <w:r w:rsidRPr="000226CB">
        <w:rPr>
          <w:i/>
          <w:szCs w:val="22"/>
        </w:rPr>
        <w:instrText xml:space="preserve"> SEQ Table \* ARABIC </w:instrText>
      </w:r>
      <w:r w:rsidRPr="000226CB">
        <w:rPr>
          <w:i/>
          <w:szCs w:val="22"/>
        </w:rPr>
        <w:fldChar w:fldCharType="separate"/>
      </w:r>
      <w:r w:rsidR="00196462">
        <w:rPr>
          <w:i/>
          <w:noProof/>
          <w:szCs w:val="22"/>
        </w:rPr>
        <w:t>26</w:t>
      </w:r>
      <w:r w:rsidRPr="000226CB">
        <w:rPr>
          <w:i/>
          <w:szCs w:val="22"/>
        </w:rPr>
        <w:fldChar w:fldCharType="end"/>
      </w:r>
      <w:r w:rsidRPr="000226CB">
        <w:rPr>
          <w:i/>
          <w:szCs w:val="22"/>
        </w:rPr>
        <w:t xml:space="preserve">: </w:t>
      </w:r>
      <w:r w:rsidRPr="00624526">
        <w:rPr>
          <w:i/>
          <w:szCs w:val="22"/>
        </w:rPr>
        <w:t xml:space="preserve">Industries employing </w:t>
      </w:r>
      <w:r>
        <w:rPr>
          <w:i/>
          <w:szCs w:val="22"/>
        </w:rPr>
        <w:t>a</w:t>
      </w:r>
      <w:r w:rsidRPr="00624526">
        <w:rPr>
          <w:i/>
          <w:szCs w:val="22"/>
        </w:rPr>
        <w:t xml:space="preserve">ir conditioning and </w:t>
      </w:r>
      <w:r>
        <w:rPr>
          <w:i/>
          <w:szCs w:val="22"/>
        </w:rPr>
        <w:t>r</w:t>
      </w:r>
      <w:r w:rsidRPr="00624526">
        <w:rPr>
          <w:i/>
          <w:szCs w:val="22"/>
        </w:rPr>
        <w:t xml:space="preserve">efrigeration </w:t>
      </w:r>
      <w:r w:rsidR="00F7635A">
        <w:rPr>
          <w:i/>
          <w:szCs w:val="22"/>
        </w:rPr>
        <w:t>m</w:t>
      </w:r>
      <w:r w:rsidRPr="00624526">
        <w:rPr>
          <w:i/>
          <w:szCs w:val="22"/>
        </w:rPr>
        <w:t>echanics</w:t>
      </w:r>
      <w:bookmarkEnd w:id="87"/>
    </w:p>
    <w:tbl>
      <w:tblPr>
        <w:tblW w:w="7088" w:type="dxa"/>
        <w:tblInd w:w="108" w:type="dxa"/>
        <w:tblBorders>
          <w:top w:val="single" w:sz="8" w:space="0" w:color="auto"/>
          <w:left w:val="single" w:sz="8" w:space="0" w:color="auto"/>
          <w:bottom w:val="single" w:sz="8" w:space="0" w:color="auto"/>
          <w:right w:val="single" w:sz="8" w:space="0" w:color="auto"/>
          <w:insideH w:val="single" w:sz="8" w:space="0" w:color="FFFFFF"/>
          <w:insideV w:val="single" w:sz="4" w:space="0" w:color="FFFFFF"/>
        </w:tblBorders>
        <w:tblLayout w:type="fixed"/>
        <w:tblLook w:val="00A0" w:firstRow="1" w:lastRow="0" w:firstColumn="1" w:lastColumn="0" w:noHBand="0" w:noVBand="0"/>
      </w:tblPr>
      <w:tblGrid>
        <w:gridCol w:w="5812"/>
        <w:gridCol w:w="1276"/>
      </w:tblGrid>
      <w:tr w:rsidR="0095043C" w:rsidRPr="00923150" w14:paraId="3C381C55" w14:textId="77777777" w:rsidTr="00CF6747">
        <w:trPr>
          <w:trHeight w:val="684"/>
        </w:trPr>
        <w:tc>
          <w:tcPr>
            <w:tcW w:w="5812" w:type="dxa"/>
            <w:shd w:val="clear" w:color="auto" w:fill="000000"/>
            <w:vAlign w:val="center"/>
          </w:tcPr>
          <w:p w14:paraId="1414158C" w14:textId="66180F22" w:rsidR="0095043C" w:rsidRPr="00923150" w:rsidRDefault="0095043C" w:rsidP="0095043C">
            <w:pPr>
              <w:spacing w:before="60" w:after="60"/>
              <w:ind w:left="34"/>
              <w:jc w:val="left"/>
            </w:pPr>
            <w:r>
              <w:t>ANZSCO 1 Digit level (industry)</w:t>
            </w:r>
          </w:p>
        </w:tc>
        <w:tc>
          <w:tcPr>
            <w:tcW w:w="1276" w:type="dxa"/>
            <w:shd w:val="clear" w:color="auto" w:fill="000000"/>
            <w:vAlign w:val="center"/>
          </w:tcPr>
          <w:p w14:paraId="618B6896" w14:textId="77777777" w:rsidR="0095043C" w:rsidRPr="00923150" w:rsidRDefault="0095043C" w:rsidP="0095043C">
            <w:pPr>
              <w:spacing w:before="60" w:after="60"/>
              <w:jc w:val="center"/>
            </w:pPr>
            <w:r>
              <w:t>Number employed</w:t>
            </w:r>
            <w:r w:rsidRPr="00957119">
              <w:t xml:space="preserve"> </w:t>
            </w:r>
          </w:p>
        </w:tc>
      </w:tr>
    </w:tbl>
    <w:tbl>
      <w:tblPr>
        <w:tblStyle w:val="TableGrid"/>
        <w:tblW w:w="0" w:type="auto"/>
        <w:tblInd w:w="108" w:type="dxa"/>
        <w:tblLayout w:type="fixed"/>
        <w:tblLook w:val="04A0" w:firstRow="1" w:lastRow="0" w:firstColumn="1" w:lastColumn="0" w:noHBand="0" w:noVBand="1"/>
      </w:tblPr>
      <w:tblGrid>
        <w:gridCol w:w="5812"/>
        <w:gridCol w:w="1276"/>
      </w:tblGrid>
      <w:tr w:rsidR="0095043C" w:rsidRPr="00F10094" w14:paraId="2F773143" w14:textId="77777777" w:rsidTr="0095043C">
        <w:tc>
          <w:tcPr>
            <w:tcW w:w="5812" w:type="dxa"/>
          </w:tcPr>
          <w:p w14:paraId="4FA3BA8D" w14:textId="77777777" w:rsidR="0095043C" w:rsidRPr="00F10094" w:rsidRDefault="0095043C" w:rsidP="0095043C">
            <w:pPr>
              <w:spacing w:before="0"/>
              <w:contextualSpacing/>
              <w:rPr>
                <w:sz w:val="20"/>
              </w:rPr>
            </w:pPr>
            <w:r w:rsidRPr="00F10094">
              <w:rPr>
                <w:sz w:val="20"/>
              </w:rPr>
              <w:t>Agriculture, Forestry and Fishing</w:t>
            </w:r>
          </w:p>
        </w:tc>
        <w:tc>
          <w:tcPr>
            <w:tcW w:w="1276" w:type="dxa"/>
          </w:tcPr>
          <w:p w14:paraId="57388C9C" w14:textId="77777777" w:rsidR="0095043C" w:rsidRPr="00F10094" w:rsidRDefault="0095043C" w:rsidP="0095043C">
            <w:pPr>
              <w:spacing w:before="0"/>
              <w:contextualSpacing/>
              <w:jc w:val="center"/>
              <w:rPr>
                <w:sz w:val="20"/>
              </w:rPr>
            </w:pPr>
            <w:r w:rsidRPr="00F10094">
              <w:rPr>
                <w:sz w:val="20"/>
              </w:rPr>
              <w:t>9</w:t>
            </w:r>
          </w:p>
        </w:tc>
      </w:tr>
      <w:tr w:rsidR="0095043C" w:rsidRPr="00F10094" w14:paraId="187BDC8D" w14:textId="77777777" w:rsidTr="0095043C">
        <w:tc>
          <w:tcPr>
            <w:tcW w:w="5812" w:type="dxa"/>
          </w:tcPr>
          <w:p w14:paraId="0AA9A319" w14:textId="77777777" w:rsidR="0095043C" w:rsidRPr="00F10094" w:rsidRDefault="0095043C" w:rsidP="0095043C">
            <w:pPr>
              <w:spacing w:before="0"/>
              <w:contextualSpacing/>
              <w:rPr>
                <w:sz w:val="20"/>
              </w:rPr>
            </w:pPr>
            <w:r w:rsidRPr="00F10094">
              <w:rPr>
                <w:sz w:val="20"/>
              </w:rPr>
              <w:t>Mining</w:t>
            </w:r>
          </w:p>
        </w:tc>
        <w:tc>
          <w:tcPr>
            <w:tcW w:w="1276" w:type="dxa"/>
          </w:tcPr>
          <w:p w14:paraId="28E29BB3" w14:textId="77777777" w:rsidR="0095043C" w:rsidRPr="00F10094" w:rsidRDefault="0095043C" w:rsidP="0095043C">
            <w:pPr>
              <w:spacing w:before="0"/>
              <w:contextualSpacing/>
              <w:jc w:val="center"/>
              <w:rPr>
                <w:sz w:val="20"/>
              </w:rPr>
            </w:pPr>
            <w:r w:rsidRPr="00F10094">
              <w:rPr>
                <w:sz w:val="20"/>
              </w:rPr>
              <w:t>130</w:t>
            </w:r>
          </w:p>
        </w:tc>
      </w:tr>
      <w:tr w:rsidR="0095043C" w:rsidRPr="00F10094" w14:paraId="4ABDA22E" w14:textId="77777777" w:rsidTr="0095043C">
        <w:tc>
          <w:tcPr>
            <w:tcW w:w="5812" w:type="dxa"/>
          </w:tcPr>
          <w:p w14:paraId="62C8BB60" w14:textId="77777777" w:rsidR="0095043C" w:rsidRPr="00F10094" w:rsidRDefault="0095043C" w:rsidP="0095043C">
            <w:pPr>
              <w:spacing w:before="0"/>
              <w:contextualSpacing/>
              <w:rPr>
                <w:sz w:val="20"/>
              </w:rPr>
            </w:pPr>
            <w:r w:rsidRPr="00F10094">
              <w:rPr>
                <w:sz w:val="20"/>
              </w:rPr>
              <w:t>Manufacturing</w:t>
            </w:r>
          </w:p>
        </w:tc>
        <w:tc>
          <w:tcPr>
            <w:tcW w:w="1276" w:type="dxa"/>
          </w:tcPr>
          <w:p w14:paraId="49C94DE2" w14:textId="77777777" w:rsidR="0095043C" w:rsidRPr="00F10094" w:rsidRDefault="0095043C" w:rsidP="0095043C">
            <w:pPr>
              <w:spacing w:before="0"/>
              <w:contextualSpacing/>
              <w:jc w:val="center"/>
              <w:rPr>
                <w:sz w:val="20"/>
              </w:rPr>
            </w:pPr>
            <w:r w:rsidRPr="00F10094">
              <w:rPr>
                <w:sz w:val="20"/>
              </w:rPr>
              <w:t>1</w:t>
            </w:r>
            <w:r>
              <w:rPr>
                <w:sz w:val="20"/>
              </w:rPr>
              <w:t>,</w:t>
            </w:r>
            <w:r w:rsidRPr="00F10094">
              <w:rPr>
                <w:sz w:val="20"/>
              </w:rPr>
              <w:t>407</w:t>
            </w:r>
          </w:p>
        </w:tc>
      </w:tr>
      <w:tr w:rsidR="0095043C" w:rsidRPr="00F10094" w14:paraId="1707405D" w14:textId="77777777" w:rsidTr="0095043C">
        <w:tc>
          <w:tcPr>
            <w:tcW w:w="5812" w:type="dxa"/>
          </w:tcPr>
          <w:p w14:paraId="680398B3" w14:textId="77777777" w:rsidR="0095043C" w:rsidRPr="00F10094" w:rsidRDefault="0095043C" w:rsidP="0095043C">
            <w:pPr>
              <w:spacing w:before="0"/>
              <w:contextualSpacing/>
              <w:rPr>
                <w:sz w:val="20"/>
              </w:rPr>
            </w:pPr>
            <w:r w:rsidRPr="00F10094">
              <w:rPr>
                <w:sz w:val="20"/>
              </w:rPr>
              <w:t>Electricity, Gas, Water and Waste Services</w:t>
            </w:r>
          </w:p>
        </w:tc>
        <w:tc>
          <w:tcPr>
            <w:tcW w:w="1276" w:type="dxa"/>
          </w:tcPr>
          <w:p w14:paraId="6D05EAA2" w14:textId="77777777" w:rsidR="0095043C" w:rsidRPr="00F10094" w:rsidRDefault="0095043C" w:rsidP="0095043C">
            <w:pPr>
              <w:spacing w:before="0"/>
              <w:contextualSpacing/>
              <w:jc w:val="center"/>
              <w:rPr>
                <w:sz w:val="20"/>
              </w:rPr>
            </w:pPr>
            <w:r w:rsidRPr="00F10094">
              <w:rPr>
                <w:sz w:val="20"/>
              </w:rPr>
              <w:t>15</w:t>
            </w:r>
          </w:p>
        </w:tc>
      </w:tr>
      <w:tr w:rsidR="0095043C" w:rsidRPr="00F10094" w14:paraId="48A0AB3E" w14:textId="77777777" w:rsidTr="0095043C">
        <w:tc>
          <w:tcPr>
            <w:tcW w:w="5812" w:type="dxa"/>
          </w:tcPr>
          <w:p w14:paraId="0C3CFED7" w14:textId="77777777" w:rsidR="0095043C" w:rsidRPr="00F10094" w:rsidRDefault="0095043C" w:rsidP="0095043C">
            <w:pPr>
              <w:spacing w:before="0"/>
              <w:contextualSpacing/>
              <w:rPr>
                <w:sz w:val="20"/>
              </w:rPr>
            </w:pPr>
            <w:r w:rsidRPr="00F10094">
              <w:rPr>
                <w:sz w:val="20"/>
              </w:rPr>
              <w:t>Construction</w:t>
            </w:r>
          </w:p>
        </w:tc>
        <w:tc>
          <w:tcPr>
            <w:tcW w:w="1276" w:type="dxa"/>
          </w:tcPr>
          <w:p w14:paraId="1B09236C" w14:textId="77777777" w:rsidR="0095043C" w:rsidRPr="00F10094" w:rsidRDefault="0095043C" w:rsidP="0095043C">
            <w:pPr>
              <w:spacing w:before="0"/>
              <w:contextualSpacing/>
              <w:jc w:val="center"/>
              <w:rPr>
                <w:sz w:val="20"/>
              </w:rPr>
            </w:pPr>
            <w:r w:rsidRPr="00F10094">
              <w:rPr>
                <w:sz w:val="20"/>
              </w:rPr>
              <w:t>6</w:t>
            </w:r>
            <w:r>
              <w:rPr>
                <w:sz w:val="20"/>
              </w:rPr>
              <w:t>,</w:t>
            </w:r>
            <w:r w:rsidRPr="00F10094">
              <w:rPr>
                <w:sz w:val="20"/>
              </w:rPr>
              <w:t>477</w:t>
            </w:r>
          </w:p>
        </w:tc>
      </w:tr>
      <w:tr w:rsidR="0095043C" w:rsidRPr="00F10094" w14:paraId="7629BB99" w14:textId="77777777" w:rsidTr="0095043C">
        <w:tc>
          <w:tcPr>
            <w:tcW w:w="5812" w:type="dxa"/>
          </w:tcPr>
          <w:p w14:paraId="56D64E87" w14:textId="77777777" w:rsidR="0095043C" w:rsidRPr="00F10094" w:rsidRDefault="0095043C" w:rsidP="0095043C">
            <w:pPr>
              <w:spacing w:before="0"/>
              <w:contextualSpacing/>
              <w:rPr>
                <w:sz w:val="20"/>
              </w:rPr>
            </w:pPr>
            <w:r w:rsidRPr="00F10094">
              <w:rPr>
                <w:sz w:val="20"/>
              </w:rPr>
              <w:t>Wholesale Trade</w:t>
            </w:r>
          </w:p>
        </w:tc>
        <w:tc>
          <w:tcPr>
            <w:tcW w:w="1276" w:type="dxa"/>
          </w:tcPr>
          <w:p w14:paraId="768F652F" w14:textId="77777777" w:rsidR="0095043C" w:rsidRPr="00F10094" w:rsidRDefault="0095043C" w:rsidP="0095043C">
            <w:pPr>
              <w:spacing w:before="0"/>
              <w:contextualSpacing/>
              <w:jc w:val="center"/>
              <w:rPr>
                <w:sz w:val="20"/>
              </w:rPr>
            </w:pPr>
            <w:r w:rsidRPr="00F10094">
              <w:rPr>
                <w:sz w:val="20"/>
              </w:rPr>
              <w:t>217</w:t>
            </w:r>
          </w:p>
        </w:tc>
      </w:tr>
      <w:tr w:rsidR="0095043C" w:rsidRPr="00F10094" w14:paraId="017B42D1" w14:textId="77777777" w:rsidTr="0095043C">
        <w:tc>
          <w:tcPr>
            <w:tcW w:w="5812" w:type="dxa"/>
          </w:tcPr>
          <w:p w14:paraId="3A0EE2C7" w14:textId="77777777" w:rsidR="0095043C" w:rsidRPr="00F10094" w:rsidRDefault="0095043C" w:rsidP="0095043C">
            <w:pPr>
              <w:spacing w:before="0"/>
              <w:contextualSpacing/>
              <w:rPr>
                <w:sz w:val="20"/>
              </w:rPr>
            </w:pPr>
            <w:r w:rsidRPr="00F10094">
              <w:rPr>
                <w:sz w:val="20"/>
              </w:rPr>
              <w:t>Retail Trade</w:t>
            </w:r>
          </w:p>
        </w:tc>
        <w:tc>
          <w:tcPr>
            <w:tcW w:w="1276" w:type="dxa"/>
          </w:tcPr>
          <w:p w14:paraId="681ED26B" w14:textId="77777777" w:rsidR="0095043C" w:rsidRPr="00F10094" w:rsidRDefault="0095043C" w:rsidP="0095043C">
            <w:pPr>
              <w:spacing w:before="0"/>
              <w:contextualSpacing/>
              <w:jc w:val="center"/>
              <w:rPr>
                <w:sz w:val="20"/>
              </w:rPr>
            </w:pPr>
            <w:r w:rsidRPr="00F10094">
              <w:rPr>
                <w:sz w:val="20"/>
              </w:rPr>
              <w:t>575</w:t>
            </w:r>
          </w:p>
        </w:tc>
      </w:tr>
      <w:tr w:rsidR="0095043C" w:rsidRPr="00F10094" w14:paraId="4775C282" w14:textId="77777777" w:rsidTr="0095043C">
        <w:tc>
          <w:tcPr>
            <w:tcW w:w="5812" w:type="dxa"/>
          </w:tcPr>
          <w:p w14:paraId="70BF0DA3" w14:textId="77777777" w:rsidR="0095043C" w:rsidRPr="00F10094" w:rsidRDefault="0095043C" w:rsidP="0095043C">
            <w:pPr>
              <w:spacing w:before="0"/>
              <w:contextualSpacing/>
              <w:rPr>
                <w:sz w:val="20"/>
              </w:rPr>
            </w:pPr>
            <w:r w:rsidRPr="00F10094">
              <w:rPr>
                <w:sz w:val="20"/>
              </w:rPr>
              <w:t>Accommodation and Food Services</w:t>
            </w:r>
          </w:p>
        </w:tc>
        <w:tc>
          <w:tcPr>
            <w:tcW w:w="1276" w:type="dxa"/>
          </w:tcPr>
          <w:p w14:paraId="6C7B0B84" w14:textId="77777777" w:rsidR="0095043C" w:rsidRPr="00F10094" w:rsidRDefault="0095043C" w:rsidP="0095043C">
            <w:pPr>
              <w:spacing w:before="0"/>
              <w:contextualSpacing/>
              <w:jc w:val="center"/>
              <w:rPr>
                <w:sz w:val="20"/>
              </w:rPr>
            </w:pPr>
            <w:r w:rsidRPr="00F10094">
              <w:rPr>
                <w:sz w:val="20"/>
              </w:rPr>
              <w:t>113</w:t>
            </w:r>
          </w:p>
        </w:tc>
      </w:tr>
      <w:tr w:rsidR="0095043C" w:rsidRPr="00F10094" w14:paraId="66D45CB3" w14:textId="77777777" w:rsidTr="0095043C">
        <w:tc>
          <w:tcPr>
            <w:tcW w:w="5812" w:type="dxa"/>
          </w:tcPr>
          <w:p w14:paraId="0BB3E34D" w14:textId="77777777" w:rsidR="0095043C" w:rsidRPr="00F10094" w:rsidRDefault="0095043C" w:rsidP="0095043C">
            <w:pPr>
              <w:spacing w:before="0"/>
              <w:contextualSpacing/>
              <w:rPr>
                <w:sz w:val="20"/>
              </w:rPr>
            </w:pPr>
            <w:r w:rsidRPr="00F10094">
              <w:rPr>
                <w:sz w:val="20"/>
              </w:rPr>
              <w:t>Transport, Postal and Warehousing</w:t>
            </w:r>
          </w:p>
        </w:tc>
        <w:tc>
          <w:tcPr>
            <w:tcW w:w="1276" w:type="dxa"/>
          </w:tcPr>
          <w:p w14:paraId="0F23ADEF" w14:textId="77777777" w:rsidR="0095043C" w:rsidRPr="00F10094" w:rsidRDefault="0095043C" w:rsidP="0095043C">
            <w:pPr>
              <w:spacing w:before="0"/>
              <w:contextualSpacing/>
              <w:jc w:val="center"/>
              <w:rPr>
                <w:sz w:val="20"/>
              </w:rPr>
            </w:pPr>
            <w:r w:rsidRPr="00F10094">
              <w:rPr>
                <w:sz w:val="20"/>
              </w:rPr>
              <w:t>178</w:t>
            </w:r>
          </w:p>
        </w:tc>
      </w:tr>
      <w:tr w:rsidR="0095043C" w:rsidRPr="00F10094" w14:paraId="294BB48F" w14:textId="77777777" w:rsidTr="0095043C">
        <w:tc>
          <w:tcPr>
            <w:tcW w:w="5812" w:type="dxa"/>
          </w:tcPr>
          <w:p w14:paraId="7BF525AD" w14:textId="77777777" w:rsidR="0095043C" w:rsidRPr="00F10094" w:rsidRDefault="0095043C" w:rsidP="0095043C">
            <w:pPr>
              <w:spacing w:before="0"/>
              <w:contextualSpacing/>
              <w:rPr>
                <w:sz w:val="20"/>
              </w:rPr>
            </w:pPr>
            <w:r w:rsidRPr="00F10094">
              <w:rPr>
                <w:sz w:val="20"/>
              </w:rPr>
              <w:t>Information Media and Telecommunications</w:t>
            </w:r>
          </w:p>
        </w:tc>
        <w:tc>
          <w:tcPr>
            <w:tcW w:w="1276" w:type="dxa"/>
          </w:tcPr>
          <w:p w14:paraId="06B35836" w14:textId="77777777" w:rsidR="0095043C" w:rsidRPr="00F10094" w:rsidRDefault="0095043C" w:rsidP="0095043C">
            <w:pPr>
              <w:spacing w:before="0"/>
              <w:contextualSpacing/>
              <w:jc w:val="center"/>
              <w:rPr>
                <w:sz w:val="20"/>
              </w:rPr>
            </w:pPr>
            <w:r w:rsidRPr="00F10094">
              <w:rPr>
                <w:sz w:val="20"/>
              </w:rPr>
              <w:t>3</w:t>
            </w:r>
          </w:p>
        </w:tc>
      </w:tr>
      <w:tr w:rsidR="0095043C" w:rsidRPr="00F10094" w14:paraId="420603BB" w14:textId="77777777" w:rsidTr="0095043C">
        <w:tc>
          <w:tcPr>
            <w:tcW w:w="5812" w:type="dxa"/>
          </w:tcPr>
          <w:p w14:paraId="585A9A7B" w14:textId="77777777" w:rsidR="0095043C" w:rsidRPr="00F10094" w:rsidRDefault="0095043C" w:rsidP="0095043C">
            <w:pPr>
              <w:spacing w:before="0"/>
              <w:contextualSpacing/>
              <w:rPr>
                <w:sz w:val="20"/>
              </w:rPr>
            </w:pPr>
            <w:r w:rsidRPr="00F10094">
              <w:rPr>
                <w:sz w:val="20"/>
              </w:rPr>
              <w:t>Financial and Insurance Services</w:t>
            </w:r>
          </w:p>
        </w:tc>
        <w:tc>
          <w:tcPr>
            <w:tcW w:w="1276" w:type="dxa"/>
          </w:tcPr>
          <w:p w14:paraId="26E533EE" w14:textId="77777777" w:rsidR="0095043C" w:rsidRPr="00F10094" w:rsidRDefault="0095043C" w:rsidP="0095043C">
            <w:pPr>
              <w:spacing w:before="0"/>
              <w:contextualSpacing/>
              <w:jc w:val="center"/>
              <w:rPr>
                <w:sz w:val="20"/>
              </w:rPr>
            </w:pPr>
            <w:r w:rsidRPr="00F10094">
              <w:rPr>
                <w:sz w:val="20"/>
              </w:rPr>
              <w:t>8</w:t>
            </w:r>
          </w:p>
        </w:tc>
      </w:tr>
      <w:tr w:rsidR="0095043C" w:rsidRPr="00F10094" w14:paraId="787AF79F" w14:textId="77777777" w:rsidTr="0095043C">
        <w:tc>
          <w:tcPr>
            <w:tcW w:w="5812" w:type="dxa"/>
          </w:tcPr>
          <w:p w14:paraId="7BCA07B4" w14:textId="77777777" w:rsidR="0095043C" w:rsidRPr="00F10094" w:rsidRDefault="0095043C" w:rsidP="0095043C">
            <w:pPr>
              <w:spacing w:before="0"/>
              <w:contextualSpacing/>
              <w:rPr>
                <w:sz w:val="20"/>
              </w:rPr>
            </w:pPr>
            <w:r w:rsidRPr="00F10094">
              <w:rPr>
                <w:sz w:val="20"/>
              </w:rPr>
              <w:t>Rental, Hiring and Real Estate Services</w:t>
            </w:r>
          </w:p>
        </w:tc>
        <w:tc>
          <w:tcPr>
            <w:tcW w:w="1276" w:type="dxa"/>
          </w:tcPr>
          <w:p w14:paraId="10967E61" w14:textId="77777777" w:rsidR="0095043C" w:rsidRPr="00F10094" w:rsidRDefault="0095043C" w:rsidP="0095043C">
            <w:pPr>
              <w:spacing w:before="0"/>
              <w:contextualSpacing/>
              <w:jc w:val="center"/>
              <w:rPr>
                <w:sz w:val="20"/>
              </w:rPr>
            </w:pPr>
            <w:r w:rsidRPr="00F10094">
              <w:rPr>
                <w:sz w:val="20"/>
              </w:rPr>
              <w:t>71</w:t>
            </w:r>
          </w:p>
        </w:tc>
      </w:tr>
      <w:tr w:rsidR="0095043C" w:rsidRPr="00F10094" w14:paraId="336FA2E8" w14:textId="77777777" w:rsidTr="0095043C">
        <w:tc>
          <w:tcPr>
            <w:tcW w:w="5812" w:type="dxa"/>
          </w:tcPr>
          <w:p w14:paraId="207A8B4B" w14:textId="77777777" w:rsidR="0095043C" w:rsidRPr="00F10094" w:rsidRDefault="0095043C" w:rsidP="0095043C">
            <w:pPr>
              <w:spacing w:before="0"/>
              <w:contextualSpacing/>
              <w:rPr>
                <w:sz w:val="20"/>
              </w:rPr>
            </w:pPr>
            <w:r w:rsidRPr="00F10094">
              <w:rPr>
                <w:sz w:val="20"/>
              </w:rPr>
              <w:t>Professional, Scientific and Technical Services</w:t>
            </w:r>
          </w:p>
        </w:tc>
        <w:tc>
          <w:tcPr>
            <w:tcW w:w="1276" w:type="dxa"/>
          </w:tcPr>
          <w:p w14:paraId="183E91E4" w14:textId="77777777" w:rsidR="0095043C" w:rsidRPr="00F10094" w:rsidRDefault="0095043C" w:rsidP="0095043C">
            <w:pPr>
              <w:spacing w:before="0"/>
              <w:contextualSpacing/>
              <w:jc w:val="center"/>
              <w:rPr>
                <w:sz w:val="20"/>
              </w:rPr>
            </w:pPr>
            <w:r w:rsidRPr="00F10094">
              <w:rPr>
                <w:sz w:val="20"/>
              </w:rPr>
              <w:t>116</w:t>
            </w:r>
          </w:p>
        </w:tc>
      </w:tr>
      <w:tr w:rsidR="0095043C" w:rsidRPr="00F10094" w14:paraId="04609400" w14:textId="77777777" w:rsidTr="0095043C">
        <w:tc>
          <w:tcPr>
            <w:tcW w:w="5812" w:type="dxa"/>
          </w:tcPr>
          <w:p w14:paraId="5CC97845" w14:textId="77777777" w:rsidR="0095043C" w:rsidRPr="00F10094" w:rsidRDefault="0095043C" w:rsidP="0095043C">
            <w:pPr>
              <w:spacing w:before="0"/>
              <w:contextualSpacing/>
              <w:rPr>
                <w:sz w:val="20"/>
              </w:rPr>
            </w:pPr>
            <w:r w:rsidRPr="00F10094">
              <w:rPr>
                <w:sz w:val="20"/>
              </w:rPr>
              <w:t>Administrative and Support Services</w:t>
            </w:r>
          </w:p>
        </w:tc>
        <w:tc>
          <w:tcPr>
            <w:tcW w:w="1276" w:type="dxa"/>
          </w:tcPr>
          <w:p w14:paraId="3817CEAD" w14:textId="77777777" w:rsidR="0095043C" w:rsidRPr="00F10094" w:rsidRDefault="0095043C" w:rsidP="0095043C">
            <w:pPr>
              <w:spacing w:before="0"/>
              <w:contextualSpacing/>
              <w:jc w:val="center"/>
              <w:rPr>
                <w:sz w:val="20"/>
              </w:rPr>
            </w:pPr>
            <w:r w:rsidRPr="00F10094">
              <w:rPr>
                <w:sz w:val="20"/>
              </w:rPr>
              <w:t>211</w:t>
            </w:r>
          </w:p>
        </w:tc>
      </w:tr>
      <w:tr w:rsidR="0095043C" w:rsidRPr="00F10094" w14:paraId="4CF57384" w14:textId="77777777" w:rsidTr="0095043C">
        <w:tc>
          <w:tcPr>
            <w:tcW w:w="5812" w:type="dxa"/>
          </w:tcPr>
          <w:p w14:paraId="081A6C9D" w14:textId="77777777" w:rsidR="0095043C" w:rsidRPr="00F10094" w:rsidRDefault="0095043C" w:rsidP="0095043C">
            <w:pPr>
              <w:spacing w:before="0"/>
              <w:contextualSpacing/>
              <w:rPr>
                <w:sz w:val="20"/>
              </w:rPr>
            </w:pPr>
            <w:r w:rsidRPr="00F10094">
              <w:rPr>
                <w:sz w:val="20"/>
              </w:rPr>
              <w:t>Public Administration and Safety</w:t>
            </w:r>
          </w:p>
        </w:tc>
        <w:tc>
          <w:tcPr>
            <w:tcW w:w="1276" w:type="dxa"/>
          </w:tcPr>
          <w:p w14:paraId="78C587BE" w14:textId="77777777" w:rsidR="0095043C" w:rsidRPr="00F10094" w:rsidRDefault="0095043C" w:rsidP="0095043C">
            <w:pPr>
              <w:spacing w:before="0"/>
              <w:contextualSpacing/>
              <w:jc w:val="center"/>
              <w:rPr>
                <w:sz w:val="20"/>
              </w:rPr>
            </w:pPr>
            <w:r w:rsidRPr="00F10094">
              <w:rPr>
                <w:sz w:val="20"/>
              </w:rPr>
              <w:t>56</w:t>
            </w:r>
          </w:p>
        </w:tc>
      </w:tr>
      <w:tr w:rsidR="0095043C" w:rsidRPr="00F10094" w14:paraId="7A9A43AA" w14:textId="77777777" w:rsidTr="0095043C">
        <w:tc>
          <w:tcPr>
            <w:tcW w:w="5812" w:type="dxa"/>
          </w:tcPr>
          <w:p w14:paraId="7F5D7394" w14:textId="77777777" w:rsidR="0095043C" w:rsidRPr="00F10094" w:rsidRDefault="0095043C" w:rsidP="0095043C">
            <w:pPr>
              <w:spacing w:before="0"/>
              <w:contextualSpacing/>
              <w:rPr>
                <w:sz w:val="20"/>
              </w:rPr>
            </w:pPr>
            <w:r w:rsidRPr="00F10094">
              <w:rPr>
                <w:sz w:val="20"/>
              </w:rPr>
              <w:t>Education and Training</w:t>
            </w:r>
          </w:p>
        </w:tc>
        <w:tc>
          <w:tcPr>
            <w:tcW w:w="1276" w:type="dxa"/>
          </w:tcPr>
          <w:p w14:paraId="3F27F2CC" w14:textId="77777777" w:rsidR="0095043C" w:rsidRPr="00F10094" w:rsidRDefault="0095043C" w:rsidP="0095043C">
            <w:pPr>
              <w:spacing w:before="0"/>
              <w:contextualSpacing/>
              <w:jc w:val="center"/>
              <w:rPr>
                <w:sz w:val="20"/>
              </w:rPr>
            </w:pPr>
            <w:r w:rsidRPr="00F10094">
              <w:rPr>
                <w:sz w:val="20"/>
              </w:rPr>
              <w:t>80</w:t>
            </w:r>
          </w:p>
        </w:tc>
      </w:tr>
      <w:tr w:rsidR="0095043C" w:rsidRPr="00F10094" w14:paraId="64E90F9C" w14:textId="77777777" w:rsidTr="0095043C">
        <w:tc>
          <w:tcPr>
            <w:tcW w:w="5812" w:type="dxa"/>
          </w:tcPr>
          <w:p w14:paraId="0B22BC82" w14:textId="77777777" w:rsidR="0095043C" w:rsidRPr="00F10094" w:rsidRDefault="0095043C" w:rsidP="0095043C">
            <w:pPr>
              <w:spacing w:before="0"/>
              <w:contextualSpacing/>
              <w:rPr>
                <w:sz w:val="20"/>
              </w:rPr>
            </w:pPr>
            <w:r w:rsidRPr="00F10094">
              <w:rPr>
                <w:sz w:val="20"/>
              </w:rPr>
              <w:t>Health Care and Social Assistance</w:t>
            </w:r>
          </w:p>
        </w:tc>
        <w:tc>
          <w:tcPr>
            <w:tcW w:w="1276" w:type="dxa"/>
          </w:tcPr>
          <w:p w14:paraId="4EA6827F" w14:textId="77777777" w:rsidR="0095043C" w:rsidRPr="00F10094" w:rsidRDefault="0095043C" w:rsidP="0095043C">
            <w:pPr>
              <w:spacing w:before="0"/>
              <w:contextualSpacing/>
              <w:jc w:val="center"/>
              <w:rPr>
                <w:sz w:val="20"/>
              </w:rPr>
            </w:pPr>
            <w:r w:rsidRPr="00F10094">
              <w:rPr>
                <w:sz w:val="20"/>
              </w:rPr>
              <w:t>95</w:t>
            </w:r>
          </w:p>
        </w:tc>
      </w:tr>
      <w:tr w:rsidR="0095043C" w:rsidRPr="00F10094" w14:paraId="13746608" w14:textId="77777777" w:rsidTr="0095043C">
        <w:tc>
          <w:tcPr>
            <w:tcW w:w="5812" w:type="dxa"/>
          </w:tcPr>
          <w:p w14:paraId="5C08CCD4" w14:textId="77777777" w:rsidR="0095043C" w:rsidRPr="00F10094" w:rsidRDefault="0095043C" w:rsidP="0095043C">
            <w:pPr>
              <w:spacing w:before="0"/>
              <w:contextualSpacing/>
              <w:rPr>
                <w:sz w:val="20"/>
              </w:rPr>
            </w:pPr>
            <w:r w:rsidRPr="00F10094">
              <w:rPr>
                <w:sz w:val="20"/>
              </w:rPr>
              <w:t>Arts and Recreation Services</w:t>
            </w:r>
          </w:p>
        </w:tc>
        <w:tc>
          <w:tcPr>
            <w:tcW w:w="1276" w:type="dxa"/>
          </w:tcPr>
          <w:p w14:paraId="58A6D634" w14:textId="77777777" w:rsidR="0095043C" w:rsidRPr="00F10094" w:rsidRDefault="0095043C" w:rsidP="0095043C">
            <w:pPr>
              <w:spacing w:before="0"/>
              <w:contextualSpacing/>
              <w:jc w:val="center"/>
              <w:rPr>
                <w:sz w:val="20"/>
              </w:rPr>
            </w:pPr>
            <w:r w:rsidRPr="00F10094">
              <w:rPr>
                <w:sz w:val="20"/>
              </w:rPr>
              <w:t>12</w:t>
            </w:r>
          </w:p>
        </w:tc>
      </w:tr>
      <w:tr w:rsidR="0095043C" w:rsidRPr="00F10094" w14:paraId="59D40A3F" w14:textId="77777777" w:rsidTr="0095043C">
        <w:tc>
          <w:tcPr>
            <w:tcW w:w="5812" w:type="dxa"/>
          </w:tcPr>
          <w:p w14:paraId="737AEBEA" w14:textId="77777777" w:rsidR="0095043C" w:rsidRPr="00F10094" w:rsidRDefault="0095043C" w:rsidP="0095043C">
            <w:pPr>
              <w:spacing w:before="0"/>
              <w:contextualSpacing/>
              <w:rPr>
                <w:sz w:val="20"/>
              </w:rPr>
            </w:pPr>
            <w:r w:rsidRPr="00F10094">
              <w:rPr>
                <w:sz w:val="20"/>
              </w:rPr>
              <w:t>Other Services</w:t>
            </w:r>
          </w:p>
        </w:tc>
        <w:tc>
          <w:tcPr>
            <w:tcW w:w="1276" w:type="dxa"/>
          </w:tcPr>
          <w:p w14:paraId="4DB953E3" w14:textId="77777777" w:rsidR="0095043C" w:rsidRPr="00F10094" w:rsidRDefault="0095043C" w:rsidP="0095043C">
            <w:pPr>
              <w:spacing w:before="0"/>
              <w:contextualSpacing/>
              <w:jc w:val="center"/>
              <w:rPr>
                <w:sz w:val="20"/>
              </w:rPr>
            </w:pPr>
            <w:r w:rsidRPr="00F10094">
              <w:rPr>
                <w:sz w:val="20"/>
              </w:rPr>
              <w:t>7</w:t>
            </w:r>
            <w:r>
              <w:rPr>
                <w:sz w:val="20"/>
              </w:rPr>
              <w:t>,</w:t>
            </w:r>
            <w:r w:rsidRPr="00F10094">
              <w:rPr>
                <w:sz w:val="20"/>
              </w:rPr>
              <w:t>192</w:t>
            </w:r>
          </w:p>
        </w:tc>
      </w:tr>
      <w:tr w:rsidR="0095043C" w:rsidRPr="00F10094" w14:paraId="1C6CF382" w14:textId="77777777" w:rsidTr="0095043C">
        <w:tc>
          <w:tcPr>
            <w:tcW w:w="5812" w:type="dxa"/>
          </w:tcPr>
          <w:p w14:paraId="369A0A79" w14:textId="77777777" w:rsidR="0095043C" w:rsidRPr="00F10094" w:rsidRDefault="0095043C" w:rsidP="0095043C">
            <w:pPr>
              <w:spacing w:before="0"/>
              <w:contextualSpacing/>
              <w:rPr>
                <w:sz w:val="20"/>
              </w:rPr>
            </w:pPr>
            <w:r w:rsidRPr="00F10094">
              <w:rPr>
                <w:sz w:val="20"/>
              </w:rPr>
              <w:t>Inadequately described</w:t>
            </w:r>
          </w:p>
        </w:tc>
        <w:tc>
          <w:tcPr>
            <w:tcW w:w="1276" w:type="dxa"/>
          </w:tcPr>
          <w:p w14:paraId="4E9099E6" w14:textId="77777777" w:rsidR="0095043C" w:rsidRPr="00F10094" w:rsidRDefault="0095043C" w:rsidP="0095043C">
            <w:pPr>
              <w:spacing w:before="0"/>
              <w:contextualSpacing/>
              <w:jc w:val="center"/>
              <w:rPr>
                <w:sz w:val="20"/>
              </w:rPr>
            </w:pPr>
            <w:r w:rsidRPr="00F10094">
              <w:rPr>
                <w:sz w:val="20"/>
              </w:rPr>
              <w:t>447</w:t>
            </w:r>
          </w:p>
        </w:tc>
      </w:tr>
      <w:tr w:rsidR="0095043C" w:rsidRPr="00F10094" w14:paraId="5AB6770E" w14:textId="77777777" w:rsidTr="0095043C">
        <w:tc>
          <w:tcPr>
            <w:tcW w:w="5812" w:type="dxa"/>
          </w:tcPr>
          <w:p w14:paraId="1AC68BBC" w14:textId="77777777" w:rsidR="0095043C" w:rsidRPr="00F10094" w:rsidRDefault="0095043C" w:rsidP="0095043C">
            <w:pPr>
              <w:spacing w:before="0"/>
              <w:contextualSpacing/>
              <w:rPr>
                <w:sz w:val="20"/>
              </w:rPr>
            </w:pPr>
            <w:r w:rsidRPr="00F10094">
              <w:rPr>
                <w:sz w:val="20"/>
              </w:rPr>
              <w:t>Not stated</w:t>
            </w:r>
          </w:p>
        </w:tc>
        <w:tc>
          <w:tcPr>
            <w:tcW w:w="1276" w:type="dxa"/>
          </w:tcPr>
          <w:p w14:paraId="4DEB660A" w14:textId="77777777" w:rsidR="0095043C" w:rsidRPr="00F10094" w:rsidRDefault="0095043C" w:rsidP="0095043C">
            <w:pPr>
              <w:spacing w:before="0"/>
              <w:contextualSpacing/>
              <w:jc w:val="center"/>
              <w:rPr>
                <w:sz w:val="20"/>
              </w:rPr>
            </w:pPr>
            <w:r w:rsidRPr="00F10094">
              <w:rPr>
                <w:sz w:val="20"/>
              </w:rPr>
              <w:t>81</w:t>
            </w:r>
          </w:p>
        </w:tc>
      </w:tr>
      <w:tr w:rsidR="0095043C" w:rsidRPr="00F10094" w14:paraId="3F4FF324" w14:textId="77777777" w:rsidTr="0095043C">
        <w:tc>
          <w:tcPr>
            <w:tcW w:w="5812" w:type="dxa"/>
            <w:tcBorders>
              <w:top w:val="double" w:sz="4" w:space="0" w:color="auto"/>
            </w:tcBorders>
          </w:tcPr>
          <w:p w14:paraId="250243BB" w14:textId="77777777" w:rsidR="0095043C" w:rsidRPr="00F10094" w:rsidRDefault="0095043C" w:rsidP="0095043C">
            <w:pPr>
              <w:spacing w:before="60" w:after="60"/>
              <w:rPr>
                <w:szCs w:val="22"/>
              </w:rPr>
            </w:pPr>
            <w:r w:rsidRPr="00F10094">
              <w:rPr>
                <w:szCs w:val="22"/>
              </w:rPr>
              <w:t>Total</w:t>
            </w:r>
          </w:p>
        </w:tc>
        <w:tc>
          <w:tcPr>
            <w:tcW w:w="1276" w:type="dxa"/>
            <w:tcBorders>
              <w:top w:val="double" w:sz="4" w:space="0" w:color="auto"/>
            </w:tcBorders>
          </w:tcPr>
          <w:p w14:paraId="62ED2922" w14:textId="77777777" w:rsidR="0095043C" w:rsidRPr="00F10094" w:rsidRDefault="0095043C" w:rsidP="0095043C">
            <w:pPr>
              <w:spacing w:before="60" w:after="60"/>
              <w:jc w:val="center"/>
              <w:rPr>
                <w:szCs w:val="22"/>
              </w:rPr>
            </w:pPr>
            <w:r w:rsidRPr="00F10094">
              <w:rPr>
                <w:szCs w:val="22"/>
              </w:rPr>
              <w:t>17</w:t>
            </w:r>
            <w:r>
              <w:rPr>
                <w:szCs w:val="22"/>
              </w:rPr>
              <w:t>,</w:t>
            </w:r>
            <w:r w:rsidRPr="00F10094">
              <w:rPr>
                <w:szCs w:val="22"/>
              </w:rPr>
              <w:t>493</w:t>
            </w:r>
          </w:p>
        </w:tc>
      </w:tr>
    </w:tbl>
    <w:p w14:paraId="792F743B" w14:textId="77777777" w:rsidR="0095043C" w:rsidRPr="00624526" w:rsidRDefault="0095043C" w:rsidP="0095043C">
      <w:pPr>
        <w:spacing w:before="0"/>
        <w:rPr>
          <w:sz w:val="20"/>
          <w:szCs w:val="20"/>
        </w:rPr>
      </w:pPr>
      <w:r w:rsidRPr="00624526">
        <w:rPr>
          <w:sz w:val="20"/>
          <w:szCs w:val="20"/>
        </w:rPr>
        <w:t>(Source: Census 2011)</w:t>
      </w:r>
    </w:p>
    <w:p w14:paraId="338D47AC" w14:textId="360E91AE" w:rsidR="00FF1158" w:rsidRPr="00FF1158" w:rsidRDefault="00FF1158" w:rsidP="00FF1158">
      <w:pPr>
        <w:rPr>
          <w:szCs w:val="22"/>
        </w:rPr>
      </w:pPr>
      <w:r w:rsidRPr="00FF1158">
        <w:rPr>
          <w:szCs w:val="22"/>
        </w:rPr>
        <w:t xml:space="preserve">These numbers cannot really tell the whole story. The large ‘other services’ category no doubt captures a large number of the smaller contracting companies that are known to operate in the sector. These contracting companies would supply a majority of the services required for instance to maintain the cold food chain and </w:t>
      </w:r>
      <w:r w:rsidR="00F2741C">
        <w:rPr>
          <w:szCs w:val="22"/>
        </w:rPr>
        <w:t xml:space="preserve">RAC services in </w:t>
      </w:r>
      <w:r w:rsidRPr="00FF1158">
        <w:rPr>
          <w:szCs w:val="22"/>
        </w:rPr>
        <w:t>health and education, being sectors that do</w:t>
      </w:r>
      <w:r w:rsidR="00F627F9">
        <w:rPr>
          <w:szCs w:val="22"/>
        </w:rPr>
        <w:t xml:space="preserve"> not</w:t>
      </w:r>
      <w:r w:rsidRPr="00FF1158">
        <w:rPr>
          <w:szCs w:val="22"/>
        </w:rPr>
        <w:t xml:space="preserve"> look well represented in their own right in </w:t>
      </w:r>
      <w:r w:rsidRPr="00FF1158">
        <w:rPr>
          <w:i/>
          <w:szCs w:val="22"/>
        </w:rPr>
        <w:t>Table 26</w:t>
      </w:r>
      <w:r w:rsidRPr="00FF1158">
        <w:rPr>
          <w:szCs w:val="22"/>
        </w:rPr>
        <w:t>.</w:t>
      </w:r>
    </w:p>
    <w:p w14:paraId="4E036B79" w14:textId="38C06445" w:rsidR="00FF1158" w:rsidRDefault="00FF1158" w:rsidP="00FF1158">
      <w:pPr>
        <w:rPr>
          <w:szCs w:val="22"/>
        </w:rPr>
      </w:pPr>
      <w:r w:rsidRPr="00FF1158">
        <w:rPr>
          <w:szCs w:val="22"/>
        </w:rPr>
        <w:t xml:space="preserve">Another piece of ABS data from the 2011 </w:t>
      </w:r>
      <w:r>
        <w:rPr>
          <w:szCs w:val="22"/>
        </w:rPr>
        <w:t>C</w:t>
      </w:r>
      <w:r w:rsidRPr="00FF1158">
        <w:rPr>
          <w:szCs w:val="22"/>
        </w:rPr>
        <w:t xml:space="preserve">ensus however provides a very good indicator of a reasonable employment multiplier that could be used.  As the </w:t>
      </w:r>
      <w:r w:rsidR="00F2741C">
        <w:rPr>
          <w:szCs w:val="22"/>
        </w:rPr>
        <w:t xml:space="preserve">enquiry to the ABS database </w:t>
      </w:r>
      <w:r w:rsidRPr="00FF1158">
        <w:rPr>
          <w:szCs w:val="22"/>
        </w:rPr>
        <w:t xml:space="preserve"> returned more than 130 rows of job classifications it is reproduced in full as </w:t>
      </w:r>
      <w:r w:rsidRPr="00E703BB">
        <w:rPr>
          <w:i/>
          <w:szCs w:val="22"/>
        </w:rPr>
        <w:t xml:space="preserve">Table </w:t>
      </w:r>
      <w:r w:rsidR="00E703BB" w:rsidRPr="00E703BB">
        <w:rPr>
          <w:i/>
          <w:szCs w:val="22"/>
        </w:rPr>
        <w:t>4</w:t>
      </w:r>
      <w:r w:rsidR="006F3A04">
        <w:rPr>
          <w:i/>
          <w:szCs w:val="22"/>
        </w:rPr>
        <w:t>3</w:t>
      </w:r>
      <w:r w:rsidRPr="00FF1158">
        <w:rPr>
          <w:szCs w:val="22"/>
        </w:rPr>
        <w:t xml:space="preserve"> in </w:t>
      </w:r>
      <w:r w:rsidR="00E703BB" w:rsidRPr="00E703BB">
        <w:rPr>
          <w:i/>
          <w:szCs w:val="22"/>
        </w:rPr>
        <w:t xml:space="preserve">Appendix E: Business and employment </w:t>
      </w:r>
      <w:r w:rsidR="00E703BB" w:rsidRPr="00E703BB">
        <w:rPr>
          <w:i/>
          <w:szCs w:val="22"/>
        </w:rPr>
        <w:lastRenderedPageBreak/>
        <w:t>types</w:t>
      </w:r>
      <w:r w:rsidRPr="00FF1158">
        <w:rPr>
          <w:szCs w:val="22"/>
        </w:rPr>
        <w:t xml:space="preserve">. The table lists all occupations reported as being employed in the air conditioning and heating services industry. The two critical elements of that table are reproduced in </w:t>
      </w:r>
      <w:r w:rsidRPr="00E703BB">
        <w:rPr>
          <w:i/>
          <w:szCs w:val="22"/>
        </w:rPr>
        <w:t>Table 2</w:t>
      </w:r>
      <w:r w:rsidR="00E703BB" w:rsidRPr="00E703BB">
        <w:rPr>
          <w:i/>
          <w:szCs w:val="22"/>
        </w:rPr>
        <w:t>7</w:t>
      </w:r>
      <w:r w:rsidRPr="00FF1158">
        <w:rPr>
          <w:szCs w:val="22"/>
        </w:rPr>
        <w:t xml:space="preserve"> </w:t>
      </w:r>
      <w:r w:rsidR="00F2741C">
        <w:rPr>
          <w:szCs w:val="22"/>
        </w:rPr>
        <w:t xml:space="preserve">and </w:t>
      </w:r>
      <w:r w:rsidRPr="00FF1158">
        <w:rPr>
          <w:szCs w:val="22"/>
        </w:rPr>
        <w:t xml:space="preserve">include the total number of employees </w:t>
      </w:r>
      <w:r w:rsidR="00F2741C">
        <w:rPr>
          <w:szCs w:val="22"/>
        </w:rPr>
        <w:t>recorded for</w:t>
      </w:r>
      <w:r w:rsidRPr="00FF1158">
        <w:rPr>
          <w:szCs w:val="22"/>
        </w:rPr>
        <w:t xml:space="preserve"> businesses involved in the air conditioning and heating services industry, and the total number that are refrigeration and air conditioning mechanics or plumbers in those business.</w:t>
      </w:r>
    </w:p>
    <w:p w14:paraId="71F9D830" w14:textId="77777777" w:rsidR="00E703BB" w:rsidRPr="00FF1158" w:rsidRDefault="00E703BB" w:rsidP="00FF1158">
      <w:pPr>
        <w:rPr>
          <w:szCs w:val="22"/>
        </w:rPr>
      </w:pPr>
    </w:p>
    <w:p w14:paraId="6E2031C5" w14:textId="349B4ACE" w:rsidR="00BC0C6C" w:rsidRPr="000226CB" w:rsidRDefault="00BC0C6C" w:rsidP="00BC0C6C">
      <w:pPr>
        <w:rPr>
          <w:i/>
          <w:szCs w:val="22"/>
        </w:rPr>
      </w:pPr>
      <w:bookmarkStart w:id="88" w:name="_Toc233084071"/>
      <w:r w:rsidRPr="000226CB">
        <w:rPr>
          <w:i/>
          <w:szCs w:val="22"/>
        </w:rPr>
        <w:t xml:space="preserve">Table </w:t>
      </w:r>
      <w:r w:rsidRPr="000226CB">
        <w:rPr>
          <w:i/>
          <w:szCs w:val="22"/>
        </w:rPr>
        <w:fldChar w:fldCharType="begin"/>
      </w:r>
      <w:r w:rsidRPr="000226CB">
        <w:rPr>
          <w:i/>
          <w:szCs w:val="22"/>
        </w:rPr>
        <w:instrText xml:space="preserve"> SEQ Table \* ARABIC </w:instrText>
      </w:r>
      <w:r w:rsidRPr="000226CB">
        <w:rPr>
          <w:i/>
          <w:szCs w:val="22"/>
        </w:rPr>
        <w:fldChar w:fldCharType="separate"/>
      </w:r>
      <w:r w:rsidR="00196462">
        <w:rPr>
          <w:i/>
          <w:noProof/>
          <w:szCs w:val="22"/>
        </w:rPr>
        <w:t>27</w:t>
      </w:r>
      <w:r w:rsidRPr="000226CB">
        <w:rPr>
          <w:i/>
          <w:szCs w:val="22"/>
        </w:rPr>
        <w:fldChar w:fldCharType="end"/>
      </w:r>
      <w:r w:rsidRPr="000226CB">
        <w:rPr>
          <w:i/>
          <w:szCs w:val="22"/>
        </w:rPr>
        <w:t xml:space="preserve">: </w:t>
      </w:r>
      <w:r w:rsidRPr="00BC0C6C">
        <w:rPr>
          <w:i/>
          <w:szCs w:val="22"/>
        </w:rPr>
        <w:t xml:space="preserve">Occupations employed in the </w:t>
      </w:r>
      <w:r>
        <w:rPr>
          <w:i/>
          <w:szCs w:val="22"/>
        </w:rPr>
        <w:t>a</w:t>
      </w:r>
      <w:r w:rsidRPr="00BC0C6C">
        <w:rPr>
          <w:i/>
          <w:szCs w:val="22"/>
        </w:rPr>
        <w:t xml:space="preserve">ir conditioning and </w:t>
      </w:r>
      <w:r>
        <w:rPr>
          <w:i/>
          <w:szCs w:val="22"/>
        </w:rPr>
        <w:t>h</w:t>
      </w:r>
      <w:r w:rsidRPr="00BC0C6C">
        <w:rPr>
          <w:i/>
          <w:szCs w:val="22"/>
        </w:rPr>
        <w:t xml:space="preserve">eating </w:t>
      </w:r>
      <w:r>
        <w:rPr>
          <w:i/>
          <w:szCs w:val="22"/>
        </w:rPr>
        <w:t>s</w:t>
      </w:r>
      <w:r w:rsidRPr="00BC0C6C">
        <w:rPr>
          <w:i/>
          <w:szCs w:val="22"/>
        </w:rPr>
        <w:t xml:space="preserve">ervices </w:t>
      </w:r>
      <w:r>
        <w:rPr>
          <w:i/>
          <w:szCs w:val="22"/>
        </w:rPr>
        <w:t>i</w:t>
      </w:r>
      <w:r w:rsidRPr="00BC0C6C">
        <w:rPr>
          <w:i/>
          <w:szCs w:val="22"/>
        </w:rPr>
        <w:t>ndustry class</w:t>
      </w:r>
      <w:bookmarkEnd w:id="88"/>
    </w:p>
    <w:tbl>
      <w:tblPr>
        <w:tblW w:w="7088" w:type="dxa"/>
        <w:tblInd w:w="108" w:type="dxa"/>
        <w:tblBorders>
          <w:top w:val="single" w:sz="8" w:space="0" w:color="auto"/>
          <w:left w:val="single" w:sz="8" w:space="0" w:color="auto"/>
          <w:bottom w:val="single" w:sz="8" w:space="0" w:color="auto"/>
          <w:right w:val="single" w:sz="8" w:space="0" w:color="auto"/>
          <w:insideH w:val="single" w:sz="8" w:space="0" w:color="FFFFFF"/>
          <w:insideV w:val="single" w:sz="4" w:space="0" w:color="FFFFFF"/>
        </w:tblBorders>
        <w:tblLayout w:type="fixed"/>
        <w:tblLook w:val="00A0" w:firstRow="1" w:lastRow="0" w:firstColumn="1" w:lastColumn="0" w:noHBand="0" w:noVBand="0"/>
      </w:tblPr>
      <w:tblGrid>
        <w:gridCol w:w="5812"/>
        <w:gridCol w:w="1276"/>
      </w:tblGrid>
      <w:tr w:rsidR="00BC0C6C" w:rsidRPr="00923150" w14:paraId="01F6B09A" w14:textId="77777777" w:rsidTr="00CF6747">
        <w:trPr>
          <w:trHeight w:val="684"/>
        </w:trPr>
        <w:tc>
          <w:tcPr>
            <w:tcW w:w="5812" w:type="dxa"/>
            <w:shd w:val="clear" w:color="auto" w:fill="000000"/>
            <w:vAlign w:val="center"/>
          </w:tcPr>
          <w:p w14:paraId="64223E16" w14:textId="1F2C1B44" w:rsidR="00BC0C6C" w:rsidRPr="00923150" w:rsidRDefault="00BC0C6C" w:rsidP="00BC0C6C">
            <w:pPr>
              <w:spacing w:before="60" w:after="60"/>
              <w:ind w:left="34"/>
              <w:jc w:val="left"/>
            </w:pPr>
            <w:r>
              <w:t>ANZSCO 4 Digit level (class)</w:t>
            </w:r>
          </w:p>
        </w:tc>
        <w:tc>
          <w:tcPr>
            <w:tcW w:w="1276" w:type="dxa"/>
            <w:shd w:val="clear" w:color="auto" w:fill="000000"/>
            <w:vAlign w:val="center"/>
          </w:tcPr>
          <w:p w14:paraId="10B4C503" w14:textId="77777777" w:rsidR="00BC0C6C" w:rsidRPr="00923150" w:rsidRDefault="00BC0C6C" w:rsidP="00634941">
            <w:pPr>
              <w:spacing w:before="60" w:after="60"/>
              <w:jc w:val="center"/>
            </w:pPr>
            <w:r>
              <w:t>Number employed</w:t>
            </w:r>
            <w:r w:rsidRPr="00957119">
              <w:t xml:space="preserve"> </w:t>
            </w:r>
          </w:p>
        </w:tc>
      </w:tr>
    </w:tbl>
    <w:tbl>
      <w:tblPr>
        <w:tblStyle w:val="TableGrid"/>
        <w:tblW w:w="0" w:type="auto"/>
        <w:tblInd w:w="108" w:type="dxa"/>
        <w:tblLayout w:type="fixed"/>
        <w:tblLook w:val="04A0" w:firstRow="1" w:lastRow="0" w:firstColumn="1" w:lastColumn="0" w:noHBand="0" w:noVBand="1"/>
      </w:tblPr>
      <w:tblGrid>
        <w:gridCol w:w="5812"/>
        <w:gridCol w:w="1276"/>
      </w:tblGrid>
      <w:tr w:rsidR="00BC0C6C" w:rsidRPr="00BC0C6C" w14:paraId="05320DA8" w14:textId="77777777" w:rsidTr="00634941">
        <w:tc>
          <w:tcPr>
            <w:tcW w:w="5812" w:type="dxa"/>
          </w:tcPr>
          <w:p w14:paraId="6FE1B35F" w14:textId="67C99723" w:rsidR="00BC0C6C" w:rsidRPr="00BC0C6C" w:rsidRDefault="00BC0C6C" w:rsidP="00634941">
            <w:pPr>
              <w:spacing w:before="0"/>
              <w:contextualSpacing/>
              <w:rPr>
                <w:sz w:val="20"/>
              </w:rPr>
            </w:pPr>
            <w:r w:rsidRPr="00BC0C6C">
              <w:rPr>
                <w:sz w:val="20"/>
              </w:rPr>
              <w:t>Air conditioning and Refrigeration Mechanics and Plumbers</w:t>
            </w:r>
          </w:p>
        </w:tc>
        <w:tc>
          <w:tcPr>
            <w:tcW w:w="1276" w:type="dxa"/>
          </w:tcPr>
          <w:p w14:paraId="40AB42E4" w14:textId="0C7C86B8" w:rsidR="00BC0C6C" w:rsidRPr="00BC0C6C" w:rsidRDefault="00BC0C6C" w:rsidP="00634941">
            <w:pPr>
              <w:spacing w:before="0"/>
              <w:contextualSpacing/>
              <w:jc w:val="center"/>
              <w:rPr>
                <w:sz w:val="20"/>
              </w:rPr>
            </w:pPr>
            <w:r w:rsidRPr="00BC0C6C">
              <w:rPr>
                <w:sz w:val="20"/>
              </w:rPr>
              <w:t>6,836</w:t>
            </w:r>
          </w:p>
        </w:tc>
      </w:tr>
      <w:tr w:rsidR="00BC0C6C" w:rsidRPr="00BC0C6C" w14:paraId="7DAC7591" w14:textId="77777777" w:rsidTr="00634941">
        <w:tc>
          <w:tcPr>
            <w:tcW w:w="5812" w:type="dxa"/>
          </w:tcPr>
          <w:p w14:paraId="6C429DED" w14:textId="35E18DDB" w:rsidR="00BC0C6C" w:rsidRPr="00BC0C6C" w:rsidRDefault="00BC0C6C" w:rsidP="00634941">
            <w:pPr>
              <w:spacing w:before="0"/>
              <w:contextualSpacing/>
              <w:rPr>
                <w:sz w:val="20"/>
              </w:rPr>
            </w:pPr>
            <w:r w:rsidRPr="00BC0C6C">
              <w:rPr>
                <w:sz w:val="20"/>
              </w:rPr>
              <w:t>Total Employed</w:t>
            </w:r>
          </w:p>
        </w:tc>
        <w:tc>
          <w:tcPr>
            <w:tcW w:w="1276" w:type="dxa"/>
          </w:tcPr>
          <w:p w14:paraId="52B17A44" w14:textId="20490B66" w:rsidR="00BC0C6C" w:rsidRPr="00BC0C6C" w:rsidRDefault="00BC0C6C" w:rsidP="00634941">
            <w:pPr>
              <w:spacing w:before="0"/>
              <w:contextualSpacing/>
              <w:jc w:val="center"/>
              <w:rPr>
                <w:sz w:val="20"/>
              </w:rPr>
            </w:pPr>
            <w:r w:rsidRPr="00BC0C6C">
              <w:rPr>
                <w:sz w:val="20"/>
              </w:rPr>
              <w:t>14,623</w:t>
            </w:r>
          </w:p>
        </w:tc>
      </w:tr>
      <w:tr w:rsidR="00BC0C6C" w:rsidRPr="00BC0C6C" w14:paraId="0AF9460B" w14:textId="77777777" w:rsidTr="00634941">
        <w:tc>
          <w:tcPr>
            <w:tcW w:w="5812" w:type="dxa"/>
          </w:tcPr>
          <w:p w14:paraId="5C2726F9" w14:textId="2EBE10E0" w:rsidR="00BC0C6C" w:rsidRPr="00BC0C6C" w:rsidRDefault="00BC0C6C" w:rsidP="00634941">
            <w:pPr>
              <w:spacing w:before="0"/>
              <w:contextualSpacing/>
              <w:rPr>
                <w:sz w:val="20"/>
              </w:rPr>
            </w:pPr>
            <w:r w:rsidRPr="00BC0C6C">
              <w:rPr>
                <w:sz w:val="20"/>
              </w:rPr>
              <w:t>Ratio</w:t>
            </w:r>
          </w:p>
        </w:tc>
        <w:tc>
          <w:tcPr>
            <w:tcW w:w="1276" w:type="dxa"/>
          </w:tcPr>
          <w:p w14:paraId="650EFC7D" w14:textId="504F47A6" w:rsidR="00BC0C6C" w:rsidRPr="00BC0C6C" w:rsidRDefault="00BC0C6C" w:rsidP="00634941">
            <w:pPr>
              <w:spacing w:before="0"/>
              <w:contextualSpacing/>
              <w:jc w:val="center"/>
              <w:rPr>
                <w:sz w:val="20"/>
              </w:rPr>
            </w:pPr>
            <w:r w:rsidRPr="00BC0C6C">
              <w:rPr>
                <w:sz w:val="20"/>
              </w:rPr>
              <w:t>2.13</w:t>
            </w:r>
          </w:p>
        </w:tc>
      </w:tr>
    </w:tbl>
    <w:p w14:paraId="01C732E3" w14:textId="77777777" w:rsidR="00BC0C6C" w:rsidRPr="00624526" w:rsidRDefault="00BC0C6C" w:rsidP="00BC0C6C">
      <w:pPr>
        <w:spacing w:before="0"/>
        <w:rPr>
          <w:sz w:val="20"/>
          <w:szCs w:val="20"/>
        </w:rPr>
      </w:pPr>
      <w:r w:rsidRPr="00624526">
        <w:rPr>
          <w:sz w:val="20"/>
          <w:szCs w:val="20"/>
        </w:rPr>
        <w:t>(Source: Census 2011)</w:t>
      </w:r>
    </w:p>
    <w:p w14:paraId="69E57837" w14:textId="054CDE11" w:rsidR="00E703BB" w:rsidRPr="00E703BB" w:rsidRDefault="00E703BB" w:rsidP="00E703BB">
      <w:pPr>
        <w:spacing w:before="240"/>
        <w:rPr>
          <w:szCs w:val="22"/>
        </w:rPr>
      </w:pPr>
      <w:r w:rsidRPr="00E703BB">
        <w:rPr>
          <w:szCs w:val="22"/>
        </w:rPr>
        <w:t xml:space="preserve">If we assume that all of the </w:t>
      </w:r>
      <w:r w:rsidR="00F2741C">
        <w:rPr>
          <w:szCs w:val="22"/>
        </w:rPr>
        <w:t>‘Air conditioning and Refrigeration Mechanics and P</w:t>
      </w:r>
      <w:r w:rsidRPr="00E703BB">
        <w:rPr>
          <w:szCs w:val="22"/>
        </w:rPr>
        <w:t xml:space="preserve">lumbers </w:t>
      </w:r>
      <w:r w:rsidR="00F2741C">
        <w:rPr>
          <w:szCs w:val="22"/>
        </w:rPr>
        <w:t xml:space="preserve">catalogued here </w:t>
      </w:r>
      <w:r w:rsidRPr="00E703BB">
        <w:rPr>
          <w:szCs w:val="22"/>
        </w:rPr>
        <w:t xml:space="preserve">have refrigerant handling licences, this ratio of </w:t>
      </w:r>
      <w:r w:rsidR="00F2741C">
        <w:rPr>
          <w:szCs w:val="22"/>
        </w:rPr>
        <w:t xml:space="preserve">general </w:t>
      </w:r>
      <w:r w:rsidRPr="00E703BB">
        <w:rPr>
          <w:szCs w:val="22"/>
        </w:rPr>
        <w:t>employment to licensed RAC technicians could be applied to all licensed technicians working across the economy</w:t>
      </w:r>
      <w:r w:rsidR="00BA4856">
        <w:rPr>
          <w:szCs w:val="22"/>
        </w:rPr>
        <w:t>. Multiplying total refrigerant handling licences by 2.13</w:t>
      </w:r>
      <w:r w:rsidRPr="00E703BB">
        <w:rPr>
          <w:szCs w:val="22"/>
        </w:rPr>
        <w:t xml:space="preserve"> indicates total employment of 116,140. </w:t>
      </w:r>
    </w:p>
    <w:p w14:paraId="2341B96A" w14:textId="26FBDA35" w:rsidR="00E703BB" w:rsidRPr="00E703BB" w:rsidRDefault="00E703BB" w:rsidP="00E703BB">
      <w:pPr>
        <w:rPr>
          <w:szCs w:val="22"/>
        </w:rPr>
      </w:pPr>
      <w:r w:rsidRPr="00E703BB">
        <w:rPr>
          <w:szCs w:val="22"/>
        </w:rPr>
        <w:t>Separately from this body of employment, the refrigerated cold food chain is supplied with perishable foods via a fleet of 28,900 refrigerated vehicles. Assuming that driving and keeping each of these vehicles on the road keeps two people employed full-time, it would equate to another 57,800 jobs. When added to the first value, this assessment indicates total employment in refrigerated transport and RAC services of 173,940, or roughly 1.5 per cent of total employment in Australia as of February 2013.</w:t>
      </w:r>
    </w:p>
    <w:p w14:paraId="523EA37C" w14:textId="219102E3" w:rsidR="001C6486" w:rsidRDefault="00E703BB" w:rsidP="00E703BB">
      <w:pPr>
        <w:rPr>
          <w:szCs w:val="22"/>
        </w:rPr>
      </w:pPr>
      <w:r w:rsidRPr="00E703BB">
        <w:rPr>
          <w:szCs w:val="22"/>
        </w:rPr>
        <w:t xml:space="preserve">Applying the ratio from </w:t>
      </w:r>
      <w:r w:rsidRPr="001C6486">
        <w:rPr>
          <w:i/>
          <w:szCs w:val="22"/>
        </w:rPr>
        <w:t>Table 2</w:t>
      </w:r>
      <w:r w:rsidR="001C6486" w:rsidRPr="001C6486">
        <w:rPr>
          <w:i/>
          <w:szCs w:val="22"/>
        </w:rPr>
        <w:t>7</w:t>
      </w:r>
      <w:r w:rsidRPr="00E703BB">
        <w:rPr>
          <w:szCs w:val="22"/>
        </w:rPr>
        <w:t xml:space="preserve"> to all licences on issue may appear too simplistic given the wide rang</w:t>
      </w:r>
      <w:r w:rsidR="001C6486">
        <w:rPr>
          <w:szCs w:val="22"/>
        </w:rPr>
        <w:t>e</w:t>
      </w:r>
      <w:r w:rsidRPr="00E703BB">
        <w:rPr>
          <w:szCs w:val="22"/>
        </w:rPr>
        <w:t xml:space="preserve"> of industries that RAC technicians are employed in, however a different approach yielded almost</w:t>
      </w:r>
      <w:r w:rsidR="00BA4856">
        <w:rPr>
          <w:szCs w:val="22"/>
        </w:rPr>
        <w:t xml:space="preserve"> exactly</w:t>
      </w:r>
      <w:r w:rsidRPr="00E703BB">
        <w:rPr>
          <w:szCs w:val="22"/>
        </w:rPr>
        <w:t xml:space="preserve"> the same result. As shown in </w:t>
      </w:r>
      <w:r w:rsidRPr="00D00A84">
        <w:rPr>
          <w:i/>
          <w:szCs w:val="22"/>
        </w:rPr>
        <w:t xml:space="preserve">Table </w:t>
      </w:r>
      <w:r w:rsidR="001C6486" w:rsidRPr="00D00A84">
        <w:rPr>
          <w:i/>
          <w:szCs w:val="22"/>
        </w:rPr>
        <w:t>28</w:t>
      </w:r>
      <w:r w:rsidRPr="00E703BB">
        <w:rPr>
          <w:szCs w:val="22"/>
        </w:rPr>
        <w:t>, each category of licence issued by ARC</w:t>
      </w:r>
      <w:r w:rsidR="001C6486">
        <w:rPr>
          <w:szCs w:val="22"/>
        </w:rPr>
        <w:t>tick</w:t>
      </w:r>
      <w:r w:rsidRPr="00E703BB">
        <w:rPr>
          <w:szCs w:val="22"/>
        </w:rPr>
        <w:t xml:space="preserve"> was treated separately and the reasoning for an employment multiplier developed and applied. Notes below the table set out the rationale for the multipliers used.</w:t>
      </w:r>
    </w:p>
    <w:p w14:paraId="2B72CC69" w14:textId="4812BC4A" w:rsidR="00E703BB" w:rsidRPr="00E703BB" w:rsidRDefault="00E703BB" w:rsidP="00E703BB">
      <w:pPr>
        <w:rPr>
          <w:szCs w:val="22"/>
        </w:rPr>
      </w:pPr>
      <w:r w:rsidRPr="00E703BB">
        <w:rPr>
          <w:szCs w:val="22"/>
        </w:rPr>
        <w:t xml:space="preserve"> </w:t>
      </w:r>
    </w:p>
    <w:p w14:paraId="29E2A21F" w14:textId="77777777" w:rsidR="00D95B5B" w:rsidRDefault="00D95B5B">
      <w:pPr>
        <w:spacing w:before="0"/>
        <w:jc w:val="left"/>
        <w:rPr>
          <w:i/>
          <w:szCs w:val="22"/>
        </w:rPr>
      </w:pPr>
      <w:r>
        <w:rPr>
          <w:i/>
          <w:szCs w:val="22"/>
        </w:rPr>
        <w:br w:type="page"/>
      </w:r>
    </w:p>
    <w:p w14:paraId="2FE48DE5" w14:textId="678D116E" w:rsidR="00BC0C6C" w:rsidRPr="005D159D" w:rsidRDefault="00BC0C6C" w:rsidP="00BC0C6C">
      <w:pPr>
        <w:rPr>
          <w:i/>
          <w:szCs w:val="22"/>
        </w:rPr>
      </w:pPr>
      <w:bookmarkStart w:id="89" w:name="_Toc233084072"/>
      <w:r w:rsidRPr="005D159D">
        <w:rPr>
          <w:i/>
          <w:szCs w:val="22"/>
        </w:rPr>
        <w:lastRenderedPageBreak/>
        <w:t xml:space="preserve">Table </w:t>
      </w:r>
      <w:r w:rsidRPr="005D159D">
        <w:rPr>
          <w:i/>
          <w:szCs w:val="22"/>
        </w:rPr>
        <w:fldChar w:fldCharType="begin"/>
      </w:r>
      <w:r w:rsidRPr="005D159D">
        <w:rPr>
          <w:i/>
          <w:szCs w:val="22"/>
        </w:rPr>
        <w:instrText xml:space="preserve"> SEQ Table \* ARABIC </w:instrText>
      </w:r>
      <w:r w:rsidRPr="005D159D">
        <w:rPr>
          <w:i/>
          <w:szCs w:val="22"/>
        </w:rPr>
        <w:fldChar w:fldCharType="separate"/>
      </w:r>
      <w:r w:rsidR="00196462">
        <w:rPr>
          <w:i/>
          <w:noProof/>
          <w:szCs w:val="22"/>
        </w:rPr>
        <w:t>28</w:t>
      </w:r>
      <w:r w:rsidRPr="005D159D">
        <w:rPr>
          <w:i/>
          <w:szCs w:val="22"/>
        </w:rPr>
        <w:fldChar w:fldCharType="end"/>
      </w:r>
      <w:r w:rsidRPr="005D159D">
        <w:rPr>
          <w:i/>
          <w:szCs w:val="22"/>
        </w:rPr>
        <w:t xml:space="preserve">: </w:t>
      </w:r>
      <w:r w:rsidRPr="000331C1">
        <w:rPr>
          <w:i/>
          <w:szCs w:val="22"/>
        </w:rPr>
        <w:t xml:space="preserve">Share of HVAC&amp;R </w:t>
      </w:r>
      <w:r>
        <w:rPr>
          <w:i/>
          <w:szCs w:val="22"/>
        </w:rPr>
        <w:t>s</w:t>
      </w:r>
      <w:r w:rsidRPr="000331C1">
        <w:rPr>
          <w:i/>
          <w:szCs w:val="22"/>
        </w:rPr>
        <w:t xml:space="preserve">ector </w:t>
      </w:r>
      <w:r>
        <w:rPr>
          <w:i/>
          <w:szCs w:val="22"/>
        </w:rPr>
        <w:t>e</w:t>
      </w:r>
      <w:r w:rsidRPr="000331C1">
        <w:rPr>
          <w:i/>
          <w:szCs w:val="22"/>
        </w:rPr>
        <w:t xml:space="preserve">nergy </w:t>
      </w:r>
      <w:r>
        <w:rPr>
          <w:i/>
          <w:szCs w:val="22"/>
        </w:rPr>
        <w:t>c</w:t>
      </w:r>
      <w:r w:rsidRPr="000331C1">
        <w:rPr>
          <w:i/>
          <w:szCs w:val="22"/>
        </w:rPr>
        <w:t xml:space="preserve">onsumption and </w:t>
      </w:r>
      <w:r>
        <w:rPr>
          <w:i/>
          <w:szCs w:val="22"/>
        </w:rPr>
        <w:t>e</w:t>
      </w:r>
      <w:r w:rsidRPr="000331C1">
        <w:rPr>
          <w:i/>
          <w:szCs w:val="22"/>
        </w:rPr>
        <w:t xml:space="preserve">missions by </w:t>
      </w:r>
      <w:r>
        <w:rPr>
          <w:i/>
          <w:szCs w:val="22"/>
        </w:rPr>
        <w:t>major c</w:t>
      </w:r>
      <w:r w:rsidRPr="000331C1">
        <w:rPr>
          <w:i/>
          <w:szCs w:val="22"/>
        </w:rPr>
        <w:t>lass</w:t>
      </w:r>
      <w:bookmarkEnd w:id="8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361"/>
        <w:gridCol w:w="1361"/>
        <w:gridCol w:w="1361"/>
        <w:gridCol w:w="1361"/>
        <w:gridCol w:w="1361"/>
      </w:tblGrid>
      <w:tr w:rsidR="00BC0C6C" w:rsidRPr="00923150" w14:paraId="36AC24CC" w14:textId="77777777" w:rsidTr="00CF6747">
        <w:trPr>
          <w:trHeight w:val="684"/>
        </w:trPr>
        <w:tc>
          <w:tcPr>
            <w:tcW w:w="2835" w:type="dxa"/>
            <w:tcBorders>
              <w:top w:val="single" w:sz="8" w:space="0" w:color="auto"/>
              <w:left w:val="single" w:sz="8" w:space="0" w:color="auto"/>
              <w:bottom w:val="single" w:sz="4" w:space="0" w:color="000000"/>
              <w:right w:val="single" w:sz="4" w:space="0" w:color="FFFFFF"/>
            </w:tcBorders>
            <w:shd w:val="clear" w:color="auto" w:fill="000000"/>
          </w:tcPr>
          <w:p w14:paraId="6E245F3C" w14:textId="1EC98BC5" w:rsidR="00BC0C6C" w:rsidRPr="00923150" w:rsidRDefault="00BC0C6C" w:rsidP="00634941">
            <w:pPr>
              <w:spacing w:after="120"/>
              <w:ind w:left="34"/>
            </w:pPr>
            <w:r w:rsidRPr="00F044EB">
              <w:t>Licence type</w:t>
            </w:r>
          </w:p>
        </w:tc>
        <w:tc>
          <w:tcPr>
            <w:tcW w:w="1361" w:type="dxa"/>
            <w:tcBorders>
              <w:top w:val="single" w:sz="8" w:space="0" w:color="auto"/>
              <w:left w:val="single" w:sz="4" w:space="0" w:color="FFFFFF"/>
              <w:bottom w:val="single" w:sz="4" w:space="0" w:color="000000"/>
              <w:right w:val="single" w:sz="4" w:space="0" w:color="FFFFFF"/>
            </w:tcBorders>
            <w:shd w:val="clear" w:color="auto" w:fill="000000"/>
          </w:tcPr>
          <w:p w14:paraId="046660DC" w14:textId="6B39A9D9" w:rsidR="00BC0C6C" w:rsidRPr="008B096C" w:rsidRDefault="00BC0C6C" w:rsidP="00634941">
            <w:pPr>
              <w:spacing w:after="120"/>
              <w:jc w:val="center"/>
              <w:rPr>
                <w:sz w:val="20"/>
                <w:szCs w:val="20"/>
              </w:rPr>
            </w:pPr>
            <w:r w:rsidRPr="00F044EB">
              <w:t>Number of Licences</w:t>
            </w:r>
          </w:p>
        </w:tc>
        <w:tc>
          <w:tcPr>
            <w:tcW w:w="1361" w:type="dxa"/>
            <w:tcBorders>
              <w:top w:val="single" w:sz="8" w:space="0" w:color="auto"/>
              <w:left w:val="single" w:sz="4" w:space="0" w:color="FFFFFF"/>
              <w:bottom w:val="single" w:sz="4" w:space="0" w:color="000000"/>
              <w:right w:val="single" w:sz="4" w:space="0" w:color="FFFFFF"/>
            </w:tcBorders>
            <w:shd w:val="clear" w:color="auto" w:fill="000000"/>
          </w:tcPr>
          <w:p w14:paraId="6A932285" w14:textId="10838518" w:rsidR="00BC0C6C" w:rsidRPr="008B096C" w:rsidRDefault="00BC0C6C" w:rsidP="00634941">
            <w:pPr>
              <w:spacing w:after="120"/>
              <w:jc w:val="center"/>
              <w:rPr>
                <w:sz w:val="20"/>
                <w:szCs w:val="20"/>
              </w:rPr>
            </w:pPr>
            <w:r w:rsidRPr="00F044EB">
              <w:t>Proportion of Licences (%)</w:t>
            </w:r>
          </w:p>
        </w:tc>
        <w:tc>
          <w:tcPr>
            <w:tcW w:w="1361" w:type="dxa"/>
            <w:tcBorders>
              <w:top w:val="single" w:sz="8" w:space="0" w:color="auto"/>
              <w:left w:val="single" w:sz="4" w:space="0" w:color="FFFFFF"/>
              <w:bottom w:val="single" w:sz="4" w:space="0" w:color="000000"/>
              <w:right w:val="single" w:sz="4" w:space="0" w:color="FFFFFF"/>
            </w:tcBorders>
            <w:shd w:val="clear" w:color="auto" w:fill="000000"/>
          </w:tcPr>
          <w:p w14:paraId="29A02D65" w14:textId="25F601C3" w:rsidR="00BC0C6C" w:rsidRPr="008B096C" w:rsidRDefault="00BC0C6C" w:rsidP="00634941">
            <w:pPr>
              <w:spacing w:after="120"/>
              <w:jc w:val="center"/>
              <w:rPr>
                <w:sz w:val="20"/>
                <w:szCs w:val="20"/>
              </w:rPr>
            </w:pPr>
            <w:r w:rsidRPr="00F044EB">
              <w:t>Employment Multipliers</w:t>
            </w:r>
          </w:p>
        </w:tc>
        <w:tc>
          <w:tcPr>
            <w:tcW w:w="1361" w:type="dxa"/>
            <w:tcBorders>
              <w:top w:val="single" w:sz="8" w:space="0" w:color="auto"/>
              <w:left w:val="single" w:sz="4" w:space="0" w:color="FFFFFF"/>
              <w:bottom w:val="single" w:sz="4" w:space="0" w:color="000000"/>
              <w:right w:val="single" w:sz="4" w:space="0" w:color="FFFFFF"/>
            </w:tcBorders>
            <w:shd w:val="clear" w:color="auto" w:fill="000000"/>
          </w:tcPr>
          <w:p w14:paraId="00FA56CF" w14:textId="608CBF96" w:rsidR="00BC0C6C" w:rsidRPr="008B096C" w:rsidRDefault="00BC0C6C" w:rsidP="00634941">
            <w:pPr>
              <w:spacing w:after="120"/>
              <w:jc w:val="center"/>
              <w:rPr>
                <w:sz w:val="20"/>
                <w:szCs w:val="20"/>
              </w:rPr>
            </w:pPr>
            <w:r w:rsidRPr="00F044EB">
              <w:t>Total Employment</w:t>
            </w:r>
          </w:p>
        </w:tc>
        <w:tc>
          <w:tcPr>
            <w:tcW w:w="1361" w:type="dxa"/>
            <w:tcBorders>
              <w:top w:val="single" w:sz="8" w:space="0" w:color="auto"/>
              <w:left w:val="single" w:sz="4" w:space="0" w:color="FFFFFF"/>
              <w:bottom w:val="single" w:sz="4" w:space="0" w:color="000000"/>
              <w:right w:val="single" w:sz="8" w:space="0" w:color="auto"/>
            </w:tcBorders>
            <w:shd w:val="clear" w:color="auto" w:fill="000000"/>
          </w:tcPr>
          <w:p w14:paraId="1EE0F1E2" w14:textId="3B9BFB3B" w:rsidR="00BC0C6C" w:rsidRPr="008B096C" w:rsidRDefault="00BC0C6C" w:rsidP="00730E93">
            <w:pPr>
              <w:spacing w:after="120"/>
              <w:jc w:val="center"/>
              <w:rPr>
                <w:sz w:val="20"/>
                <w:szCs w:val="20"/>
              </w:rPr>
            </w:pPr>
            <w:r w:rsidRPr="00F044EB">
              <w:t>Proportion of</w:t>
            </w:r>
            <w:r w:rsidR="00730E93">
              <w:t xml:space="preserve"> </w:t>
            </w:r>
            <w:r w:rsidRPr="00F044EB">
              <w:t xml:space="preserve"> employment (%)</w:t>
            </w:r>
          </w:p>
        </w:tc>
      </w:tr>
      <w:tr w:rsidR="00BC0C6C" w:rsidRPr="00923150" w14:paraId="7D19F07F" w14:textId="77777777" w:rsidTr="00634941">
        <w:trPr>
          <w:trHeight w:val="456"/>
        </w:trPr>
        <w:tc>
          <w:tcPr>
            <w:tcW w:w="2835" w:type="dxa"/>
            <w:tcBorders>
              <w:top w:val="single" w:sz="4" w:space="0" w:color="000000"/>
            </w:tcBorders>
            <w:vAlign w:val="center"/>
          </w:tcPr>
          <w:p w14:paraId="050C8635" w14:textId="04A6500D" w:rsidR="00BC0C6C" w:rsidRPr="00923150" w:rsidRDefault="00BC0C6C" w:rsidP="00634941">
            <w:pPr>
              <w:spacing w:before="60" w:after="60"/>
              <w:ind w:left="34"/>
              <w:jc w:val="left"/>
              <w:rPr>
                <w:sz w:val="20"/>
              </w:rPr>
            </w:pPr>
            <w:r w:rsidRPr="006502C7">
              <w:t>Automotive A/C</w:t>
            </w:r>
          </w:p>
        </w:tc>
        <w:tc>
          <w:tcPr>
            <w:tcW w:w="1361" w:type="dxa"/>
            <w:tcBorders>
              <w:top w:val="single" w:sz="4" w:space="0" w:color="000000"/>
            </w:tcBorders>
            <w:vAlign w:val="center"/>
          </w:tcPr>
          <w:p w14:paraId="4C856430" w14:textId="3953EF5C" w:rsidR="00BC0C6C" w:rsidRPr="008B096C" w:rsidRDefault="00BC0C6C" w:rsidP="00634941">
            <w:pPr>
              <w:spacing w:before="60" w:after="60"/>
              <w:jc w:val="center"/>
              <w:rPr>
                <w:sz w:val="20"/>
                <w:szCs w:val="20"/>
              </w:rPr>
            </w:pPr>
            <w:r w:rsidRPr="006502C7">
              <w:t>24,315</w:t>
            </w:r>
          </w:p>
        </w:tc>
        <w:tc>
          <w:tcPr>
            <w:tcW w:w="1361" w:type="dxa"/>
            <w:tcBorders>
              <w:top w:val="single" w:sz="4" w:space="0" w:color="000000"/>
            </w:tcBorders>
            <w:vAlign w:val="center"/>
          </w:tcPr>
          <w:p w14:paraId="1731F13A" w14:textId="30B4D804" w:rsidR="00BC0C6C" w:rsidRPr="008B096C" w:rsidRDefault="00BC0C6C" w:rsidP="00634941">
            <w:pPr>
              <w:spacing w:before="60" w:after="60"/>
              <w:jc w:val="center"/>
              <w:rPr>
                <w:sz w:val="20"/>
                <w:szCs w:val="20"/>
              </w:rPr>
            </w:pPr>
            <w:r w:rsidRPr="006502C7">
              <w:t>44.6%</w:t>
            </w:r>
          </w:p>
        </w:tc>
        <w:tc>
          <w:tcPr>
            <w:tcW w:w="1361" w:type="dxa"/>
            <w:tcBorders>
              <w:top w:val="single" w:sz="4" w:space="0" w:color="000000"/>
            </w:tcBorders>
            <w:vAlign w:val="center"/>
          </w:tcPr>
          <w:p w14:paraId="71FFF07F" w14:textId="56FE33DE" w:rsidR="00BC0C6C" w:rsidRPr="008B096C" w:rsidRDefault="00BC0C6C" w:rsidP="00634941">
            <w:pPr>
              <w:spacing w:before="60" w:after="60"/>
              <w:jc w:val="center"/>
              <w:rPr>
                <w:sz w:val="20"/>
                <w:szCs w:val="20"/>
              </w:rPr>
            </w:pPr>
            <w:r w:rsidRPr="006502C7">
              <w:t>1.00</w:t>
            </w:r>
          </w:p>
        </w:tc>
        <w:tc>
          <w:tcPr>
            <w:tcW w:w="1361" w:type="dxa"/>
            <w:tcBorders>
              <w:top w:val="single" w:sz="4" w:space="0" w:color="000000"/>
            </w:tcBorders>
            <w:vAlign w:val="center"/>
          </w:tcPr>
          <w:p w14:paraId="02BA1B59" w14:textId="592A02BD" w:rsidR="00BC0C6C" w:rsidRPr="008B096C" w:rsidRDefault="00BC0C6C" w:rsidP="00634941">
            <w:pPr>
              <w:spacing w:before="60" w:after="60"/>
              <w:jc w:val="center"/>
              <w:rPr>
                <w:sz w:val="20"/>
                <w:szCs w:val="20"/>
              </w:rPr>
            </w:pPr>
            <w:r w:rsidRPr="006502C7">
              <w:t>24,315</w:t>
            </w:r>
          </w:p>
        </w:tc>
        <w:tc>
          <w:tcPr>
            <w:tcW w:w="1361" w:type="dxa"/>
            <w:tcBorders>
              <w:top w:val="single" w:sz="4" w:space="0" w:color="000000"/>
            </w:tcBorders>
            <w:vAlign w:val="center"/>
          </w:tcPr>
          <w:p w14:paraId="38B7C554" w14:textId="1843977C" w:rsidR="00BC0C6C" w:rsidRPr="008B096C" w:rsidRDefault="00BC0C6C" w:rsidP="00634941">
            <w:pPr>
              <w:spacing w:before="60" w:after="60"/>
              <w:jc w:val="center"/>
              <w:rPr>
                <w:sz w:val="20"/>
                <w:szCs w:val="20"/>
              </w:rPr>
            </w:pPr>
            <w:r w:rsidRPr="006502C7">
              <w:t>21.1%</w:t>
            </w:r>
          </w:p>
        </w:tc>
      </w:tr>
      <w:tr w:rsidR="00BC0C6C" w:rsidRPr="00923150" w14:paraId="2453CD8A" w14:textId="77777777" w:rsidTr="00634941">
        <w:trPr>
          <w:trHeight w:val="456"/>
        </w:trPr>
        <w:tc>
          <w:tcPr>
            <w:tcW w:w="2835" w:type="dxa"/>
            <w:tcBorders>
              <w:top w:val="single" w:sz="4" w:space="0" w:color="000000"/>
            </w:tcBorders>
            <w:vAlign w:val="center"/>
          </w:tcPr>
          <w:p w14:paraId="672C25D4" w14:textId="3AE22D80" w:rsidR="00BC0C6C" w:rsidRPr="00923150" w:rsidRDefault="00BC0C6C" w:rsidP="00634941">
            <w:pPr>
              <w:spacing w:before="60" w:after="60"/>
              <w:ind w:left="34"/>
              <w:jc w:val="left"/>
              <w:rPr>
                <w:sz w:val="20"/>
              </w:rPr>
            </w:pPr>
            <w:r w:rsidRPr="006502C7">
              <w:t>Aviation</w:t>
            </w:r>
          </w:p>
        </w:tc>
        <w:tc>
          <w:tcPr>
            <w:tcW w:w="1361" w:type="dxa"/>
            <w:tcBorders>
              <w:top w:val="single" w:sz="4" w:space="0" w:color="000000"/>
            </w:tcBorders>
            <w:vAlign w:val="center"/>
          </w:tcPr>
          <w:p w14:paraId="23B43339" w14:textId="021F883F" w:rsidR="00BC0C6C" w:rsidRPr="008B096C" w:rsidRDefault="00BC0C6C" w:rsidP="00634941">
            <w:pPr>
              <w:spacing w:before="60" w:after="60"/>
              <w:jc w:val="center"/>
              <w:rPr>
                <w:sz w:val="20"/>
                <w:szCs w:val="20"/>
              </w:rPr>
            </w:pPr>
            <w:r w:rsidRPr="006502C7">
              <w:t>122</w:t>
            </w:r>
          </w:p>
        </w:tc>
        <w:tc>
          <w:tcPr>
            <w:tcW w:w="1361" w:type="dxa"/>
            <w:tcBorders>
              <w:top w:val="single" w:sz="4" w:space="0" w:color="000000"/>
            </w:tcBorders>
            <w:vAlign w:val="center"/>
          </w:tcPr>
          <w:p w14:paraId="3B21EB37" w14:textId="23BEF372" w:rsidR="00BC0C6C" w:rsidRPr="008B096C" w:rsidRDefault="00BC0C6C" w:rsidP="00634941">
            <w:pPr>
              <w:spacing w:before="60" w:after="60"/>
              <w:jc w:val="center"/>
              <w:rPr>
                <w:sz w:val="20"/>
                <w:szCs w:val="20"/>
              </w:rPr>
            </w:pPr>
            <w:r w:rsidRPr="006502C7">
              <w:t>0.2%</w:t>
            </w:r>
          </w:p>
        </w:tc>
        <w:tc>
          <w:tcPr>
            <w:tcW w:w="1361" w:type="dxa"/>
            <w:tcBorders>
              <w:top w:val="single" w:sz="4" w:space="0" w:color="000000"/>
            </w:tcBorders>
            <w:vAlign w:val="center"/>
          </w:tcPr>
          <w:p w14:paraId="1F498296" w14:textId="3CE6D73E" w:rsidR="00BC0C6C" w:rsidRPr="008B096C" w:rsidRDefault="00BC0C6C" w:rsidP="00634941">
            <w:pPr>
              <w:spacing w:before="60" w:after="60"/>
              <w:jc w:val="center"/>
              <w:rPr>
                <w:sz w:val="20"/>
                <w:szCs w:val="20"/>
              </w:rPr>
            </w:pPr>
            <w:r w:rsidRPr="006502C7">
              <w:t>2.50</w:t>
            </w:r>
          </w:p>
        </w:tc>
        <w:tc>
          <w:tcPr>
            <w:tcW w:w="1361" w:type="dxa"/>
            <w:tcBorders>
              <w:top w:val="single" w:sz="4" w:space="0" w:color="000000"/>
            </w:tcBorders>
            <w:vAlign w:val="center"/>
          </w:tcPr>
          <w:p w14:paraId="622373A8" w14:textId="63F8D320" w:rsidR="00BC0C6C" w:rsidRPr="008B096C" w:rsidRDefault="00BC0C6C" w:rsidP="00634941">
            <w:pPr>
              <w:spacing w:before="60" w:after="60"/>
              <w:jc w:val="center"/>
              <w:rPr>
                <w:sz w:val="20"/>
                <w:szCs w:val="20"/>
              </w:rPr>
            </w:pPr>
            <w:r w:rsidRPr="006502C7">
              <w:t>305</w:t>
            </w:r>
          </w:p>
        </w:tc>
        <w:tc>
          <w:tcPr>
            <w:tcW w:w="1361" w:type="dxa"/>
            <w:tcBorders>
              <w:top w:val="single" w:sz="4" w:space="0" w:color="000000"/>
            </w:tcBorders>
            <w:vAlign w:val="center"/>
          </w:tcPr>
          <w:p w14:paraId="0518D298" w14:textId="31941B97" w:rsidR="00BC0C6C" w:rsidRPr="008B096C" w:rsidRDefault="00BC0C6C" w:rsidP="00634941">
            <w:pPr>
              <w:spacing w:before="60" w:after="60"/>
              <w:jc w:val="center"/>
              <w:rPr>
                <w:sz w:val="20"/>
                <w:szCs w:val="20"/>
              </w:rPr>
            </w:pPr>
            <w:r w:rsidRPr="006502C7">
              <w:t>0.3%</w:t>
            </w:r>
          </w:p>
        </w:tc>
      </w:tr>
      <w:tr w:rsidR="00BC0C6C" w:rsidRPr="00923150" w14:paraId="5CBA8E6F" w14:textId="77777777" w:rsidTr="00634941">
        <w:trPr>
          <w:trHeight w:val="456"/>
        </w:trPr>
        <w:tc>
          <w:tcPr>
            <w:tcW w:w="2835" w:type="dxa"/>
            <w:vAlign w:val="center"/>
          </w:tcPr>
          <w:p w14:paraId="61504667" w14:textId="19F33012" w:rsidR="00BC0C6C" w:rsidRPr="0042079B" w:rsidRDefault="00BC0C6C" w:rsidP="00634941">
            <w:pPr>
              <w:spacing w:before="60" w:after="60"/>
              <w:ind w:left="34"/>
              <w:jc w:val="left"/>
            </w:pPr>
            <w:r w:rsidRPr="006502C7">
              <w:t>Awaiting Assessment</w:t>
            </w:r>
          </w:p>
        </w:tc>
        <w:tc>
          <w:tcPr>
            <w:tcW w:w="1361" w:type="dxa"/>
            <w:vAlign w:val="center"/>
          </w:tcPr>
          <w:p w14:paraId="5FA9D17B" w14:textId="2187EF91" w:rsidR="00BC0C6C" w:rsidRPr="0042079B" w:rsidRDefault="00BC0C6C" w:rsidP="00634941">
            <w:pPr>
              <w:spacing w:before="60" w:after="60"/>
              <w:jc w:val="center"/>
            </w:pPr>
            <w:r w:rsidRPr="006502C7">
              <w:t>424</w:t>
            </w:r>
          </w:p>
        </w:tc>
        <w:tc>
          <w:tcPr>
            <w:tcW w:w="1361" w:type="dxa"/>
            <w:vAlign w:val="center"/>
          </w:tcPr>
          <w:p w14:paraId="10D64363" w14:textId="76FE5D06" w:rsidR="00BC0C6C" w:rsidRPr="0042079B" w:rsidRDefault="00BC0C6C" w:rsidP="00634941">
            <w:pPr>
              <w:spacing w:before="60" w:after="60"/>
              <w:jc w:val="center"/>
            </w:pPr>
            <w:r w:rsidRPr="006502C7">
              <w:t>0.8%</w:t>
            </w:r>
          </w:p>
        </w:tc>
        <w:tc>
          <w:tcPr>
            <w:tcW w:w="1361" w:type="dxa"/>
            <w:vAlign w:val="center"/>
          </w:tcPr>
          <w:p w14:paraId="06E3EF6E" w14:textId="174396BC" w:rsidR="00BC0C6C" w:rsidRPr="0042079B" w:rsidRDefault="00BC0C6C" w:rsidP="00634941">
            <w:pPr>
              <w:spacing w:before="60" w:after="60"/>
              <w:jc w:val="center"/>
            </w:pPr>
            <w:r w:rsidRPr="006502C7">
              <w:t>0.00</w:t>
            </w:r>
          </w:p>
        </w:tc>
        <w:tc>
          <w:tcPr>
            <w:tcW w:w="1361" w:type="dxa"/>
            <w:vAlign w:val="center"/>
          </w:tcPr>
          <w:p w14:paraId="716506DB" w14:textId="16FA5EF9" w:rsidR="00BC0C6C" w:rsidRPr="0042079B" w:rsidRDefault="00BC0C6C" w:rsidP="00634941">
            <w:pPr>
              <w:spacing w:before="60" w:after="60"/>
              <w:jc w:val="center"/>
            </w:pPr>
            <w:r w:rsidRPr="006502C7">
              <w:t>0</w:t>
            </w:r>
          </w:p>
        </w:tc>
        <w:tc>
          <w:tcPr>
            <w:tcW w:w="1361" w:type="dxa"/>
            <w:vAlign w:val="center"/>
          </w:tcPr>
          <w:p w14:paraId="4BC4ECBB" w14:textId="1E1A4489" w:rsidR="00BC0C6C" w:rsidRPr="0042079B" w:rsidRDefault="00BC0C6C" w:rsidP="00634941">
            <w:pPr>
              <w:spacing w:before="60" w:after="60"/>
              <w:jc w:val="center"/>
            </w:pPr>
            <w:r w:rsidRPr="006502C7">
              <w:t>0.0%</w:t>
            </w:r>
          </w:p>
        </w:tc>
      </w:tr>
      <w:tr w:rsidR="00BC0C6C" w:rsidRPr="00923150" w14:paraId="44312ECB" w14:textId="77777777" w:rsidTr="00634941">
        <w:trPr>
          <w:trHeight w:val="456"/>
        </w:trPr>
        <w:tc>
          <w:tcPr>
            <w:tcW w:w="2835" w:type="dxa"/>
            <w:vAlign w:val="center"/>
          </w:tcPr>
          <w:p w14:paraId="0D2A9609" w14:textId="70C3F995" w:rsidR="00BC0C6C" w:rsidRPr="0042079B" w:rsidRDefault="00BC0C6C" w:rsidP="00634941">
            <w:pPr>
              <w:spacing w:before="60" w:after="60"/>
              <w:ind w:left="34"/>
              <w:jc w:val="left"/>
            </w:pPr>
            <w:r w:rsidRPr="006502C7">
              <w:t>Domestic RAC</w:t>
            </w:r>
          </w:p>
        </w:tc>
        <w:tc>
          <w:tcPr>
            <w:tcW w:w="1361" w:type="dxa"/>
            <w:vAlign w:val="center"/>
          </w:tcPr>
          <w:p w14:paraId="35CA892C" w14:textId="294AC3B7" w:rsidR="00BC0C6C" w:rsidRPr="0042079B" w:rsidRDefault="00BC0C6C" w:rsidP="00634941">
            <w:pPr>
              <w:spacing w:before="60" w:after="60"/>
              <w:jc w:val="center"/>
            </w:pPr>
            <w:r w:rsidRPr="006502C7">
              <w:t>387</w:t>
            </w:r>
          </w:p>
        </w:tc>
        <w:tc>
          <w:tcPr>
            <w:tcW w:w="1361" w:type="dxa"/>
            <w:vAlign w:val="center"/>
          </w:tcPr>
          <w:p w14:paraId="35FD35C6" w14:textId="3442FD40" w:rsidR="00BC0C6C" w:rsidRPr="0042079B" w:rsidRDefault="00BC0C6C" w:rsidP="00634941">
            <w:pPr>
              <w:spacing w:before="60" w:after="60"/>
              <w:jc w:val="center"/>
            </w:pPr>
            <w:r w:rsidRPr="006502C7">
              <w:t>0.7%</w:t>
            </w:r>
          </w:p>
        </w:tc>
        <w:tc>
          <w:tcPr>
            <w:tcW w:w="1361" w:type="dxa"/>
            <w:vAlign w:val="center"/>
          </w:tcPr>
          <w:p w14:paraId="4E04D022" w14:textId="08FA5BD1" w:rsidR="00BC0C6C" w:rsidRPr="0042079B" w:rsidRDefault="00BC0C6C" w:rsidP="00634941">
            <w:pPr>
              <w:spacing w:before="60" w:after="60"/>
              <w:jc w:val="center"/>
            </w:pPr>
            <w:r w:rsidRPr="006502C7">
              <w:t>2.00</w:t>
            </w:r>
          </w:p>
        </w:tc>
        <w:tc>
          <w:tcPr>
            <w:tcW w:w="1361" w:type="dxa"/>
            <w:vAlign w:val="center"/>
          </w:tcPr>
          <w:p w14:paraId="29B19513" w14:textId="07A1130E" w:rsidR="00BC0C6C" w:rsidRPr="0042079B" w:rsidRDefault="00BC0C6C" w:rsidP="00634941">
            <w:pPr>
              <w:spacing w:before="60" w:after="60"/>
              <w:jc w:val="center"/>
            </w:pPr>
            <w:r w:rsidRPr="006502C7">
              <w:t>774</w:t>
            </w:r>
          </w:p>
        </w:tc>
        <w:tc>
          <w:tcPr>
            <w:tcW w:w="1361" w:type="dxa"/>
            <w:vAlign w:val="center"/>
          </w:tcPr>
          <w:p w14:paraId="1CB0C2E3" w14:textId="4964C76B" w:rsidR="00BC0C6C" w:rsidRPr="0042079B" w:rsidRDefault="00BC0C6C" w:rsidP="00634941">
            <w:pPr>
              <w:spacing w:before="60" w:after="60"/>
              <w:jc w:val="center"/>
            </w:pPr>
            <w:r w:rsidRPr="006502C7">
              <w:t>0.7%</w:t>
            </w:r>
          </w:p>
        </w:tc>
      </w:tr>
      <w:tr w:rsidR="00BC0C6C" w:rsidRPr="00923150" w14:paraId="4AFA6B3F" w14:textId="77777777" w:rsidTr="00634941">
        <w:trPr>
          <w:trHeight w:val="456"/>
        </w:trPr>
        <w:tc>
          <w:tcPr>
            <w:tcW w:w="2835" w:type="dxa"/>
            <w:vAlign w:val="center"/>
          </w:tcPr>
          <w:p w14:paraId="4B179F21" w14:textId="3A432AB7" w:rsidR="00BC0C6C" w:rsidRPr="0042079B" w:rsidRDefault="00BC0C6C" w:rsidP="00634941">
            <w:pPr>
              <w:spacing w:before="60" w:after="60"/>
              <w:ind w:left="34"/>
              <w:jc w:val="left"/>
            </w:pPr>
            <w:r w:rsidRPr="006502C7">
              <w:t>Marine</w:t>
            </w:r>
          </w:p>
        </w:tc>
        <w:tc>
          <w:tcPr>
            <w:tcW w:w="1361" w:type="dxa"/>
            <w:vAlign w:val="center"/>
          </w:tcPr>
          <w:p w14:paraId="6440853C" w14:textId="3DCA75F6" w:rsidR="00BC0C6C" w:rsidRPr="0042079B" w:rsidRDefault="00BC0C6C" w:rsidP="00634941">
            <w:pPr>
              <w:spacing w:before="60" w:after="60"/>
              <w:jc w:val="center"/>
            </w:pPr>
            <w:r w:rsidRPr="006502C7">
              <w:t>241</w:t>
            </w:r>
          </w:p>
        </w:tc>
        <w:tc>
          <w:tcPr>
            <w:tcW w:w="1361" w:type="dxa"/>
            <w:vAlign w:val="center"/>
          </w:tcPr>
          <w:p w14:paraId="1A443D3E" w14:textId="1B1C4326" w:rsidR="00BC0C6C" w:rsidRPr="0042079B" w:rsidRDefault="00BC0C6C" w:rsidP="00634941">
            <w:pPr>
              <w:spacing w:before="60" w:after="60"/>
              <w:jc w:val="center"/>
            </w:pPr>
            <w:r w:rsidRPr="006502C7">
              <w:t>0.4%</w:t>
            </w:r>
          </w:p>
        </w:tc>
        <w:tc>
          <w:tcPr>
            <w:tcW w:w="1361" w:type="dxa"/>
            <w:vAlign w:val="center"/>
          </w:tcPr>
          <w:p w14:paraId="46EE4352" w14:textId="2648C80C" w:rsidR="00BC0C6C" w:rsidRPr="0042079B" w:rsidRDefault="00BC0C6C" w:rsidP="00634941">
            <w:pPr>
              <w:spacing w:before="60" w:after="60"/>
              <w:jc w:val="center"/>
            </w:pPr>
            <w:r w:rsidRPr="006502C7">
              <w:t>2.65</w:t>
            </w:r>
          </w:p>
        </w:tc>
        <w:tc>
          <w:tcPr>
            <w:tcW w:w="1361" w:type="dxa"/>
            <w:vAlign w:val="center"/>
          </w:tcPr>
          <w:p w14:paraId="3D998BCA" w14:textId="512F3386" w:rsidR="00BC0C6C" w:rsidRPr="0042079B" w:rsidRDefault="00BC0C6C" w:rsidP="00634941">
            <w:pPr>
              <w:spacing w:before="60" w:after="60"/>
              <w:jc w:val="center"/>
            </w:pPr>
            <w:r w:rsidRPr="006502C7">
              <w:t>639</w:t>
            </w:r>
          </w:p>
        </w:tc>
        <w:tc>
          <w:tcPr>
            <w:tcW w:w="1361" w:type="dxa"/>
            <w:vAlign w:val="center"/>
          </w:tcPr>
          <w:p w14:paraId="4694868B" w14:textId="1AD87A3E" w:rsidR="00BC0C6C" w:rsidRPr="0042079B" w:rsidRDefault="00BC0C6C" w:rsidP="00634941">
            <w:pPr>
              <w:spacing w:before="60" w:after="60"/>
              <w:jc w:val="center"/>
            </w:pPr>
            <w:r w:rsidRPr="006502C7">
              <w:t>0.6%</w:t>
            </w:r>
          </w:p>
        </w:tc>
      </w:tr>
      <w:tr w:rsidR="00BC0C6C" w:rsidRPr="00923150" w14:paraId="357C49BC" w14:textId="77777777" w:rsidTr="00634941">
        <w:trPr>
          <w:trHeight w:val="456"/>
        </w:trPr>
        <w:tc>
          <w:tcPr>
            <w:tcW w:w="2835" w:type="dxa"/>
            <w:vAlign w:val="center"/>
          </w:tcPr>
          <w:p w14:paraId="51B5CCCD" w14:textId="7DD658D6" w:rsidR="00BC0C6C" w:rsidRPr="0042079B" w:rsidRDefault="00BC0C6C" w:rsidP="00634941">
            <w:pPr>
              <w:spacing w:before="60" w:after="60"/>
              <w:ind w:left="34"/>
              <w:jc w:val="left"/>
            </w:pPr>
            <w:r w:rsidRPr="006502C7">
              <w:t xml:space="preserve">Commercial refrigeration </w:t>
            </w:r>
          </w:p>
        </w:tc>
        <w:tc>
          <w:tcPr>
            <w:tcW w:w="1361" w:type="dxa"/>
            <w:vAlign w:val="center"/>
          </w:tcPr>
          <w:p w14:paraId="467EA5C5" w14:textId="231B126A" w:rsidR="00BC0C6C" w:rsidRPr="0042079B" w:rsidRDefault="00BC0C6C" w:rsidP="00634941">
            <w:pPr>
              <w:spacing w:before="60" w:after="60"/>
              <w:jc w:val="center"/>
            </w:pPr>
            <w:r w:rsidRPr="006502C7">
              <w:t>5,244</w:t>
            </w:r>
          </w:p>
        </w:tc>
        <w:tc>
          <w:tcPr>
            <w:tcW w:w="1361" w:type="dxa"/>
            <w:vAlign w:val="center"/>
          </w:tcPr>
          <w:p w14:paraId="03AA537B" w14:textId="609E2BF8" w:rsidR="00BC0C6C" w:rsidRPr="0042079B" w:rsidRDefault="00BC0C6C" w:rsidP="00634941">
            <w:pPr>
              <w:spacing w:before="60" w:after="60"/>
              <w:jc w:val="center"/>
            </w:pPr>
            <w:r w:rsidRPr="006502C7">
              <w:t>9.6%</w:t>
            </w:r>
          </w:p>
        </w:tc>
        <w:tc>
          <w:tcPr>
            <w:tcW w:w="1361" w:type="dxa"/>
            <w:vAlign w:val="center"/>
          </w:tcPr>
          <w:p w14:paraId="38515227" w14:textId="2F09C387" w:rsidR="00BC0C6C" w:rsidRPr="0042079B" w:rsidRDefault="00BC0C6C" w:rsidP="00634941">
            <w:pPr>
              <w:spacing w:before="60" w:after="60"/>
              <w:jc w:val="center"/>
            </w:pPr>
            <w:r w:rsidRPr="006502C7">
              <w:t>4.00</w:t>
            </w:r>
          </w:p>
        </w:tc>
        <w:tc>
          <w:tcPr>
            <w:tcW w:w="1361" w:type="dxa"/>
            <w:vAlign w:val="center"/>
          </w:tcPr>
          <w:p w14:paraId="22C96C0D" w14:textId="249EE43E" w:rsidR="00BC0C6C" w:rsidRPr="0042079B" w:rsidRDefault="00BC0C6C" w:rsidP="00634941">
            <w:pPr>
              <w:spacing w:before="60" w:after="60"/>
              <w:jc w:val="center"/>
            </w:pPr>
            <w:r w:rsidRPr="006502C7">
              <w:t>20,975</w:t>
            </w:r>
          </w:p>
        </w:tc>
        <w:tc>
          <w:tcPr>
            <w:tcW w:w="1361" w:type="dxa"/>
            <w:vAlign w:val="center"/>
          </w:tcPr>
          <w:p w14:paraId="2442E5F2" w14:textId="7EA6DBF6" w:rsidR="00BC0C6C" w:rsidRPr="0042079B" w:rsidRDefault="00BC0C6C" w:rsidP="00634941">
            <w:pPr>
              <w:spacing w:before="60" w:after="60"/>
              <w:jc w:val="center"/>
            </w:pPr>
            <w:r w:rsidRPr="006502C7">
              <w:t>18.2%</w:t>
            </w:r>
          </w:p>
        </w:tc>
      </w:tr>
      <w:tr w:rsidR="00BC0C6C" w:rsidRPr="00923150" w14:paraId="625E8DBF" w14:textId="77777777" w:rsidTr="00634941">
        <w:trPr>
          <w:trHeight w:val="456"/>
        </w:trPr>
        <w:tc>
          <w:tcPr>
            <w:tcW w:w="2835" w:type="dxa"/>
            <w:vAlign w:val="center"/>
          </w:tcPr>
          <w:p w14:paraId="6E778998" w14:textId="0C8EDB57" w:rsidR="00BC0C6C" w:rsidRPr="0042079B" w:rsidRDefault="00BC0C6C" w:rsidP="00BC0C6C">
            <w:pPr>
              <w:spacing w:before="60" w:after="60"/>
              <w:ind w:left="34"/>
              <w:jc w:val="left"/>
            </w:pPr>
            <w:r w:rsidRPr="006502C7">
              <w:t xml:space="preserve">Large residential, </w:t>
            </w:r>
            <w:r>
              <w:t>l</w:t>
            </w:r>
            <w:r w:rsidRPr="006502C7">
              <w:t>ight commercial and chillers</w:t>
            </w:r>
          </w:p>
        </w:tc>
        <w:tc>
          <w:tcPr>
            <w:tcW w:w="1361" w:type="dxa"/>
            <w:vAlign w:val="center"/>
          </w:tcPr>
          <w:p w14:paraId="7AE68812" w14:textId="686E7268" w:rsidR="00BC0C6C" w:rsidRPr="0042079B" w:rsidRDefault="00BC0C6C" w:rsidP="00634941">
            <w:pPr>
              <w:spacing w:before="60" w:after="60"/>
              <w:jc w:val="center"/>
            </w:pPr>
            <w:r w:rsidRPr="006502C7">
              <w:t>15,731</w:t>
            </w:r>
          </w:p>
        </w:tc>
        <w:tc>
          <w:tcPr>
            <w:tcW w:w="1361" w:type="dxa"/>
            <w:vAlign w:val="center"/>
          </w:tcPr>
          <w:p w14:paraId="78FF247B" w14:textId="7027E070" w:rsidR="00BC0C6C" w:rsidRPr="0042079B" w:rsidRDefault="00BC0C6C" w:rsidP="00634941">
            <w:pPr>
              <w:spacing w:before="60" w:after="60"/>
              <w:jc w:val="center"/>
            </w:pPr>
            <w:r w:rsidRPr="006502C7">
              <w:t>28.9%</w:t>
            </w:r>
          </w:p>
        </w:tc>
        <w:tc>
          <w:tcPr>
            <w:tcW w:w="1361" w:type="dxa"/>
            <w:vAlign w:val="center"/>
          </w:tcPr>
          <w:p w14:paraId="6F276BF5" w14:textId="44DA0EAA" w:rsidR="00BC0C6C" w:rsidRPr="0042079B" w:rsidRDefault="00BC0C6C" w:rsidP="00634941">
            <w:pPr>
              <w:spacing w:before="60" w:after="60"/>
              <w:jc w:val="center"/>
            </w:pPr>
            <w:r w:rsidRPr="006502C7">
              <w:t>3.00</w:t>
            </w:r>
          </w:p>
        </w:tc>
        <w:tc>
          <w:tcPr>
            <w:tcW w:w="1361" w:type="dxa"/>
            <w:vAlign w:val="center"/>
          </w:tcPr>
          <w:p w14:paraId="566577C9" w14:textId="7C7171D6" w:rsidR="00BC0C6C" w:rsidRPr="0042079B" w:rsidRDefault="00BC0C6C" w:rsidP="00634941">
            <w:pPr>
              <w:spacing w:before="60" w:after="60"/>
              <w:jc w:val="center"/>
            </w:pPr>
            <w:r w:rsidRPr="006502C7">
              <w:t>47,194</w:t>
            </w:r>
          </w:p>
        </w:tc>
        <w:tc>
          <w:tcPr>
            <w:tcW w:w="1361" w:type="dxa"/>
            <w:vAlign w:val="center"/>
          </w:tcPr>
          <w:p w14:paraId="0DB13583" w14:textId="27291608" w:rsidR="00BC0C6C" w:rsidRPr="0042079B" w:rsidRDefault="00BC0C6C" w:rsidP="00634941">
            <w:pPr>
              <w:spacing w:before="60" w:after="60"/>
              <w:jc w:val="center"/>
            </w:pPr>
            <w:r w:rsidRPr="006502C7">
              <w:t>40.9%</w:t>
            </w:r>
          </w:p>
        </w:tc>
      </w:tr>
      <w:tr w:rsidR="00BC0C6C" w:rsidRPr="00923150" w14:paraId="4EB56824" w14:textId="77777777" w:rsidTr="00634941">
        <w:trPr>
          <w:trHeight w:val="456"/>
        </w:trPr>
        <w:tc>
          <w:tcPr>
            <w:tcW w:w="2835" w:type="dxa"/>
            <w:vAlign w:val="center"/>
          </w:tcPr>
          <w:p w14:paraId="65E6C6A8" w14:textId="6E3EEAF9" w:rsidR="00BC0C6C" w:rsidRPr="0042079B" w:rsidRDefault="00BC0C6C" w:rsidP="00634941">
            <w:pPr>
              <w:spacing w:before="60" w:after="60"/>
              <w:ind w:left="34"/>
              <w:jc w:val="left"/>
            </w:pPr>
            <w:r w:rsidRPr="006502C7">
              <w:t>Split systems (up to 18kWr)</w:t>
            </w:r>
          </w:p>
        </w:tc>
        <w:tc>
          <w:tcPr>
            <w:tcW w:w="1361" w:type="dxa"/>
            <w:vAlign w:val="center"/>
          </w:tcPr>
          <w:p w14:paraId="61600055" w14:textId="7EC949E4" w:rsidR="00BC0C6C" w:rsidRPr="0042079B" w:rsidRDefault="00BC0C6C" w:rsidP="00634941">
            <w:pPr>
              <w:spacing w:before="60" w:after="60"/>
              <w:jc w:val="center"/>
            </w:pPr>
            <w:r w:rsidRPr="006502C7">
              <w:t>7,443</w:t>
            </w:r>
          </w:p>
        </w:tc>
        <w:tc>
          <w:tcPr>
            <w:tcW w:w="1361" w:type="dxa"/>
            <w:vAlign w:val="center"/>
          </w:tcPr>
          <w:p w14:paraId="3AF9ACE6" w14:textId="0B249E5A" w:rsidR="00BC0C6C" w:rsidRPr="0042079B" w:rsidRDefault="00BC0C6C" w:rsidP="00634941">
            <w:pPr>
              <w:spacing w:before="60" w:after="60"/>
              <w:jc w:val="center"/>
            </w:pPr>
            <w:r w:rsidRPr="006502C7">
              <w:t>13.7%</w:t>
            </w:r>
          </w:p>
        </w:tc>
        <w:tc>
          <w:tcPr>
            <w:tcW w:w="1361" w:type="dxa"/>
            <w:vAlign w:val="center"/>
          </w:tcPr>
          <w:p w14:paraId="176ABC3D" w14:textId="16DB932D" w:rsidR="00BC0C6C" w:rsidRPr="0042079B" w:rsidRDefault="00BC0C6C" w:rsidP="00634941">
            <w:pPr>
              <w:spacing w:before="60" w:after="60"/>
              <w:jc w:val="center"/>
            </w:pPr>
            <w:r w:rsidRPr="006502C7">
              <w:t>2.65</w:t>
            </w:r>
          </w:p>
        </w:tc>
        <w:tc>
          <w:tcPr>
            <w:tcW w:w="1361" w:type="dxa"/>
            <w:vAlign w:val="center"/>
          </w:tcPr>
          <w:p w14:paraId="74C42AFA" w14:textId="00A9ECD5" w:rsidR="00BC0C6C" w:rsidRPr="0042079B" w:rsidRDefault="00BC0C6C" w:rsidP="00634941">
            <w:pPr>
              <w:spacing w:before="60" w:after="60"/>
              <w:jc w:val="center"/>
            </w:pPr>
            <w:r w:rsidRPr="006502C7">
              <w:t>19,724</w:t>
            </w:r>
          </w:p>
        </w:tc>
        <w:tc>
          <w:tcPr>
            <w:tcW w:w="1361" w:type="dxa"/>
            <w:vAlign w:val="center"/>
          </w:tcPr>
          <w:p w14:paraId="24B1A937" w14:textId="11EF65CC" w:rsidR="00BC0C6C" w:rsidRPr="0042079B" w:rsidRDefault="00BC0C6C" w:rsidP="00634941">
            <w:pPr>
              <w:spacing w:before="60" w:after="60"/>
              <w:jc w:val="center"/>
            </w:pPr>
            <w:r w:rsidRPr="006502C7">
              <w:t>17.1%</w:t>
            </w:r>
          </w:p>
        </w:tc>
      </w:tr>
      <w:tr w:rsidR="00BC0C6C" w:rsidRPr="00923150" w14:paraId="052BC2A1" w14:textId="77777777" w:rsidTr="00634941">
        <w:trPr>
          <w:trHeight w:val="456"/>
        </w:trPr>
        <w:tc>
          <w:tcPr>
            <w:tcW w:w="2835" w:type="dxa"/>
            <w:vAlign w:val="center"/>
          </w:tcPr>
          <w:p w14:paraId="5FFD2E4B" w14:textId="2821025A" w:rsidR="00BC0C6C" w:rsidRPr="0042079B" w:rsidRDefault="00BC0C6C" w:rsidP="00634941">
            <w:pPr>
              <w:spacing w:before="60" w:after="60"/>
              <w:ind w:left="34"/>
              <w:jc w:val="left"/>
            </w:pPr>
            <w:r w:rsidRPr="006502C7">
              <w:t>Refrigerant handler</w:t>
            </w:r>
          </w:p>
        </w:tc>
        <w:tc>
          <w:tcPr>
            <w:tcW w:w="1361" w:type="dxa"/>
            <w:vAlign w:val="center"/>
          </w:tcPr>
          <w:p w14:paraId="0EE5DA80" w14:textId="1564015D" w:rsidR="00BC0C6C" w:rsidRPr="0042079B" w:rsidRDefault="00BC0C6C" w:rsidP="00634941">
            <w:pPr>
              <w:spacing w:before="60" w:after="60"/>
              <w:jc w:val="center"/>
            </w:pPr>
            <w:r w:rsidRPr="006502C7">
              <w:t>267</w:t>
            </w:r>
          </w:p>
        </w:tc>
        <w:tc>
          <w:tcPr>
            <w:tcW w:w="1361" w:type="dxa"/>
            <w:vAlign w:val="center"/>
          </w:tcPr>
          <w:p w14:paraId="22FC1F84" w14:textId="389513A1" w:rsidR="00BC0C6C" w:rsidRPr="0042079B" w:rsidRDefault="00BC0C6C" w:rsidP="00634941">
            <w:pPr>
              <w:spacing w:before="60" w:after="60"/>
              <w:jc w:val="center"/>
            </w:pPr>
            <w:r w:rsidRPr="006502C7">
              <w:t>0.5%</w:t>
            </w:r>
          </w:p>
        </w:tc>
        <w:tc>
          <w:tcPr>
            <w:tcW w:w="1361" w:type="dxa"/>
            <w:vAlign w:val="center"/>
          </w:tcPr>
          <w:p w14:paraId="3D51DB94" w14:textId="4A1EEA95" w:rsidR="00BC0C6C" w:rsidRPr="0042079B" w:rsidRDefault="00BC0C6C" w:rsidP="00634941">
            <w:pPr>
              <w:spacing w:before="60" w:after="60"/>
              <w:jc w:val="center"/>
            </w:pPr>
            <w:r w:rsidRPr="006502C7">
              <w:t>2.00</w:t>
            </w:r>
          </w:p>
        </w:tc>
        <w:tc>
          <w:tcPr>
            <w:tcW w:w="1361" w:type="dxa"/>
            <w:vAlign w:val="center"/>
          </w:tcPr>
          <w:p w14:paraId="08618154" w14:textId="1F1A2541" w:rsidR="00BC0C6C" w:rsidRPr="0042079B" w:rsidRDefault="00BC0C6C" w:rsidP="00634941">
            <w:pPr>
              <w:spacing w:before="60" w:after="60"/>
              <w:jc w:val="center"/>
            </w:pPr>
            <w:r w:rsidRPr="006502C7">
              <w:t>534</w:t>
            </w:r>
          </w:p>
        </w:tc>
        <w:tc>
          <w:tcPr>
            <w:tcW w:w="1361" w:type="dxa"/>
            <w:vAlign w:val="center"/>
          </w:tcPr>
          <w:p w14:paraId="1FAB2EB6" w14:textId="49140142" w:rsidR="00BC0C6C" w:rsidRPr="0042079B" w:rsidRDefault="00BC0C6C" w:rsidP="00634941">
            <w:pPr>
              <w:spacing w:before="60" w:after="60"/>
              <w:jc w:val="center"/>
            </w:pPr>
            <w:r w:rsidRPr="006502C7">
              <w:t>0.5%</w:t>
            </w:r>
          </w:p>
        </w:tc>
      </w:tr>
      <w:tr w:rsidR="00BC0C6C" w:rsidRPr="00923150" w14:paraId="5CEE55F6" w14:textId="77777777" w:rsidTr="00634941">
        <w:trPr>
          <w:trHeight w:val="456"/>
        </w:trPr>
        <w:tc>
          <w:tcPr>
            <w:tcW w:w="2835" w:type="dxa"/>
            <w:vAlign w:val="center"/>
          </w:tcPr>
          <w:p w14:paraId="55A8844C" w14:textId="1F81283B" w:rsidR="00BC0C6C" w:rsidRPr="0042079B" w:rsidRDefault="00BC0C6C" w:rsidP="00634941">
            <w:pPr>
              <w:spacing w:before="60" w:after="60"/>
              <w:ind w:left="34"/>
              <w:jc w:val="left"/>
            </w:pPr>
            <w:r w:rsidRPr="006502C7">
              <w:t>Refrigerant recoverer</w:t>
            </w:r>
          </w:p>
        </w:tc>
        <w:tc>
          <w:tcPr>
            <w:tcW w:w="1361" w:type="dxa"/>
            <w:vAlign w:val="center"/>
          </w:tcPr>
          <w:p w14:paraId="3CE83AAA" w14:textId="38F11E73" w:rsidR="00BC0C6C" w:rsidRPr="0042079B" w:rsidRDefault="00BC0C6C" w:rsidP="00634941">
            <w:pPr>
              <w:spacing w:before="60" w:after="60"/>
              <w:jc w:val="center"/>
            </w:pPr>
            <w:r w:rsidRPr="006502C7">
              <w:t>231</w:t>
            </w:r>
          </w:p>
        </w:tc>
        <w:tc>
          <w:tcPr>
            <w:tcW w:w="1361" w:type="dxa"/>
            <w:vAlign w:val="center"/>
          </w:tcPr>
          <w:p w14:paraId="341F6A8B" w14:textId="1529F267" w:rsidR="00BC0C6C" w:rsidRPr="0042079B" w:rsidRDefault="00BC0C6C" w:rsidP="00634941">
            <w:pPr>
              <w:spacing w:before="60" w:after="60"/>
              <w:jc w:val="center"/>
            </w:pPr>
            <w:r w:rsidRPr="006502C7">
              <w:t>0.4%</w:t>
            </w:r>
          </w:p>
        </w:tc>
        <w:tc>
          <w:tcPr>
            <w:tcW w:w="1361" w:type="dxa"/>
            <w:vAlign w:val="center"/>
          </w:tcPr>
          <w:p w14:paraId="344727B8" w14:textId="05451DFB" w:rsidR="00BC0C6C" w:rsidRPr="0042079B" w:rsidRDefault="00BC0C6C" w:rsidP="00634941">
            <w:pPr>
              <w:spacing w:before="60" w:after="60"/>
              <w:jc w:val="center"/>
            </w:pPr>
            <w:r w:rsidRPr="006502C7">
              <w:t>2.00</w:t>
            </w:r>
          </w:p>
        </w:tc>
        <w:tc>
          <w:tcPr>
            <w:tcW w:w="1361" w:type="dxa"/>
            <w:vAlign w:val="center"/>
          </w:tcPr>
          <w:p w14:paraId="28CB93CA" w14:textId="479BE160" w:rsidR="00BC0C6C" w:rsidRPr="0042079B" w:rsidRDefault="00BC0C6C" w:rsidP="00634941">
            <w:pPr>
              <w:spacing w:before="60" w:after="60"/>
              <w:jc w:val="center"/>
            </w:pPr>
            <w:r w:rsidRPr="006502C7">
              <w:t>462</w:t>
            </w:r>
          </w:p>
        </w:tc>
        <w:tc>
          <w:tcPr>
            <w:tcW w:w="1361" w:type="dxa"/>
            <w:vAlign w:val="center"/>
          </w:tcPr>
          <w:p w14:paraId="24F16CF9" w14:textId="42220CBF" w:rsidR="00BC0C6C" w:rsidRPr="0042079B" w:rsidRDefault="00BC0C6C" w:rsidP="00634941">
            <w:pPr>
              <w:spacing w:before="60" w:after="60"/>
              <w:jc w:val="center"/>
            </w:pPr>
            <w:r w:rsidRPr="006502C7">
              <w:t>0.4%</w:t>
            </w:r>
          </w:p>
        </w:tc>
      </w:tr>
      <w:tr w:rsidR="00BC0C6C" w:rsidRPr="00923150" w14:paraId="4A1996F5" w14:textId="77777777" w:rsidTr="00634941">
        <w:trPr>
          <w:trHeight w:val="456"/>
        </w:trPr>
        <w:tc>
          <w:tcPr>
            <w:tcW w:w="2835" w:type="dxa"/>
            <w:vAlign w:val="center"/>
          </w:tcPr>
          <w:p w14:paraId="69383524" w14:textId="2F4FD24E" w:rsidR="00BC0C6C" w:rsidRPr="0042079B" w:rsidRDefault="00BC0C6C" w:rsidP="00634941">
            <w:pPr>
              <w:spacing w:before="60" w:after="60"/>
              <w:ind w:left="34"/>
              <w:jc w:val="left"/>
            </w:pPr>
            <w:r w:rsidRPr="006502C7">
              <w:t>Transport refrigeration</w:t>
            </w:r>
          </w:p>
        </w:tc>
        <w:tc>
          <w:tcPr>
            <w:tcW w:w="1361" w:type="dxa"/>
            <w:vAlign w:val="center"/>
          </w:tcPr>
          <w:p w14:paraId="2C5BA36F" w14:textId="2443C8CA" w:rsidR="00BC0C6C" w:rsidRPr="0042079B" w:rsidRDefault="00BC0C6C" w:rsidP="00634941">
            <w:pPr>
              <w:spacing w:before="60" w:after="60"/>
              <w:jc w:val="center"/>
            </w:pPr>
            <w:r w:rsidRPr="006502C7">
              <w:t>121</w:t>
            </w:r>
          </w:p>
        </w:tc>
        <w:tc>
          <w:tcPr>
            <w:tcW w:w="1361" w:type="dxa"/>
            <w:vAlign w:val="center"/>
          </w:tcPr>
          <w:p w14:paraId="5299AEBE" w14:textId="577AA7AD" w:rsidR="00BC0C6C" w:rsidRPr="0042079B" w:rsidRDefault="00BC0C6C" w:rsidP="00634941">
            <w:pPr>
              <w:spacing w:before="60" w:after="60"/>
              <w:jc w:val="center"/>
            </w:pPr>
            <w:r w:rsidRPr="006502C7">
              <w:t>0.2%</w:t>
            </w:r>
          </w:p>
        </w:tc>
        <w:tc>
          <w:tcPr>
            <w:tcW w:w="1361" w:type="dxa"/>
            <w:vAlign w:val="center"/>
          </w:tcPr>
          <w:p w14:paraId="6CD18B8F" w14:textId="177F7DD4" w:rsidR="00BC0C6C" w:rsidRPr="0042079B" w:rsidRDefault="00BC0C6C" w:rsidP="00634941">
            <w:pPr>
              <w:spacing w:before="60" w:after="60"/>
              <w:jc w:val="center"/>
            </w:pPr>
            <w:r w:rsidRPr="006502C7">
              <w:t>3.00</w:t>
            </w:r>
          </w:p>
        </w:tc>
        <w:tc>
          <w:tcPr>
            <w:tcW w:w="1361" w:type="dxa"/>
            <w:vAlign w:val="center"/>
          </w:tcPr>
          <w:p w14:paraId="3DE3D34D" w14:textId="110AE9A9" w:rsidR="00BC0C6C" w:rsidRPr="0042079B" w:rsidRDefault="00BC0C6C" w:rsidP="00634941">
            <w:pPr>
              <w:spacing w:before="60" w:after="60"/>
              <w:jc w:val="center"/>
            </w:pPr>
            <w:r w:rsidRPr="006502C7">
              <w:t>363</w:t>
            </w:r>
          </w:p>
        </w:tc>
        <w:tc>
          <w:tcPr>
            <w:tcW w:w="1361" w:type="dxa"/>
            <w:vAlign w:val="center"/>
          </w:tcPr>
          <w:p w14:paraId="682E0F9B" w14:textId="6AB2C259" w:rsidR="00BC0C6C" w:rsidRPr="0042079B" w:rsidRDefault="00BC0C6C" w:rsidP="00634941">
            <w:pPr>
              <w:spacing w:before="60" w:after="60"/>
              <w:jc w:val="center"/>
            </w:pPr>
            <w:r w:rsidRPr="006502C7">
              <w:t>0.3%</w:t>
            </w:r>
          </w:p>
        </w:tc>
      </w:tr>
      <w:tr w:rsidR="00634941" w:rsidRPr="008B096C" w14:paraId="5B509AEC" w14:textId="77777777" w:rsidTr="00634941">
        <w:trPr>
          <w:trHeight w:val="456"/>
        </w:trPr>
        <w:tc>
          <w:tcPr>
            <w:tcW w:w="2835" w:type="dxa"/>
            <w:tcBorders>
              <w:top w:val="double" w:sz="4" w:space="0" w:color="auto"/>
            </w:tcBorders>
            <w:vAlign w:val="center"/>
          </w:tcPr>
          <w:p w14:paraId="5CBBB61B" w14:textId="70F0EDE2" w:rsidR="00634941" w:rsidRPr="00865893" w:rsidRDefault="00634941" w:rsidP="00634941">
            <w:pPr>
              <w:spacing w:before="60" w:after="60"/>
              <w:ind w:left="34"/>
              <w:jc w:val="left"/>
            </w:pPr>
            <w:r w:rsidRPr="006502C7">
              <w:t xml:space="preserve">Total </w:t>
            </w:r>
            <w:r>
              <w:t>l</w:t>
            </w:r>
            <w:r w:rsidRPr="006502C7">
              <w:t>icences</w:t>
            </w:r>
          </w:p>
        </w:tc>
        <w:tc>
          <w:tcPr>
            <w:tcW w:w="1361" w:type="dxa"/>
            <w:tcBorders>
              <w:top w:val="double" w:sz="4" w:space="0" w:color="auto"/>
            </w:tcBorders>
            <w:vAlign w:val="center"/>
          </w:tcPr>
          <w:p w14:paraId="2845FF74" w14:textId="3B2B277D" w:rsidR="00634941" w:rsidRPr="008B096C" w:rsidRDefault="00634941" w:rsidP="00634941">
            <w:pPr>
              <w:spacing w:before="60" w:after="60"/>
              <w:jc w:val="center"/>
              <w:rPr>
                <w:sz w:val="20"/>
                <w:szCs w:val="20"/>
              </w:rPr>
            </w:pPr>
            <w:r w:rsidRPr="006502C7">
              <w:t>54,526</w:t>
            </w:r>
          </w:p>
        </w:tc>
        <w:tc>
          <w:tcPr>
            <w:tcW w:w="1361" w:type="dxa"/>
            <w:tcBorders>
              <w:top w:val="double" w:sz="4" w:space="0" w:color="auto"/>
            </w:tcBorders>
            <w:vAlign w:val="center"/>
          </w:tcPr>
          <w:p w14:paraId="2065D039" w14:textId="0196A7FA" w:rsidR="00634941" w:rsidRPr="008B096C" w:rsidRDefault="00634941" w:rsidP="00634941">
            <w:pPr>
              <w:spacing w:before="60" w:after="60"/>
              <w:jc w:val="center"/>
              <w:rPr>
                <w:sz w:val="20"/>
                <w:szCs w:val="20"/>
              </w:rPr>
            </w:pPr>
            <w:r w:rsidRPr="006502C7">
              <w:t>100.0%</w:t>
            </w:r>
          </w:p>
        </w:tc>
        <w:tc>
          <w:tcPr>
            <w:tcW w:w="1361" w:type="dxa"/>
            <w:tcBorders>
              <w:top w:val="double" w:sz="4" w:space="0" w:color="auto"/>
            </w:tcBorders>
            <w:vAlign w:val="center"/>
          </w:tcPr>
          <w:p w14:paraId="7CF1CE54" w14:textId="0BB6D2D4" w:rsidR="00634941" w:rsidRPr="008B096C" w:rsidRDefault="00634941" w:rsidP="00634941">
            <w:pPr>
              <w:spacing w:before="60" w:after="60"/>
              <w:jc w:val="center"/>
              <w:rPr>
                <w:sz w:val="20"/>
                <w:szCs w:val="20"/>
              </w:rPr>
            </w:pPr>
            <w:r w:rsidRPr="006502C7">
              <w:t xml:space="preserve"> </w:t>
            </w:r>
          </w:p>
        </w:tc>
        <w:tc>
          <w:tcPr>
            <w:tcW w:w="1361" w:type="dxa"/>
            <w:tcBorders>
              <w:top w:val="double" w:sz="4" w:space="0" w:color="auto"/>
            </w:tcBorders>
            <w:vAlign w:val="center"/>
          </w:tcPr>
          <w:p w14:paraId="6385727C" w14:textId="7FC2BA8C" w:rsidR="00634941" w:rsidRPr="008B096C" w:rsidRDefault="00634941" w:rsidP="00634941">
            <w:pPr>
              <w:spacing w:before="60" w:after="60"/>
              <w:jc w:val="center"/>
              <w:rPr>
                <w:sz w:val="20"/>
                <w:szCs w:val="20"/>
              </w:rPr>
            </w:pPr>
            <w:r w:rsidRPr="006502C7">
              <w:t>115,284</w:t>
            </w:r>
          </w:p>
        </w:tc>
        <w:tc>
          <w:tcPr>
            <w:tcW w:w="1361" w:type="dxa"/>
            <w:tcBorders>
              <w:top w:val="double" w:sz="4" w:space="0" w:color="auto"/>
            </w:tcBorders>
            <w:vAlign w:val="center"/>
          </w:tcPr>
          <w:p w14:paraId="1185F690" w14:textId="6C7B86A7" w:rsidR="00634941" w:rsidRPr="008B096C" w:rsidRDefault="00634941" w:rsidP="00634941">
            <w:pPr>
              <w:spacing w:before="60" w:after="60"/>
              <w:jc w:val="center"/>
              <w:rPr>
                <w:sz w:val="20"/>
                <w:szCs w:val="20"/>
              </w:rPr>
            </w:pPr>
            <w:r w:rsidRPr="006502C7">
              <w:t>100.0%</w:t>
            </w:r>
          </w:p>
        </w:tc>
      </w:tr>
      <w:tr w:rsidR="00634941" w:rsidRPr="00923150" w14:paraId="2A792947" w14:textId="77777777" w:rsidTr="00634941">
        <w:trPr>
          <w:trHeight w:val="456"/>
        </w:trPr>
        <w:tc>
          <w:tcPr>
            <w:tcW w:w="2835" w:type="dxa"/>
            <w:vAlign w:val="center"/>
          </w:tcPr>
          <w:p w14:paraId="44459D43" w14:textId="64F8C4ED" w:rsidR="00634941" w:rsidRPr="0042079B" w:rsidRDefault="00634941" w:rsidP="00634941">
            <w:pPr>
              <w:spacing w:before="60" w:after="60"/>
              <w:ind w:left="34"/>
              <w:jc w:val="left"/>
            </w:pPr>
            <w:r w:rsidRPr="00B00655">
              <w:t>Refrigerated Transport Vehicles</w:t>
            </w:r>
          </w:p>
        </w:tc>
        <w:tc>
          <w:tcPr>
            <w:tcW w:w="1361" w:type="dxa"/>
            <w:vAlign w:val="center"/>
          </w:tcPr>
          <w:p w14:paraId="3DAEE623" w14:textId="36A79649" w:rsidR="00634941" w:rsidRPr="0042079B" w:rsidRDefault="00634941" w:rsidP="00634941">
            <w:pPr>
              <w:spacing w:before="60" w:after="60"/>
              <w:jc w:val="center"/>
            </w:pPr>
            <w:r w:rsidRPr="00B00655">
              <w:t>28,904</w:t>
            </w:r>
          </w:p>
        </w:tc>
        <w:tc>
          <w:tcPr>
            <w:tcW w:w="1361" w:type="dxa"/>
            <w:vAlign w:val="center"/>
          </w:tcPr>
          <w:p w14:paraId="79BF9B89" w14:textId="563D2E5B" w:rsidR="00634941" w:rsidRPr="0042079B" w:rsidRDefault="00634941" w:rsidP="00634941">
            <w:pPr>
              <w:spacing w:before="60" w:after="60"/>
              <w:jc w:val="center"/>
            </w:pPr>
            <w:r w:rsidRPr="00B00655">
              <w:t xml:space="preserve"> </w:t>
            </w:r>
          </w:p>
        </w:tc>
        <w:tc>
          <w:tcPr>
            <w:tcW w:w="1361" w:type="dxa"/>
            <w:vAlign w:val="center"/>
          </w:tcPr>
          <w:p w14:paraId="46BEDA45" w14:textId="04284FF9" w:rsidR="00634941" w:rsidRPr="0042079B" w:rsidRDefault="00634941" w:rsidP="00634941">
            <w:pPr>
              <w:spacing w:before="60" w:after="60"/>
              <w:jc w:val="center"/>
            </w:pPr>
            <w:r w:rsidRPr="00B00655">
              <w:t>2.00</w:t>
            </w:r>
          </w:p>
        </w:tc>
        <w:tc>
          <w:tcPr>
            <w:tcW w:w="1361" w:type="dxa"/>
            <w:vAlign w:val="center"/>
          </w:tcPr>
          <w:p w14:paraId="22C85A84" w14:textId="1990C10D" w:rsidR="00634941" w:rsidRPr="0042079B" w:rsidRDefault="00634941" w:rsidP="00634941">
            <w:pPr>
              <w:spacing w:before="60" w:after="60"/>
              <w:jc w:val="center"/>
            </w:pPr>
            <w:r w:rsidRPr="00B00655">
              <w:t>57,808</w:t>
            </w:r>
          </w:p>
        </w:tc>
        <w:tc>
          <w:tcPr>
            <w:tcW w:w="1361" w:type="dxa"/>
            <w:vAlign w:val="center"/>
          </w:tcPr>
          <w:p w14:paraId="7B453E6F" w14:textId="42741303" w:rsidR="00634941" w:rsidRPr="0042079B" w:rsidRDefault="00634941" w:rsidP="00634941">
            <w:pPr>
              <w:spacing w:before="60" w:after="60"/>
              <w:jc w:val="center"/>
            </w:pPr>
          </w:p>
        </w:tc>
      </w:tr>
      <w:tr w:rsidR="00634941" w:rsidRPr="00923150" w14:paraId="4A7E60BA" w14:textId="77777777" w:rsidTr="009A3D7C">
        <w:trPr>
          <w:trHeight w:val="456"/>
        </w:trPr>
        <w:tc>
          <w:tcPr>
            <w:tcW w:w="2835" w:type="dxa"/>
            <w:tcBorders>
              <w:bottom w:val="double" w:sz="4" w:space="0" w:color="auto"/>
            </w:tcBorders>
            <w:vAlign w:val="center"/>
          </w:tcPr>
          <w:p w14:paraId="2E1B4FCD" w14:textId="614ACF09" w:rsidR="00634941" w:rsidRPr="0042079B" w:rsidRDefault="00634941" w:rsidP="00634941">
            <w:pPr>
              <w:spacing w:before="60" w:after="60"/>
              <w:ind w:left="34"/>
              <w:jc w:val="left"/>
            </w:pPr>
            <w:r w:rsidRPr="00B00655">
              <w:t>Industry Services</w:t>
            </w:r>
          </w:p>
        </w:tc>
        <w:tc>
          <w:tcPr>
            <w:tcW w:w="1361" w:type="dxa"/>
            <w:tcBorders>
              <w:bottom w:val="double" w:sz="4" w:space="0" w:color="auto"/>
            </w:tcBorders>
            <w:vAlign w:val="center"/>
          </w:tcPr>
          <w:p w14:paraId="68D134D3" w14:textId="0DF578C5" w:rsidR="00634941" w:rsidRPr="0042079B" w:rsidRDefault="00634941" w:rsidP="00634941">
            <w:pPr>
              <w:spacing w:before="60" w:after="60"/>
              <w:jc w:val="center"/>
            </w:pPr>
            <w:r w:rsidRPr="00B00655">
              <w:t>545</w:t>
            </w:r>
          </w:p>
        </w:tc>
        <w:tc>
          <w:tcPr>
            <w:tcW w:w="1361" w:type="dxa"/>
            <w:tcBorders>
              <w:bottom w:val="double" w:sz="4" w:space="0" w:color="auto"/>
            </w:tcBorders>
            <w:vAlign w:val="center"/>
          </w:tcPr>
          <w:p w14:paraId="3CE47C30" w14:textId="1D26D1A5" w:rsidR="00634941" w:rsidRPr="0042079B" w:rsidRDefault="00634941" w:rsidP="00634941">
            <w:pPr>
              <w:spacing w:before="60" w:after="60"/>
              <w:jc w:val="center"/>
            </w:pPr>
            <w:r w:rsidRPr="00B00655">
              <w:t xml:space="preserve"> </w:t>
            </w:r>
          </w:p>
        </w:tc>
        <w:tc>
          <w:tcPr>
            <w:tcW w:w="1361" w:type="dxa"/>
            <w:tcBorders>
              <w:bottom w:val="double" w:sz="4" w:space="0" w:color="auto"/>
            </w:tcBorders>
            <w:vAlign w:val="center"/>
          </w:tcPr>
          <w:p w14:paraId="247D08BE" w14:textId="754563A1" w:rsidR="00634941" w:rsidRPr="0042079B" w:rsidRDefault="00634941" w:rsidP="00634941">
            <w:pPr>
              <w:spacing w:before="60" w:after="60"/>
              <w:jc w:val="center"/>
            </w:pPr>
            <w:r w:rsidRPr="00B00655">
              <w:t>1.00</w:t>
            </w:r>
          </w:p>
        </w:tc>
        <w:tc>
          <w:tcPr>
            <w:tcW w:w="1361" w:type="dxa"/>
            <w:tcBorders>
              <w:bottom w:val="double" w:sz="4" w:space="0" w:color="auto"/>
            </w:tcBorders>
            <w:vAlign w:val="center"/>
          </w:tcPr>
          <w:p w14:paraId="6BC5298D" w14:textId="020C1CA4" w:rsidR="00634941" w:rsidRPr="0042079B" w:rsidRDefault="00634941" w:rsidP="00634941">
            <w:pPr>
              <w:spacing w:before="60" w:after="60"/>
              <w:jc w:val="center"/>
            </w:pPr>
            <w:r w:rsidRPr="00B00655">
              <w:t>545</w:t>
            </w:r>
          </w:p>
        </w:tc>
        <w:tc>
          <w:tcPr>
            <w:tcW w:w="1361" w:type="dxa"/>
            <w:tcBorders>
              <w:bottom w:val="double" w:sz="4" w:space="0" w:color="auto"/>
            </w:tcBorders>
            <w:vAlign w:val="center"/>
          </w:tcPr>
          <w:p w14:paraId="05D7FFD6" w14:textId="5BF27D65" w:rsidR="00634941" w:rsidRPr="0042079B" w:rsidRDefault="00634941" w:rsidP="00634941">
            <w:pPr>
              <w:spacing w:before="60" w:after="60"/>
              <w:jc w:val="center"/>
            </w:pPr>
          </w:p>
        </w:tc>
      </w:tr>
      <w:tr w:rsidR="009A3D7C" w:rsidRPr="00923150" w14:paraId="556B8A6D" w14:textId="77777777" w:rsidTr="009A3D7C">
        <w:trPr>
          <w:trHeight w:val="456"/>
        </w:trPr>
        <w:tc>
          <w:tcPr>
            <w:tcW w:w="6918" w:type="dxa"/>
            <w:gridSpan w:val="4"/>
            <w:tcBorders>
              <w:top w:val="double" w:sz="4" w:space="0" w:color="auto"/>
            </w:tcBorders>
            <w:vAlign w:val="center"/>
          </w:tcPr>
          <w:p w14:paraId="340D069F" w14:textId="16FD5010" w:rsidR="009A3D7C" w:rsidRPr="009A3D7C" w:rsidRDefault="009A3D7C" w:rsidP="009A3D7C">
            <w:pPr>
              <w:spacing w:before="60" w:beforeAutospacing="1" w:after="60" w:afterAutospacing="1"/>
              <w:ind w:left="34"/>
              <w:jc w:val="left"/>
              <w:rPr>
                <w:b/>
              </w:rPr>
            </w:pPr>
            <w:r w:rsidRPr="009A3D7C">
              <w:rPr>
                <w:b/>
              </w:rPr>
              <w:t xml:space="preserve">Total </w:t>
            </w:r>
            <w:r>
              <w:rPr>
                <w:b/>
              </w:rPr>
              <w:t>e</w:t>
            </w:r>
            <w:r w:rsidRPr="009A3D7C">
              <w:rPr>
                <w:b/>
              </w:rPr>
              <w:t xml:space="preserve">mployment in RAC </w:t>
            </w:r>
            <w:r>
              <w:rPr>
                <w:b/>
              </w:rPr>
              <w:t>i</w:t>
            </w:r>
            <w:r w:rsidRPr="009A3D7C">
              <w:rPr>
                <w:b/>
              </w:rPr>
              <w:t xml:space="preserve">ndustry in Australia </w:t>
            </w:r>
          </w:p>
        </w:tc>
        <w:tc>
          <w:tcPr>
            <w:tcW w:w="1361" w:type="dxa"/>
            <w:tcBorders>
              <w:top w:val="double" w:sz="4" w:space="0" w:color="auto"/>
            </w:tcBorders>
            <w:vAlign w:val="center"/>
          </w:tcPr>
          <w:p w14:paraId="72C3C605" w14:textId="1EB6B350" w:rsidR="009A3D7C" w:rsidRPr="009A3D7C" w:rsidRDefault="009A3D7C" w:rsidP="00634941">
            <w:pPr>
              <w:spacing w:before="60" w:beforeAutospacing="1" w:after="60" w:afterAutospacing="1"/>
              <w:jc w:val="center"/>
              <w:rPr>
                <w:b/>
              </w:rPr>
            </w:pPr>
            <w:r w:rsidRPr="009A3D7C">
              <w:rPr>
                <w:b/>
              </w:rPr>
              <w:t>173,638</w:t>
            </w:r>
          </w:p>
        </w:tc>
        <w:tc>
          <w:tcPr>
            <w:tcW w:w="1361" w:type="dxa"/>
            <w:tcBorders>
              <w:top w:val="double" w:sz="4" w:space="0" w:color="auto"/>
            </w:tcBorders>
            <w:vAlign w:val="center"/>
          </w:tcPr>
          <w:p w14:paraId="5B9099DD" w14:textId="49372880" w:rsidR="009A3D7C" w:rsidRPr="0042079B" w:rsidRDefault="009A3D7C" w:rsidP="00634941">
            <w:pPr>
              <w:spacing w:before="60" w:after="60"/>
              <w:jc w:val="center"/>
            </w:pPr>
          </w:p>
        </w:tc>
      </w:tr>
      <w:tr w:rsidR="009A3D7C" w:rsidRPr="00923150" w14:paraId="774F4F22" w14:textId="77777777" w:rsidTr="002C5680">
        <w:trPr>
          <w:trHeight w:val="456"/>
        </w:trPr>
        <w:tc>
          <w:tcPr>
            <w:tcW w:w="6918" w:type="dxa"/>
            <w:gridSpan w:val="4"/>
            <w:vAlign w:val="center"/>
          </w:tcPr>
          <w:p w14:paraId="2AC9BD1F" w14:textId="7A24F104" w:rsidR="009A3D7C" w:rsidRPr="0042079B" w:rsidRDefault="009A3D7C" w:rsidP="009A3D7C">
            <w:pPr>
              <w:spacing w:before="60" w:after="60"/>
              <w:ind w:left="34"/>
              <w:jc w:val="left"/>
            </w:pPr>
            <w:r w:rsidRPr="00B00655">
              <w:t xml:space="preserve">Percentage in RAC of </w:t>
            </w:r>
            <w:r>
              <w:t>t</w:t>
            </w:r>
            <w:r w:rsidRPr="00B00655">
              <w:t xml:space="preserve">otal </w:t>
            </w:r>
            <w:r>
              <w:t>e</w:t>
            </w:r>
            <w:r w:rsidRPr="00B00655">
              <w:t xml:space="preserve">mployment </w:t>
            </w:r>
          </w:p>
        </w:tc>
        <w:tc>
          <w:tcPr>
            <w:tcW w:w="1361" w:type="dxa"/>
            <w:vAlign w:val="center"/>
          </w:tcPr>
          <w:p w14:paraId="186913A6" w14:textId="47A2E6EC" w:rsidR="009A3D7C" w:rsidRPr="0042079B" w:rsidRDefault="009A3D7C" w:rsidP="00634941">
            <w:pPr>
              <w:spacing w:before="60" w:after="60"/>
              <w:jc w:val="center"/>
            </w:pPr>
            <w:r w:rsidRPr="00B00655">
              <w:t>1.50%</w:t>
            </w:r>
          </w:p>
        </w:tc>
        <w:tc>
          <w:tcPr>
            <w:tcW w:w="1361" w:type="dxa"/>
            <w:vAlign w:val="center"/>
          </w:tcPr>
          <w:p w14:paraId="1223826D" w14:textId="0F20D968" w:rsidR="009A3D7C" w:rsidRPr="0042079B" w:rsidRDefault="009A3D7C" w:rsidP="00634941">
            <w:pPr>
              <w:spacing w:before="60" w:after="60"/>
              <w:jc w:val="center"/>
            </w:pPr>
          </w:p>
        </w:tc>
      </w:tr>
      <w:tr w:rsidR="00634941" w:rsidRPr="00923150" w14:paraId="26BF45FE" w14:textId="77777777" w:rsidTr="00634941">
        <w:trPr>
          <w:trHeight w:val="456"/>
        </w:trPr>
        <w:tc>
          <w:tcPr>
            <w:tcW w:w="2835" w:type="dxa"/>
            <w:vAlign w:val="center"/>
          </w:tcPr>
          <w:p w14:paraId="430B5AF0" w14:textId="4F81D0D0" w:rsidR="00634941" w:rsidRPr="0042079B" w:rsidRDefault="00634941" w:rsidP="00634941">
            <w:pPr>
              <w:spacing w:before="60" w:after="60"/>
              <w:ind w:left="34"/>
              <w:jc w:val="left"/>
            </w:pPr>
            <w:r w:rsidRPr="00B00655">
              <w:t>Average Multiplier</w:t>
            </w:r>
          </w:p>
        </w:tc>
        <w:tc>
          <w:tcPr>
            <w:tcW w:w="1361" w:type="dxa"/>
            <w:vAlign w:val="center"/>
          </w:tcPr>
          <w:p w14:paraId="25AC910A" w14:textId="77777777" w:rsidR="00634941" w:rsidRPr="0042079B" w:rsidRDefault="00634941" w:rsidP="00634941">
            <w:pPr>
              <w:spacing w:before="60" w:after="60"/>
              <w:jc w:val="center"/>
            </w:pPr>
          </w:p>
        </w:tc>
        <w:tc>
          <w:tcPr>
            <w:tcW w:w="1361" w:type="dxa"/>
            <w:vAlign w:val="center"/>
          </w:tcPr>
          <w:p w14:paraId="6844FD07" w14:textId="77777777" w:rsidR="00634941" w:rsidRPr="0042079B" w:rsidRDefault="00634941" w:rsidP="00634941">
            <w:pPr>
              <w:spacing w:before="60" w:after="60"/>
              <w:jc w:val="center"/>
            </w:pPr>
          </w:p>
        </w:tc>
        <w:tc>
          <w:tcPr>
            <w:tcW w:w="1361" w:type="dxa"/>
            <w:vAlign w:val="center"/>
          </w:tcPr>
          <w:p w14:paraId="39ABF1ED" w14:textId="423496AD" w:rsidR="00634941" w:rsidRPr="0042079B" w:rsidRDefault="00634941" w:rsidP="00634941">
            <w:pPr>
              <w:spacing w:before="60" w:after="60"/>
              <w:jc w:val="center"/>
            </w:pPr>
            <w:r w:rsidRPr="00B00655">
              <w:t>2.14</w:t>
            </w:r>
          </w:p>
        </w:tc>
        <w:tc>
          <w:tcPr>
            <w:tcW w:w="1361" w:type="dxa"/>
            <w:vAlign w:val="center"/>
          </w:tcPr>
          <w:p w14:paraId="146CD8A8" w14:textId="77777777" w:rsidR="00634941" w:rsidRPr="0042079B" w:rsidRDefault="00634941" w:rsidP="00634941">
            <w:pPr>
              <w:spacing w:before="60" w:after="60"/>
              <w:jc w:val="center"/>
            </w:pPr>
          </w:p>
        </w:tc>
        <w:tc>
          <w:tcPr>
            <w:tcW w:w="1361" w:type="dxa"/>
            <w:vAlign w:val="center"/>
          </w:tcPr>
          <w:p w14:paraId="2EC06A6B" w14:textId="77777777" w:rsidR="00634941" w:rsidRPr="0042079B" w:rsidRDefault="00634941" w:rsidP="00634941">
            <w:pPr>
              <w:spacing w:before="60" w:after="60"/>
              <w:jc w:val="center"/>
            </w:pPr>
          </w:p>
        </w:tc>
      </w:tr>
    </w:tbl>
    <w:p w14:paraId="6EFBF65E" w14:textId="77777777" w:rsidR="001C6486" w:rsidRPr="001C6486" w:rsidRDefault="001C6486" w:rsidP="00D05A74">
      <w:pPr>
        <w:pStyle w:val="ListParagraph"/>
        <w:numPr>
          <w:ilvl w:val="0"/>
          <w:numId w:val="22"/>
        </w:numPr>
        <w:spacing w:before="120" w:after="0" w:line="240" w:lineRule="auto"/>
        <w:contextualSpacing w:val="0"/>
        <w:jc w:val="both"/>
        <w:rPr>
          <w:rFonts w:ascii="Times New Roman" w:hAnsi="Times New Roman"/>
          <w:sz w:val="20"/>
          <w:szCs w:val="20"/>
        </w:rPr>
      </w:pPr>
      <w:r w:rsidRPr="001C6486">
        <w:rPr>
          <w:rFonts w:ascii="Times New Roman" w:hAnsi="Times New Roman"/>
          <w:sz w:val="20"/>
          <w:szCs w:val="20"/>
        </w:rPr>
        <w:t>Automotive air conditioning: Employed to inspect and service air conditioning in the Australian fleet of private motor vehicles, buses, trucks, trains and other unregistered mobile systems. A majority of these licence holders would most likely be primarily employed as auto mechanics servicing private motor vehicles and would hold the automotive air conditioning licence as a necessary 'ticket' for their employment. These 'part time' air conditioning maintenance jobs are however multiplied by administration staff that assist with the supply of parts associated with this large stock of equipment. Costs of importers engaged in delivering new and pre-charged equipment picked up in spending on hardware.</w:t>
      </w:r>
    </w:p>
    <w:p w14:paraId="532758B4" w14:textId="20175F52" w:rsidR="001C6486" w:rsidRPr="001C6486" w:rsidRDefault="001C6486" w:rsidP="00D05A74">
      <w:pPr>
        <w:pStyle w:val="ListParagraph"/>
        <w:numPr>
          <w:ilvl w:val="0"/>
          <w:numId w:val="22"/>
        </w:numPr>
        <w:spacing w:before="120" w:after="0" w:line="240" w:lineRule="auto"/>
        <w:contextualSpacing w:val="0"/>
        <w:jc w:val="both"/>
        <w:rPr>
          <w:rFonts w:ascii="Times New Roman" w:hAnsi="Times New Roman"/>
          <w:sz w:val="20"/>
          <w:szCs w:val="20"/>
        </w:rPr>
      </w:pPr>
      <w:r w:rsidRPr="001C6486">
        <w:rPr>
          <w:rFonts w:ascii="Times New Roman" w:hAnsi="Times New Roman"/>
          <w:sz w:val="20"/>
          <w:szCs w:val="20"/>
        </w:rPr>
        <w:t>Aviation: This small number of licence holders, inspect, maintain and service air conditioning systems in the entire aviation fleet and are supported by skilled engineering, design and sales and administration personnel in this specialised area requiring designing, procuring, delivering, testing, recording and inspecting equipment installed.</w:t>
      </w:r>
    </w:p>
    <w:p w14:paraId="2782C23D" w14:textId="04E74DEB" w:rsidR="001C6486" w:rsidRPr="001C6486" w:rsidRDefault="001C6486" w:rsidP="00D05A74">
      <w:pPr>
        <w:pStyle w:val="ListParagraph"/>
        <w:numPr>
          <w:ilvl w:val="0"/>
          <w:numId w:val="22"/>
        </w:numPr>
        <w:spacing w:before="120" w:after="0" w:line="240" w:lineRule="auto"/>
        <w:contextualSpacing w:val="0"/>
        <w:jc w:val="both"/>
        <w:rPr>
          <w:rFonts w:ascii="Times New Roman" w:hAnsi="Times New Roman"/>
          <w:sz w:val="20"/>
          <w:szCs w:val="20"/>
        </w:rPr>
      </w:pPr>
      <w:r w:rsidRPr="001C6486">
        <w:rPr>
          <w:rFonts w:ascii="Times New Roman" w:hAnsi="Times New Roman"/>
          <w:sz w:val="20"/>
          <w:szCs w:val="20"/>
        </w:rPr>
        <w:t xml:space="preserve">Domestic RAC: Employed only in either the refurbishment of domestic refrigeration for resale or in the installation of domestic air conditioners, cost of transport, sales people, office administration for sales </w:t>
      </w:r>
      <w:r w:rsidR="003C6CAB" w:rsidRPr="001C6486">
        <w:rPr>
          <w:rFonts w:ascii="Times New Roman" w:hAnsi="Times New Roman"/>
          <w:sz w:val="20"/>
          <w:szCs w:val="20"/>
        </w:rPr>
        <w:t>etc.</w:t>
      </w:r>
      <w:r w:rsidRPr="001C6486">
        <w:rPr>
          <w:rFonts w:ascii="Times New Roman" w:hAnsi="Times New Roman"/>
          <w:sz w:val="20"/>
          <w:szCs w:val="20"/>
        </w:rPr>
        <w:t xml:space="preserve"> covered by retail price of product. Installation requires labour from electrical trades for every install.</w:t>
      </w:r>
    </w:p>
    <w:p w14:paraId="5E62779F" w14:textId="77777777" w:rsidR="001C6486" w:rsidRPr="001C6486" w:rsidRDefault="001C6486" w:rsidP="00D05A74">
      <w:pPr>
        <w:pStyle w:val="ListParagraph"/>
        <w:numPr>
          <w:ilvl w:val="0"/>
          <w:numId w:val="22"/>
        </w:numPr>
        <w:spacing w:before="120" w:after="0" w:line="240" w:lineRule="auto"/>
        <w:contextualSpacing w:val="0"/>
        <w:jc w:val="both"/>
        <w:rPr>
          <w:rFonts w:ascii="Times New Roman" w:hAnsi="Times New Roman"/>
          <w:sz w:val="20"/>
          <w:szCs w:val="20"/>
        </w:rPr>
      </w:pPr>
      <w:r w:rsidRPr="001C6486">
        <w:rPr>
          <w:rFonts w:ascii="Times New Roman" w:hAnsi="Times New Roman"/>
          <w:sz w:val="20"/>
          <w:szCs w:val="20"/>
        </w:rPr>
        <w:lastRenderedPageBreak/>
        <w:t>Marine: Specialist: Licence holders dealing with largely customised systems that have been designed by engineers for each individual vessel, ranging from large pleasure craft to deep sea fishing vessels to passenger liners and large ships with refrigerated holds. Each licensee installs, inspects and maintains equipment designed by engineers and supplied by specialised procurement and sales staff all supported by admin.</w:t>
      </w:r>
    </w:p>
    <w:p w14:paraId="02940A53" w14:textId="77777777" w:rsidR="001C6486" w:rsidRPr="001C6486" w:rsidRDefault="001C6486" w:rsidP="00D05A74">
      <w:pPr>
        <w:pStyle w:val="ListParagraph"/>
        <w:numPr>
          <w:ilvl w:val="0"/>
          <w:numId w:val="22"/>
        </w:numPr>
        <w:spacing w:before="120" w:after="0" w:line="240" w:lineRule="auto"/>
        <w:contextualSpacing w:val="0"/>
        <w:jc w:val="both"/>
        <w:rPr>
          <w:rFonts w:ascii="Times New Roman" w:hAnsi="Times New Roman"/>
          <w:sz w:val="20"/>
          <w:szCs w:val="20"/>
        </w:rPr>
      </w:pPr>
      <w:r w:rsidRPr="001C6486">
        <w:rPr>
          <w:rFonts w:ascii="Times New Roman" w:hAnsi="Times New Roman"/>
          <w:sz w:val="20"/>
          <w:szCs w:val="20"/>
        </w:rPr>
        <w:t>Commercial Refrigeration: Employment multiplier in commercial refrigeration includes a significant number of employees, including system designers and engineers who design and deliver large supermarket and distribution centre systems, construction workers, smaller cool room contractor and manual labourers and other component suppliers. Other employees include electrical trades and plumbing trades involved in these sometimes very large construction and installation projects, and in regular maintenance and repairs, control system makers, programmers, administration and services, including data monitoring insurances, financial reporting etc. Additionally the large commercial refrigeration units themselves, from the huge distribution stores at ports and rail heads, and other transport links have full time employment on site dealing with daily maintenance, operation and use of these infrastructure scale facilities.</w:t>
      </w:r>
    </w:p>
    <w:p w14:paraId="045CB36D" w14:textId="67F794E1" w:rsidR="001C6486" w:rsidRPr="001C6486" w:rsidRDefault="001C6486" w:rsidP="00D05A74">
      <w:pPr>
        <w:pStyle w:val="ListParagraph"/>
        <w:numPr>
          <w:ilvl w:val="0"/>
          <w:numId w:val="22"/>
        </w:numPr>
        <w:spacing w:before="120" w:after="0" w:line="240" w:lineRule="auto"/>
        <w:contextualSpacing w:val="0"/>
        <w:jc w:val="both"/>
        <w:rPr>
          <w:rFonts w:ascii="Times New Roman" w:hAnsi="Times New Roman"/>
          <w:sz w:val="20"/>
          <w:szCs w:val="20"/>
        </w:rPr>
      </w:pPr>
      <w:r w:rsidRPr="001C6486">
        <w:rPr>
          <w:rFonts w:ascii="Times New Roman" w:hAnsi="Times New Roman"/>
          <w:sz w:val="20"/>
          <w:szCs w:val="20"/>
        </w:rPr>
        <w:t>Large Residential, Light Commercial and Chillers: Employment multiplier in light commercial HVAC includes a significant number system designers and engineers who design and deliver large commercial building systems, ducting manufacturers and installers, fan manufacturers, and fabricators of other air handling components, construction workers, parts suppliers for extensive and routine repairs and maintenance work, electrical trades and plumbing trades involved in installations, control system makers, programmers and other services, including insurances, financial reporting etc.</w:t>
      </w:r>
    </w:p>
    <w:p w14:paraId="735C0296" w14:textId="28D70CBB" w:rsidR="001C6486" w:rsidRPr="001C6486" w:rsidRDefault="001C6486" w:rsidP="00D05A74">
      <w:pPr>
        <w:pStyle w:val="ListParagraph"/>
        <w:numPr>
          <w:ilvl w:val="0"/>
          <w:numId w:val="22"/>
        </w:numPr>
        <w:spacing w:before="120" w:after="0" w:line="240" w:lineRule="auto"/>
        <w:contextualSpacing w:val="0"/>
        <w:jc w:val="both"/>
        <w:rPr>
          <w:rFonts w:ascii="Times New Roman" w:hAnsi="Times New Roman"/>
          <w:sz w:val="20"/>
          <w:szCs w:val="20"/>
        </w:rPr>
      </w:pPr>
      <w:r w:rsidRPr="001C6486">
        <w:rPr>
          <w:rFonts w:ascii="Times New Roman" w:hAnsi="Times New Roman"/>
          <w:sz w:val="20"/>
          <w:szCs w:val="20"/>
        </w:rPr>
        <w:t xml:space="preserve">Small Split Systems &lt;18kWr: Employment multipliers in smaller split systems for residential and small commercial include </w:t>
      </w:r>
      <w:r w:rsidR="003C6CAB" w:rsidRPr="001C6486">
        <w:rPr>
          <w:rFonts w:ascii="Times New Roman" w:hAnsi="Times New Roman"/>
          <w:sz w:val="20"/>
          <w:szCs w:val="20"/>
        </w:rPr>
        <w:t>electrical</w:t>
      </w:r>
      <w:r w:rsidRPr="001C6486">
        <w:rPr>
          <w:rFonts w:ascii="Times New Roman" w:hAnsi="Times New Roman"/>
          <w:sz w:val="20"/>
          <w:szCs w:val="20"/>
        </w:rPr>
        <w:t xml:space="preserve"> trades and other building trades, suppliers of consumables, sometimes required for installations and some ducting for </w:t>
      </w:r>
      <w:r w:rsidR="00F627F9">
        <w:rPr>
          <w:rFonts w:ascii="Times New Roman" w:hAnsi="Times New Roman"/>
          <w:sz w:val="20"/>
          <w:szCs w:val="20"/>
        </w:rPr>
        <w:t xml:space="preserve">a </w:t>
      </w:r>
      <w:r w:rsidRPr="001C6486">
        <w:rPr>
          <w:rFonts w:ascii="Times New Roman" w:hAnsi="Times New Roman"/>
          <w:sz w:val="20"/>
          <w:szCs w:val="20"/>
        </w:rPr>
        <w:t>smaller proportion of these systems. All of these employment categories are involved in delivering and installing the more than 1 million of these units sold every year. The costs of importers, sales and administration support for sales all covered in cost of hardware.</w:t>
      </w:r>
    </w:p>
    <w:p w14:paraId="2BDC28D9" w14:textId="77777777" w:rsidR="001C6486" w:rsidRPr="001C6486" w:rsidRDefault="001C6486" w:rsidP="00D05A74">
      <w:pPr>
        <w:pStyle w:val="ListParagraph"/>
        <w:numPr>
          <w:ilvl w:val="0"/>
          <w:numId w:val="22"/>
        </w:numPr>
        <w:spacing w:before="120" w:after="0" w:line="240" w:lineRule="auto"/>
        <w:contextualSpacing w:val="0"/>
        <w:jc w:val="both"/>
        <w:rPr>
          <w:rFonts w:ascii="Times New Roman" w:hAnsi="Times New Roman"/>
          <w:sz w:val="20"/>
          <w:szCs w:val="20"/>
        </w:rPr>
      </w:pPr>
      <w:r w:rsidRPr="001C6486">
        <w:rPr>
          <w:rFonts w:ascii="Times New Roman" w:hAnsi="Times New Roman"/>
          <w:sz w:val="20"/>
          <w:szCs w:val="20"/>
        </w:rPr>
        <w:t>Refrigerant Handler: Multiplier for refrigerant handling licence primarily in administration and sales in wholesale suppliers of gas.</w:t>
      </w:r>
    </w:p>
    <w:p w14:paraId="3817DAD5" w14:textId="77777777" w:rsidR="001C6486" w:rsidRPr="001C6486" w:rsidRDefault="001C6486" w:rsidP="00D05A74">
      <w:pPr>
        <w:pStyle w:val="ListParagraph"/>
        <w:numPr>
          <w:ilvl w:val="0"/>
          <w:numId w:val="22"/>
        </w:numPr>
        <w:spacing w:before="120" w:after="0" w:line="240" w:lineRule="auto"/>
        <w:contextualSpacing w:val="0"/>
        <w:jc w:val="both"/>
        <w:rPr>
          <w:rFonts w:ascii="Times New Roman" w:hAnsi="Times New Roman"/>
          <w:sz w:val="20"/>
          <w:szCs w:val="20"/>
        </w:rPr>
      </w:pPr>
      <w:r w:rsidRPr="001C6486">
        <w:rPr>
          <w:rFonts w:ascii="Times New Roman" w:hAnsi="Times New Roman"/>
          <w:sz w:val="20"/>
          <w:szCs w:val="20"/>
        </w:rPr>
        <w:t>Refrigerant Recoverer: Refrigerant recovery may not be full time employment for some holders of these licences, however the process of recovery creates jobs in a 'reverse supply chain' for the return of gas for destruction or reuse via various chemical processes and testing to bring gas back to specification.</w:t>
      </w:r>
    </w:p>
    <w:p w14:paraId="0632FA98" w14:textId="573A41D9" w:rsidR="001C6486" w:rsidRPr="001C6486" w:rsidRDefault="001C6486" w:rsidP="00D05A74">
      <w:pPr>
        <w:pStyle w:val="ListParagraph"/>
        <w:numPr>
          <w:ilvl w:val="0"/>
          <w:numId w:val="22"/>
        </w:numPr>
        <w:spacing w:before="120" w:after="0" w:line="240" w:lineRule="auto"/>
        <w:contextualSpacing w:val="0"/>
        <w:jc w:val="both"/>
        <w:rPr>
          <w:rFonts w:ascii="Times New Roman" w:hAnsi="Times New Roman"/>
          <w:sz w:val="20"/>
          <w:szCs w:val="20"/>
        </w:rPr>
      </w:pPr>
      <w:r w:rsidRPr="001C6486">
        <w:rPr>
          <w:rFonts w:ascii="Times New Roman" w:hAnsi="Times New Roman"/>
          <w:sz w:val="20"/>
          <w:szCs w:val="20"/>
        </w:rPr>
        <w:t>Transport Refrigeration: The small number of licence holders in this class deal with an enormous fleet of refrigerated vehicles and shipping containers that are very hard working and consume relatively high volumes of parts and consumables. Some of the refrigerated transport fleet is certainly being serviced by licence holders in the commercial refrigeration category. However it is also highly likely that a significant proportion of the transport refrigeration fleet is also being serviced by skilled tradesmen who are not licen</w:t>
      </w:r>
      <w:r w:rsidR="00F627F9">
        <w:rPr>
          <w:rFonts w:ascii="Times New Roman" w:hAnsi="Times New Roman"/>
          <w:sz w:val="20"/>
          <w:szCs w:val="20"/>
        </w:rPr>
        <w:t>s</w:t>
      </w:r>
      <w:r w:rsidRPr="001C6486">
        <w:rPr>
          <w:rFonts w:ascii="Times New Roman" w:hAnsi="Times New Roman"/>
          <w:sz w:val="20"/>
          <w:szCs w:val="20"/>
        </w:rPr>
        <w:t>ed.</w:t>
      </w:r>
    </w:p>
    <w:p w14:paraId="6CC44B32" w14:textId="1E03AE13" w:rsidR="001C6486" w:rsidRPr="001C6486" w:rsidRDefault="001C6486" w:rsidP="00D05A74">
      <w:pPr>
        <w:pStyle w:val="ListParagraph"/>
        <w:numPr>
          <w:ilvl w:val="0"/>
          <w:numId w:val="22"/>
        </w:numPr>
        <w:spacing w:before="120" w:after="0" w:line="240" w:lineRule="auto"/>
        <w:contextualSpacing w:val="0"/>
        <w:jc w:val="both"/>
        <w:rPr>
          <w:rFonts w:ascii="Times New Roman" w:hAnsi="Times New Roman"/>
          <w:sz w:val="20"/>
          <w:szCs w:val="20"/>
        </w:rPr>
      </w:pPr>
      <w:r w:rsidRPr="001C6486">
        <w:rPr>
          <w:rFonts w:ascii="Times New Roman" w:hAnsi="Times New Roman"/>
          <w:sz w:val="20"/>
          <w:szCs w:val="20"/>
        </w:rPr>
        <w:t xml:space="preserve">Refrigerated Transport Vehicles:  Employment multiplier for each registered refrigerated freight truck includes an average of 1.25 truck drivers for each vehicle with the balance being </w:t>
      </w:r>
      <w:r w:rsidR="003C6CAB" w:rsidRPr="001C6486">
        <w:rPr>
          <w:rFonts w:ascii="Times New Roman" w:hAnsi="Times New Roman"/>
          <w:sz w:val="20"/>
          <w:szCs w:val="20"/>
        </w:rPr>
        <w:t>store men</w:t>
      </w:r>
      <w:r w:rsidRPr="001C6486">
        <w:rPr>
          <w:rFonts w:ascii="Times New Roman" w:hAnsi="Times New Roman"/>
          <w:sz w:val="20"/>
          <w:szCs w:val="20"/>
        </w:rPr>
        <w:t xml:space="preserve"> and packers, logistics and freight forwarders and administrative and sales personnel associated with consigning freight and physically getting product on and off this significant fleet of refrigerated vehicles.</w:t>
      </w:r>
    </w:p>
    <w:p w14:paraId="41859CEC" w14:textId="77777777" w:rsidR="001C6486" w:rsidRPr="001C6486" w:rsidRDefault="001C6486" w:rsidP="00D05A74">
      <w:pPr>
        <w:pStyle w:val="ListParagraph"/>
        <w:numPr>
          <w:ilvl w:val="0"/>
          <w:numId w:val="22"/>
        </w:numPr>
        <w:spacing w:before="120" w:after="0" w:line="240" w:lineRule="auto"/>
        <w:contextualSpacing w:val="0"/>
        <w:jc w:val="both"/>
        <w:rPr>
          <w:rFonts w:ascii="Times New Roman" w:hAnsi="Times New Roman"/>
          <w:sz w:val="20"/>
          <w:szCs w:val="20"/>
        </w:rPr>
      </w:pPr>
      <w:r w:rsidRPr="001C6486">
        <w:rPr>
          <w:rFonts w:ascii="Times New Roman" w:hAnsi="Times New Roman"/>
          <w:sz w:val="20"/>
          <w:szCs w:val="20"/>
        </w:rPr>
        <w:t>Industry Services: Including curriculum development, training and education, industry associations, professional development, testing services, public administration, consulting and regulatory development, publishing, marketing, advertising, exhibition services and compliance services at 1 per cent of total licences.</w:t>
      </w:r>
    </w:p>
    <w:p w14:paraId="0643CA92" w14:textId="77777777" w:rsidR="001343DE" w:rsidRDefault="001343DE">
      <w:pPr>
        <w:spacing w:before="0"/>
        <w:jc w:val="left"/>
        <w:rPr>
          <w:szCs w:val="22"/>
        </w:rPr>
      </w:pPr>
    </w:p>
    <w:p w14:paraId="5BCF770D" w14:textId="77777777" w:rsidR="001C6486" w:rsidRPr="001C6486" w:rsidRDefault="001C6486" w:rsidP="001C6486">
      <w:pPr>
        <w:rPr>
          <w:szCs w:val="22"/>
        </w:rPr>
      </w:pPr>
      <w:r w:rsidRPr="001C6486">
        <w:rPr>
          <w:szCs w:val="22"/>
        </w:rPr>
        <w:t>While this analysis could not be said to be exhaustive, the results are not unreasonable. In the research for CHF1, a survey of industry leaders and associations at that time arrived at a number of approximately 160,000 people employed across the industry, although that figure was essentially arrived at on the basis of informal survey and anecdotal evidence.</w:t>
      </w:r>
    </w:p>
    <w:p w14:paraId="41171C64" w14:textId="6A85BC9B" w:rsidR="001C6486" w:rsidRPr="001C6486" w:rsidRDefault="001C6486" w:rsidP="001C6486">
      <w:pPr>
        <w:rPr>
          <w:szCs w:val="22"/>
        </w:rPr>
      </w:pPr>
      <w:r w:rsidRPr="001C6486">
        <w:rPr>
          <w:szCs w:val="22"/>
        </w:rPr>
        <w:t xml:space="preserve">Further, the proportions of employment (calculated in </w:t>
      </w:r>
      <w:r w:rsidRPr="001C6486">
        <w:rPr>
          <w:i/>
          <w:szCs w:val="22"/>
        </w:rPr>
        <w:t>Table 28</w:t>
      </w:r>
      <w:r w:rsidRPr="001C6486">
        <w:rPr>
          <w:szCs w:val="22"/>
        </w:rPr>
        <w:t>) relating directly to issued licences align quite well with the relative scale of the stock of equipment and bank of working gases in the broad classes of stationary air conditioning (looking at large systems and split systems combined), refrigerated cold food chain and mobile air conditioning.</w:t>
      </w:r>
    </w:p>
    <w:p w14:paraId="2EA90D08" w14:textId="34C63B25" w:rsidR="001C6486" w:rsidRPr="001C6486" w:rsidRDefault="001C6486" w:rsidP="001C6486">
      <w:pPr>
        <w:rPr>
          <w:szCs w:val="22"/>
        </w:rPr>
      </w:pPr>
      <w:r w:rsidRPr="001C6486">
        <w:rPr>
          <w:szCs w:val="22"/>
        </w:rPr>
        <w:t>As such, without the benefit of any better data or method for a</w:t>
      </w:r>
      <w:r w:rsidR="00BA4856">
        <w:rPr>
          <w:szCs w:val="22"/>
        </w:rPr>
        <w:t>nswering</w:t>
      </w:r>
      <w:r w:rsidRPr="001C6486">
        <w:rPr>
          <w:szCs w:val="22"/>
        </w:rPr>
        <w:t xml:space="preserve"> the question of </w:t>
      </w:r>
      <w:r w:rsidR="00BA4856">
        <w:rPr>
          <w:szCs w:val="22"/>
        </w:rPr>
        <w:t xml:space="preserve">total </w:t>
      </w:r>
      <w:r w:rsidRPr="001C6486">
        <w:rPr>
          <w:szCs w:val="22"/>
        </w:rPr>
        <w:t>employment</w:t>
      </w:r>
      <w:r w:rsidR="00BA4856">
        <w:rPr>
          <w:szCs w:val="22"/>
        </w:rPr>
        <w:t xml:space="preserve"> in the industry</w:t>
      </w:r>
      <w:r w:rsidRPr="001C6486">
        <w:rPr>
          <w:szCs w:val="22"/>
        </w:rPr>
        <w:t>, we are going to use the total employment number of 173,940.</w:t>
      </w:r>
    </w:p>
    <w:p w14:paraId="2665CA8B" w14:textId="77777777" w:rsidR="001C6486" w:rsidRPr="001C6486" w:rsidRDefault="001C6486" w:rsidP="001C6486">
      <w:pPr>
        <w:rPr>
          <w:szCs w:val="22"/>
        </w:rPr>
      </w:pPr>
      <w:r w:rsidRPr="001C6486">
        <w:rPr>
          <w:szCs w:val="22"/>
        </w:rPr>
        <w:lastRenderedPageBreak/>
        <w:t>Using average annual earnings in Australia of $69,992 indicates a total annual wages spend of approximately $12.174 billion.</w:t>
      </w:r>
    </w:p>
    <w:p w14:paraId="2A17F9C9" w14:textId="77777777" w:rsidR="001C6486" w:rsidRPr="001C6486" w:rsidRDefault="001C6486" w:rsidP="001C6486">
      <w:pPr>
        <w:rPr>
          <w:szCs w:val="22"/>
        </w:rPr>
      </w:pPr>
      <w:r w:rsidRPr="001C6486">
        <w:rPr>
          <w:szCs w:val="22"/>
        </w:rPr>
        <w:t xml:space="preserve">It is too simplistic however to add the dollar values derived from the cost of new hardware, the cost of refrigerant gas, total energy cost and wages costs together to declare total economic activity in the RAC industry of $32.639 billion.  The major uncertainty in these values is about the level of double counting. For instance one can reasonably assume that some of the wages costs are in fact represented by the cost of new hardware installed, and the value of some refrigerant gas sales included in the costs of some maintenance and service.  </w:t>
      </w:r>
    </w:p>
    <w:p w14:paraId="74D64BD7" w14:textId="0BEEA65B" w:rsidR="001C6486" w:rsidRPr="001C6486" w:rsidRDefault="001C6486" w:rsidP="001C6486">
      <w:pPr>
        <w:rPr>
          <w:szCs w:val="22"/>
        </w:rPr>
      </w:pPr>
      <w:r w:rsidRPr="001C6486">
        <w:rPr>
          <w:szCs w:val="22"/>
        </w:rPr>
        <w:t xml:space="preserve">Obviously there is a lot of skilled services and labour involved in the industry that is paid for separately from the cost of new hardware and refrigerant gas. These services and labour include the design and engineering involved in the construction of commercial buildings and new commercial refrigeration plants, plus the extensive labour involved in maintenance and refurbishment of the </w:t>
      </w:r>
      <w:r w:rsidR="00BA4856">
        <w:rPr>
          <w:szCs w:val="22"/>
        </w:rPr>
        <w:t>large</w:t>
      </w:r>
      <w:r w:rsidRPr="001C6486">
        <w:rPr>
          <w:szCs w:val="22"/>
        </w:rPr>
        <w:t xml:space="preserve"> stock of equipment.  </w:t>
      </w:r>
    </w:p>
    <w:p w14:paraId="5C285D4E" w14:textId="0DB3F944" w:rsidR="001C6486" w:rsidRPr="001C6486" w:rsidRDefault="001C6486" w:rsidP="001C6486">
      <w:pPr>
        <w:rPr>
          <w:szCs w:val="22"/>
        </w:rPr>
      </w:pPr>
      <w:r w:rsidRPr="001C6486">
        <w:rPr>
          <w:szCs w:val="22"/>
        </w:rPr>
        <w:t xml:space="preserve">However even offsetting 100 per cent of the cost of new installed hardware and sales of refrigerant gas from calculated wages costs, leaves a total discounted wages value of $5.743 billion not accounted for in the sales of new goods and materials. Using that figure as the value for wages not accounted for elsewhere, a summary of the main economic indicators that point to the size of the RAC industry has been compiled into </w:t>
      </w:r>
      <w:r w:rsidRPr="001C6486">
        <w:rPr>
          <w:i/>
          <w:szCs w:val="22"/>
        </w:rPr>
        <w:t>Table 29</w:t>
      </w:r>
      <w:r w:rsidRPr="001C6486">
        <w:rPr>
          <w:szCs w:val="22"/>
        </w:rPr>
        <w:t>.</w:t>
      </w:r>
    </w:p>
    <w:p w14:paraId="0BBEABB7" w14:textId="77777777" w:rsidR="001343DE" w:rsidRDefault="001343DE" w:rsidP="001343DE">
      <w:pPr>
        <w:spacing w:before="0"/>
        <w:jc w:val="left"/>
        <w:rPr>
          <w:szCs w:val="22"/>
        </w:rPr>
      </w:pPr>
    </w:p>
    <w:p w14:paraId="451E46F2" w14:textId="3FDDB212" w:rsidR="002E1194" w:rsidRPr="005E5BAD" w:rsidRDefault="002E1194" w:rsidP="002E1194">
      <w:pPr>
        <w:rPr>
          <w:i/>
          <w:szCs w:val="22"/>
        </w:rPr>
      </w:pPr>
      <w:bookmarkStart w:id="90" w:name="_Toc233084073"/>
      <w:r w:rsidRPr="005E5BAD">
        <w:rPr>
          <w:i/>
          <w:szCs w:val="22"/>
        </w:rPr>
        <w:t xml:space="preserve">Table </w:t>
      </w:r>
      <w:r w:rsidRPr="005E5BAD">
        <w:rPr>
          <w:i/>
          <w:szCs w:val="22"/>
        </w:rPr>
        <w:fldChar w:fldCharType="begin"/>
      </w:r>
      <w:r w:rsidRPr="005E5BAD">
        <w:rPr>
          <w:i/>
          <w:szCs w:val="22"/>
        </w:rPr>
        <w:instrText xml:space="preserve"> SEQ Table \* ARABIC </w:instrText>
      </w:r>
      <w:r w:rsidRPr="005E5BAD">
        <w:rPr>
          <w:i/>
          <w:szCs w:val="22"/>
        </w:rPr>
        <w:fldChar w:fldCharType="separate"/>
      </w:r>
      <w:r w:rsidR="00196462">
        <w:rPr>
          <w:i/>
          <w:noProof/>
          <w:szCs w:val="22"/>
        </w:rPr>
        <w:t>29</w:t>
      </w:r>
      <w:r w:rsidRPr="005E5BAD">
        <w:rPr>
          <w:i/>
          <w:szCs w:val="22"/>
        </w:rPr>
        <w:fldChar w:fldCharType="end"/>
      </w:r>
      <w:r w:rsidRPr="005E5BAD">
        <w:rPr>
          <w:i/>
          <w:szCs w:val="22"/>
        </w:rPr>
        <w:t xml:space="preserve">: Main </w:t>
      </w:r>
      <w:r>
        <w:rPr>
          <w:i/>
          <w:szCs w:val="22"/>
        </w:rPr>
        <w:t>e</w:t>
      </w:r>
      <w:r w:rsidRPr="005E5BAD">
        <w:rPr>
          <w:i/>
          <w:szCs w:val="22"/>
        </w:rPr>
        <w:t xml:space="preserve">conomic </w:t>
      </w:r>
      <w:r>
        <w:rPr>
          <w:i/>
          <w:szCs w:val="22"/>
        </w:rPr>
        <w:t>i</w:t>
      </w:r>
      <w:r w:rsidRPr="005E5BAD">
        <w:rPr>
          <w:i/>
          <w:szCs w:val="22"/>
        </w:rPr>
        <w:t xml:space="preserve">ndicators of RAC </w:t>
      </w:r>
      <w:r>
        <w:rPr>
          <w:i/>
          <w:szCs w:val="22"/>
        </w:rPr>
        <w:t>i</w:t>
      </w:r>
      <w:r w:rsidRPr="005E5BAD">
        <w:rPr>
          <w:i/>
          <w:szCs w:val="22"/>
        </w:rPr>
        <w:t>ndustry activity 2012</w:t>
      </w:r>
      <w:bookmarkEnd w:id="9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2778"/>
      </w:tblGrid>
      <w:tr w:rsidR="002E1194" w:rsidRPr="00923150" w14:paraId="6D68E87C" w14:textId="77777777" w:rsidTr="00CF6747">
        <w:trPr>
          <w:trHeight w:val="684"/>
        </w:trPr>
        <w:tc>
          <w:tcPr>
            <w:tcW w:w="3686" w:type="dxa"/>
            <w:tcBorders>
              <w:top w:val="single" w:sz="8" w:space="0" w:color="auto"/>
              <w:left w:val="single" w:sz="8" w:space="0" w:color="auto"/>
              <w:bottom w:val="single" w:sz="8" w:space="0" w:color="auto"/>
              <w:right w:val="single" w:sz="4" w:space="0" w:color="FFFFFF"/>
            </w:tcBorders>
            <w:shd w:val="clear" w:color="auto" w:fill="000000"/>
            <w:vAlign w:val="center"/>
          </w:tcPr>
          <w:p w14:paraId="35948A55" w14:textId="77777777" w:rsidR="002E1194" w:rsidRPr="00923150" w:rsidRDefault="002E1194" w:rsidP="00CA1ACB">
            <w:pPr>
              <w:spacing w:after="120"/>
              <w:ind w:left="284"/>
            </w:pPr>
            <w:r>
              <w:t>Expenditure categories</w:t>
            </w:r>
          </w:p>
        </w:tc>
        <w:tc>
          <w:tcPr>
            <w:tcW w:w="2778" w:type="dxa"/>
            <w:tcBorders>
              <w:top w:val="single" w:sz="8" w:space="0" w:color="auto"/>
              <w:left w:val="single" w:sz="4" w:space="0" w:color="FFFFFF"/>
              <w:bottom w:val="single" w:sz="8" w:space="0" w:color="auto"/>
              <w:right w:val="single" w:sz="8" w:space="0" w:color="auto"/>
            </w:tcBorders>
            <w:shd w:val="clear" w:color="auto" w:fill="000000"/>
            <w:vAlign w:val="center"/>
          </w:tcPr>
          <w:p w14:paraId="1E8B9F3F" w14:textId="77777777" w:rsidR="002E1194" w:rsidRPr="00923150" w:rsidRDefault="002E1194" w:rsidP="00CA1ACB">
            <w:pPr>
              <w:spacing w:after="120"/>
              <w:jc w:val="center"/>
            </w:pPr>
            <w:r>
              <w:t>Economic spend                  ($ Billion)</w:t>
            </w:r>
          </w:p>
        </w:tc>
      </w:tr>
      <w:tr w:rsidR="002E1194" w:rsidRPr="00923150" w14:paraId="2D1CFB68" w14:textId="77777777" w:rsidTr="00CA1ACB">
        <w:trPr>
          <w:trHeight w:val="456"/>
        </w:trPr>
        <w:tc>
          <w:tcPr>
            <w:tcW w:w="3686" w:type="dxa"/>
            <w:tcBorders>
              <w:top w:val="single" w:sz="8" w:space="0" w:color="auto"/>
            </w:tcBorders>
            <w:vAlign w:val="center"/>
          </w:tcPr>
          <w:p w14:paraId="6CABCA84" w14:textId="77777777" w:rsidR="002E1194" w:rsidRPr="00923150" w:rsidRDefault="002E1194" w:rsidP="00CA1ACB">
            <w:pPr>
              <w:spacing w:before="60" w:after="60"/>
              <w:ind w:left="284"/>
              <w:rPr>
                <w:sz w:val="20"/>
              </w:rPr>
            </w:pPr>
            <w:r w:rsidRPr="00D8757D">
              <w:t xml:space="preserve">New </w:t>
            </w:r>
            <w:r>
              <w:t>h</w:t>
            </w:r>
            <w:r w:rsidRPr="00D8757D">
              <w:t xml:space="preserve">ardware </w:t>
            </w:r>
            <w:r>
              <w:t>c</w:t>
            </w:r>
            <w:r w:rsidRPr="00D8757D">
              <w:t xml:space="preserve">osts </w:t>
            </w:r>
            <w:r>
              <w:t>i</w:t>
            </w:r>
            <w:r w:rsidRPr="00D8757D">
              <w:t>nstalled</w:t>
            </w:r>
          </w:p>
        </w:tc>
        <w:tc>
          <w:tcPr>
            <w:tcW w:w="2778" w:type="dxa"/>
            <w:tcBorders>
              <w:top w:val="single" w:sz="8" w:space="0" w:color="auto"/>
            </w:tcBorders>
            <w:vAlign w:val="center"/>
          </w:tcPr>
          <w:p w14:paraId="15851255" w14:textId="77777777" w:rsidR="002E1194" w:rsidRPr="00923150" w:rsidRDefault="002E1194" w:rsidP="00CA1ACB">
            <w:pPr>
              <w:spacing w:before="60" w:after="60"/>
              <w:jc w:val="center"/>
              <w:rPr>
                <w:sz w:val="20"/>
              </w:rPr>
            </w:pPr>
            <w:r w:rsidRPr="00D8757D">
              <w:t>$5.896</w:t>
            </w:r>
          </w:p>
        </w:tc>
      </w:tr>
      <w:tr w:rsidR="002E1194" w:rsidRPr="00923150" w14:paraId="26829A38" w14:textId="77777777" w:rsidTr="00CA1ACB">
        <w:trPr>
          <w:trHeight w:val="456"/>
        </w:trPr>
        <w:tc>
          <w:tcPr>
            <w:tcW w:w="3686" w:type="dxa"/>
            <w:vAlign w:val="center"/>
          </w:tcPr>
          <w:p w14:paraId="4BE584EB" w14:textId="77777777" w:rsidR="002E1194" w:rsidRDefault="002E1194" w:rsidP="00CA1ACB">
            <w:pPr>
              <w:spacing w:before="60" w:after="60"/>
              <w:ind w:left="284"/>
              <w:rPr>
                <w:sz w:val="20"/>
              </w:rPr>
            </w:pPr>
            <w:r w:rsidRPr="00D8757D">
              <w:t xml:space="preserve">Annual </w:t>
            </w:r>
            <w:r>
              <w:t>r</w:t>
            </w:r>
            <w:r w:rsidRPr="00D8757D">
              <w:t xml:space="preserve">efrigerant </w:t>
            </w:r>
            <w:r>
              <w:t>g</w:t>
            </w:r>
            <w:r w:rsidRPr="00D8757D">
              <w:t xml:space="preserve">as </w:t>
            </w:r>
            <w:r>
              <w:t>c</w:t>
            </w:r>
            <w:r w:rsidRPr="00D8757D">
              <w:t xml:space="preserve">ost </w:t>
            </w:r>
          </w:p>
        </w:tc>
        <w:tc>
          <w:tcPr>
            <w:tcW w:w="2778" w:type="dxa"/>
            <w:vAlign w:val="center"/>
          </w:tcPr>
          <w:p w14:paraId="3F2917CB" w14:textId="77777777" w:rsidR="002E1194" w:rsidRDefault="002E1194" w:rsidP="00CA1ACB">
            <w:pPr>
              <w:spacing w:before="60" w:after="60"/>
              <w:jc w:val="center"/>
              <w:rPr>
                <w:sz w:val="20"/>
              </w:rPr>
            </w:pPr>
            <w:r w:rsidRPr="00D8757D">
              <w:t>$0.535</w:t>
            </w:r>
          </w:p>
        </w:tc>
      </w:tr>
      <w:tr w:rsidR="002E1194" w:rsidRPr="00923150" w14:paraId="6F7AED4B" w14:textId="77777777" w:rsidTr="00CA1ACB">
        <w:trPr>
          <w:trHeight w:val="456"/>
        </w:trPr>
        <w:tc>
          <w:tcPr>
            <w:tcW w:w="3686" w:type="dxa"/>
            <w:vAlign w:val="center"/>
          </w:tcPr>
          <w:p w14:paraId="7B631727" w14:textId="77777777" w:rsidR="002E1194" w:rsidRDefault="002E1194" w:rsidP="00CA1ACB">
            <w:pPr>
              <w:spacing w:before="60" w:after="60"/>
              <w:ind w:left="284"/>
              <w:rPr>
                <w:sz w:val="20"/>
              </w:rPr>
            </w:pPr>
            <w:r w:rsidRPr="00D8757D">
              <w:t xml:space="preserve">Energy </w:t>
            </w:r>
            <w:r>
              <w:t>c</w:t>
            </w:r>
            <w:r w:rsidRPr="00D8757D">
              <w:t>ost</w:t>
            </w:r>
          </w:p>
        </w:tc>
        <w:tc>
          <w:tcPr>
            <w:tcW w:w="2778" w:type="dxa"/>
            <w:vAlign w:val="center"/>
          </w:tcPr>
          <w:p w14:paraId="237C37F1" w14:textId="77777777" w:rsidR="002E1194" w:rsidRDefault="002E1194" w:rsidP="00CA1ACB">
            <w:pPr>
              <w:spacing w:before="60" w:after="60"/>
              <w:jc w:val="center"/>
              <w:rPr>
                <w:sz w:val="20"/>
              </w:rPr>
            </w:pPr>
            <w:r w:rsidRPr="00D8757D">
              <w:t>$14.061</w:t>
            </w:r>
          </w:p>
        </w:tc>
      </w:tr>
      <w:tr w:rsidR="002E1194" w:rsidRPr="00923150" w14:paraId="291E8982" w14:textId="77777777" w:rsidTr="00CA1ACB">
        <w:trPr>
          <w:trHeight w:val="456"/>
        </w:trPr>
        <w:tc>
          <w:tcPr>
            <w:tcW w:w="3686" w:type="dxa"/>
            <w:tcBorders>
              <w:bottom w:val="double" w:sz="4" w:space="0" w:color="auto"/>
            </w:tcBorders>
            <w:vAlign w:val="center"/>
          </w:tcPr>
          <w:p w14:paraId="59EE40CB" w14:textId="77777777" w:rsidR="002E1194" w:rsidRPr="00923150" w:rsidRDefault="002E1194" w:rsidP="00CA1ACB">
            <w:pPr>
              <w:spacing w:before="60" w:after="60"/>
              <w:ind w:left="284"/>
              <w:rPr>
                <w:sz w:val="20"/>
              </w:rPr>
            </w:pPr>
            <w:r w:rsidRPr="00D8757D">
              <w:t xml:space="preserve">Discounted </w:t>
            </w:r>
            <w:r>
              <w:t>w</w:t>
            </w:r>
            <w:r w:rsidRPr="00D8757D">
              <w:t xml:space="preserve">ages </w:t>
            </w:r>
            <w:r>
              <w:t>c</w:t>
            </w:r>
            <w:r w:rsidRPr="00D8757D">
              <w:t>ost</w:t>
            </w:r>
          </w:p>
        </w:tc>
        <w:tc>
          <w:tcPr>
            <w:tcW w:w="2778" w:type="dxa"/>
            <w:tcBorders>
              <w:bottom w:val="double" w:sz="4" w:space="0" w:color="auto"/>
            </w:tcBorders>
            <w:vAlign w:val="center"/>
          </w:tcPr>
          <w:p w14:paraId="243890FA" w14:textId="77777777" w:rsidR="002E1194" w:rsidRPr="00923150" w:rsidRDefault="002E1194" w:rsidP="00CA1ACB">
            <w:pPr>
              <w:spacing w:before="60" w:after="60"/>
              <w:jc w:val="center"/>
              <w:rPr>
                <w:sz w:val="20"/>
              </w:rPr>
            </w:pPr>
            <w:r w:rsidRPr="00D8757D">
              <w:t>$5.743</w:t>
            </w:r>
          </w:p>
        </w:tc>
      </w:tr>
      <w:tr w:rsidR="002E1194" w:rsidRPr="00923150" w14:paraId="6D78983E" w14:textId="77777777" w:rsidTr="00CA1ACB">
        <w:trPr>
          <w:trHeight w:val="456"/>
        </w:trPr>
        <w:tc>
          <w:tcPr>
            <w:tcW w:w="3686" w:type="dxa"/>
            <w:tcBorders>
              <w:top w:val="double" w:sz="4" w:space="0" w:color="auto"/>
            </w:tcBorders>
            <w:vAlign w:val="center"/>
          </w:tcPr>
          <w:p w14:paraId="138E0D08" w14:textId="77777777" w:rsidR="002E1194" w:rsidRPr="00923150" w:rsidRDefault="002E1194" w:rsidP="00CA1ACB">
            <w:pPr>
              <w:spacing w:before="60" w:after="60"/>
              <w:ind w:left="284"/>
              <w:rPr>
                <w:sz w:val="20"/>
              </w:rPr>
            </w:pPr>
            <w:r w:rsidRPr="00D8757D">
              <w:t xml:space="preserve">Total </w:t>
            </w:r>
            <w:r>
              <w:t>s</w:t>
            </w:r>
            <w:r w:rsidRPr="00D8757D">
              <w:t>pend</w:t>
            </w:r>
          </w:p>
        </w:tc>
        <w:tc>
          <w:tcPr>
            <w:tcW w:w="2778" w:type="dxa"/>
            <w:tcBorders>
              <w:top w:val="double" w:sz="4" w:space="0" w:color="auto"/>
            </w:tcBorders>
            <w:vAlign w:val="center"/>
          </w:tcPr>
          <w:p w14:paraId="4B96A65A" w14:textId="77777777" w:rsidR="002E1194" w:rsidRPr="00923150" w:rsidRDefault="002E1194" w:rsidP="00CA1ACB">
            <w:pPr>
              <w:spacing w:before="60" w:after="60"/>
              <w:jc w:val="center"/>
              <w:rPr>
                <w:sz w:val="20"/>
              </w:rPr>
            </w:pPr>
            <w:r w:rsidRPr="00D8757D">
              <w:t>$26.235</w:t>
            </w:r>
          </w:p>
        </w:tc>
      </w:tr>
    </w:tbl>
    <w:p w14:paraId="18227035" w14:textId="0616B88A" w:rsidR="008A6078" w:rsidRDefault="00BA4856" w:rsidP="001C6486">
      <w:pPr>
        <w:spacing w:before="240"/>
        <w:rPr>
          <w:szCs w:val="22"/>
        </w:rPr>
      </w:pPr>
      <w:r>
        <w:rPr>
          <w:szCs w:val="22"/>
        </w:rPr>
        <w:t>This calculation is not sufficiently rigorous to use this estimate of direct spending to determine what percentage of the national economy is made up of</w:t>
      </w:r>
      <w:r w:rsidR="001C6486" w:rsidRPr="001C6486">
        <w:rPr>
          <w:szCs w:val="22"/>
        </w:rPr>
        <w:t xml:space="preserve"> spending on provision of RAC services</w:t>
      </w:r>
      <w:r>
        <w:rPr>
          <w:szCs w:val="22"/>
        </w:rPr>
        <w:t>.  However for the sake of the exercise, t</w:t>
      </w:r>
      <w:r w:rsidR="001C6486" w:rsidRPr="001C6486">
        <w:rPr>
          <w:szCs w:val="22"/>
        </w:rPr>
        <w:t xml:space="preserve">he Australian </w:t>
      </w:r>
      <w:r>
        <w:rPr>
          <w:szCs w:val="22"/>
        </w:rPr>
        <w:t xml:space="preserve">GDP was calculated to be </w:t>
      </w:r>
      <w:r w:rsidR="001C6486" w:rsidRPr="001C6486">
        <w:rPr>
          <w:szCs w:val="22"/>
        </w:rPr>
        <w:t xml:space="preserve">$1.57 trillion </w:t>
      </w:r>
      <w:r>
        <w:rPr>
          <w:szCs w:val="22"/>
        </w:rPr>
        <w:t xml:space="preserve">in 2012. </w:t>
      </w:r>
      <w:r w:rsidR="001C6486" w:rsidRPr="001C6486">
        <w:rPr>
          <w:szCs w:val="22"/>
        </w:rPr>
        <w:t xml:space="preserve"> </w:t>
      </w:r>
      <w:r>
        <w:rPr>
          <w:szCs w:val="22"/>
        </w:rPr>
        <w:t>T</w:t>
      </w:r>
      <w:r w:rsidR="001C6486" w:rsidRPr="001C6486">
        <w:rPr>
          <w:szCs w:val="22"/>
        </w:rPr>
        <w:t>he total spendi</w:t>
      </w:r>
      <w:r w:rsidR="001C6486">
        <w:rPr>
          <w:szCs w:val="22"/>
        </w:rPr>
        <w:t xml:space="preserve">ng estimated in </w:t>
      </w:r>
      <w:r w:rsidR="001C6486" w:rsidRPr="001C6486">
        <w:rPr>
          <w:i/>
          <w:szCs w:val="22"/>
        </w:rPr>
        <w:t>Table 29</w:t>
      </w:r>
      <w:r w:rsidR="001C6486">
        <w:rPr>
          <w:szCs w:val="22"/>
        </w:rPr>
        <w:t xml:space="preserve"> </w:t>
      </w:r>
      <w:r w:rsidR="001C6486" w:rsidRPr="001C6486">
        <w:rPr>
          <w:szCs w:val="22"/>
        </w:rPr>
        <w:t xml:space="preserve">for is equivalent to 1.67 per cent of </w:t>
      </w:r>
      <w:r w:rsidR="008A6078">
        <w:rPr>
          <w:szCs w:val="22"/>
        </w:rPr>
        <w:t>that value, a percentage that compares well with our estimate of total employment in the sector being around 1.5% of the Australian workforce.</w:t>
      </w:r>
      <w:r w:rsidR="001C6486" w:rsidRPr="001C6486">
        <w:rPr>
          <w:szCs w:val="22"/>
        </w:rPr>
        <w:t xml:space="preserve">  </w:t>
      </w:r>
    </w:p>
    <w:p w14:paraId="0248EC8A" w14:textId="75779089" w:rsidR="001343DE" w:rsidRDefault="001C6486" w:rsidP="001C6486">
      <w:pPr>
        <w:spacing w:before="240"/>
        <w:rPr>
          <w:szCs w:val="22"/>
        </w:rPr>
      </w:pPr>
      <w:r w:rsidRPr="001C6486">
        <w:rPr>
          <w:szCs w:val="22"/>
        </w:rPr>
        <w:t xml:space="preserve">The further question of the </w:t>
      </w:r>
      <w:r w:rsidR="008A6078">
        <w:rPr>
          <w:szCs w:val="22"/>
        </w:rPr>
        <w:t xml:space="preserve">total </w:t>
      </w:r>
      <w:r w:rsidRPr="001C6486">
        <w:rPr>
          <w:szCs w:val="22"/>
        </w:rPr>
        <w:t>value of the services that the RAC industry provides to its clients is impossible to determine, although that question is explored in the next section of this report.</w:t>
      </w:r>
    </w:p>
    <w:p w14:paraId="42A70F5F" w14:textId="77777777" w:rsidR="001343DE" w:rsidRDefault="001343DE" w:rsidP="001343DE">
      <w:pPr>
        <w:spacing w:before="0"/>
        <w:jc w:val="left"/>
        <w:rPr>
          <w:szCs w:val="22"/>
        </w:rPr>
      </w:pPr>
    </w:p>
    <w:p w14:paraId="504C4B9E" w14:textId="77777777" w:rsidR="001C6486" w:rsidRDefault="001C6486">
      <w:pPr>
        <w:spacing w:before="0"/>
        <w:jc w:val="left"/>
        <w:rPr>
          <w:rFonts w:ascii="Calibri" w:eastAsia="Times New Roman" w:hAnsi="Calibri" w:cs="Times New Roman"/>
          <w:b/>
          <w:bCs/>
          <w:kern w:val="32"/>
          <w:sz w:val="32"/>
          <w:szCs w:val="32"/>
          <w:lang w:val="en-US"/>
        </w:rPr>
      </w:pPr>
      <w:r>
        <w:br w:type="page"/>
      </w:r>
    </w:p>
    <w:p w14:paraId="01FAC6DB" w14:textId="26135FBB" w:rsidR="00CA1ACB" w:rsidRDefault="00CA1ACB" w:rsidP="00CA1ACB">
      <w:pPr>
        <w:pStyle w:val="Heading1"/>
      </w:pPr>
      <w:bookmarkStart w:id="91" w:name="_Toc233084166"/>
      <w:r>
        <w:lastRenderedPageBreak/>
        <w:t>The dependent economy</w:t>
      </w:r>
      <w:bookmarkEnd w:id="91"/>
    </w:p>
    <w:p w14:paraId="528D8A22" w14:textId="6FD3DD1C" w:rsidR="001C6486" w:rsidRPr="001C6486" w:rsidRDefault="001C6486" w:rsidP="001C6486">
      <w:pPr>
        <w:rPr>
          <w:szCs w:val="22"/>
        </w:rPr>
      </w:pPr>
      <w:r w:rsidRPr="001C6486">
        <w:rPr>
          <w:szCs w:val="22"/>
        </w:rPr>
        <w:t>There are several sectors of the economy that could be regarded as effectively dependent on RAC systems. The refrigerated cold food chain is an obvious candidate and a critical piece of modern infrastructure which could not exist in the absence of cost effective, efficient and reliable refriger</w:t>
      </w:r>
      <w:r>
        <w:rPr>
          <w:szCs w:val="22"/>
        </w:rPr>
        <w:t>ation. An equally critical role</w:t>
      </w:r>
      <w:r w:rsidRPr="001C6486">
        <w:rPr>
          <w:szCs w:val="22"/>
        </w:rPr>
        <w:t xml:space="preserve"> </w:t>
      </w:r>
      <w:r w:rsidR="00194C08">
        <w:rPr>
          <w:szCs w:val="22"/>
        </w:rPr>
        <w:t>is played by</w:t>
      </w:r>
      <w:r w:rsidRPr="001C6486">
        <w:rPr>
          <w:szCs w:val="22"/>
        </w:rPr>
        <w:t xml:space="preserve"> a large proportion of the installed stationary air conditioning in commercial buildings.</w:t>
      </w:r>
    </w:p>
    <w:p w14:paraId="1AF91026" w14:textId="57B5CD6F" w:rsidR="001C6486" w:rsidRPr="001C6486" w:rsidRDefault="00194C08" w:rsidP="001C6486">
      <w:pPr>
        <w:rPr>
          <w:szCs w:val="22"/>
        </w:rPr>
      </w:pPr>
      <w:r>
        <w:rPr>
          <w:szCs w:val="22"/>
        </w:rPr>
        <w:t>M</w:t>
      </w:r>
      <w:r w:rsidR="001C6486" w:rsidRPr="001C6486">
        <w:rPr>
          <w:szCs w:val="22"/>
        </w:rPr>
        <w:t>ajor hospital facilities are a</w:t>
      </w:r>
      <w:r>
        <w:rPr>
          <w:szCs w:val="22"/>
        </w:rPr>
        <w:t>nother</w:t>
      </w:r>
      <w:r w:rsidR="001C6486" w:rsidRPr="001C6486">
        <w:rPr>
          <w:szCs w:val="22"/>
        </w:rPr>
        <w:t xml:space="preserve"> telling example of where a vital </w:t>
      </w:r>
      <w:r>
        <w:rPr>
          <w:szCs w:val="22"/>
        </w:rPr>
        <w:t xml:space="preserve">community </w:t>
      </w:r>
      <w:r w:rsidR="001C6486" w:rsidRPr="001C6486">
        <w:rPr>
          <w:szCs w:val="22"/>
        </w:rPr>
        <w:t>service is highly dependent on the round the clock operation of both refrigeration and air conditioning systems.</w:t>
      </w:r>
    </w:p>
    <w:p w14:paraId="5FED3474" w14:textId="77777777" w:rsidR="001C6486" w:rsidRPr="001C6486" w:rsidRDefault="001C6486" w:rsidP="001C6486">
      <w:pPr>
        <w:rPr>
          <w:szCs w:val="22"/>
        </w:rPr>
      </w:pPr>
      <w:r w:rsidRPr="001C6486">
        <w:rPr>
          <w:szCs w:val="22"/>
        </w:rPr>
        <w:t>These economic sectors that are dependent to varying degrees on the provision of RAC services are included here as further indicators of the overall economic value of the RAC industry.</w:t>
      </w:r>
    </w:p>
    <w:p w14:paraId="7AF5A16A" w14:textId="77777777" w:rsidR="001343DE" w:rsidRDefault="001343DE" w:rsidP="001343DE">
      <w:pPr>
        <w:spacing w:before="0"/>
        <w:jc w:val="left"/>
        <w:rPr>
          <w:szCs w:val="22"/>
        </w:rPr>
      </w:pPr>
    </w:p>
    <w:p w14:paraId="2BF5DAF3" w14:textId="50884235" w:rsidR="00CA1ACB" w:rsidRDefault="00CA1ACB" w:rsidP="007B6646">
      <w:pPr>
        <w:pStyle w:val="Heading2"/>
        <w:ind w:left="567" w:hanging="567"/>
      </w:pPr>
      <w:bookmarkStart w:id="92" w:name="_Toc233084167"/>
      <w:r w:rsidRPr="00CA1ACB">
        <w:t xml:space="preserve">Cold food and money – the </w:t>
      </w:r>
      <w:r w:rsidR="007B6646">
        <w:t>r</w:t>
      </w:r>
      <w:r w:rsidR="00B948FC">
        <w:t>efrigerated cold food chain</w:t>
      </w:r>
      <w:bookmarkEnd w:id="92"/>
    </w:p>
    <w:p w14:paraId="52236D9D" w14:textId="70FD16A4" w:rsidR="00300C2D" w:rsidRPr="00300C2D" w:rsidRDefault="00300C2D" w:rsidP="00300C2D">
      <w:pPr>
        <w:rPr>
          <w:szCs w:val="22"/>
        </w:rPr>
      </w:pPr>
      <w:r w:rsidRPr="00300C2D">
        <w:rPr>
          <w:szCs w:val="22"/>
        </w:rPr>
        <w:t>Large scale mechanical refrigeration systems, as they were originally conceived and designed, were entirely for the purpose of maintaining food quality. Australia, as a country with a small population and a capacity for production of large food surpluses</w:t>
      </w:r>
      <w:r w:rsidR="00F627F9">
        <w:rPr>
          <w:szCs w:val="22"/>
        </w:rPr>
        <w:t>,</w:t>
      </w:r>
      <w:r w:rsidRPr="00300C2D">
        <w:rPr>
          <w:szCs w:val="22"/>
        </w:rPr>
        <w:t xml:space="preserve"> has long been in the lead in the development of refrigeration systems to extend the life of perishable food.</w:t>
      </w:r>
    </w:p>
    <w:p w14:paraId="3431074A" w14:textId="4113E7C7" w:rsidR="00300C2D" w:rsidRPr="00300C2D" w:rsidRDefault="00300C2D" w:rsidP="00300C2D">
      <w:pPr>
        <w:rPr>
          <w:szCs w:val="22"/>
        </w:rPr>
      </w:pPr>
      <w:r w:rsidRPr="00300C2D">
        <w:rPr>
          <w:szCs w:val="22"/>
        </w:rPr>
        <w:t>The world’s first shipment of refrigerated beef and mutton set sail from Sydney in the sailing ship ‘Norfolk’ in July 1873.</w:t>
      </w:r>
      <w:r>
        <w:rPr>
          <w:rStyle w:val="FootnoteReference"/>
          <w:szCs w:val="22"/>
        </w:rPr>
        <w:footnoteReference w:id="30"/>
      </w:r>
      <w:r w:rsidRPr="00300C2D">
        <w:rPr>
          <w:szCs w:val="22"/>
        </w:rPr>
        <w:t xml:space="preserve"> Unfortunately inexperience with the management of refrigeration equipment, and refrigerated cargoes meant that the entire shipment of 25 tonnes of beef and mutton were unfit for human consumption by the time it arrived in London. However</w:t>
      </w:r>
      <w:r w:rsidR="00194C08">
        <w:rPr>
          <w:szCs w:val="22"/>
        </w:rPr>
        <w:t xml:space="preserve"> only a few years later,</w:t>
      </w:r>
      <w:r w:rsidRPr="00300C2D">
        <w:rPr>
          <w:szCs w:val="22"/>
        </w:rPr>
        <w:t xml:space="preserve"> </w:t>
      </w:r>
      <w:r w:rsidR="00194C08">
        <w:rPr>
          <w:szCs w:val="22"/>
        </w:rPr>
        <w:t>in</w:t>
      </w:r>
      <w:r w:rsidRPr="00300C2D">
        <w:rPr>
          <w:szCs w:val="22"/>
        </w:rPr>
        <w:t xml:space="preserve"> the early 1880s</w:t>
      </w:r>
      <w:r w:rsidR="00194C08">
        <w:rPr>
          <w:szCs w:val="22"/>
        </w:rPr>
        <w:t>,</w:t>
      </w:r>
      <w:r w:rsidRPr="00300C2D">
        <w:rPr>
          <w:szCs w:val="22"/>
        </w:rPr>
        <w:t xml:space="preserve"> dairy and meat exports from Australia and New Zealand in refrigerated shipping </w:t>
      </w:r>
      <w:r w:rsidR="00194C08">
        <w:rPr>
          <w:szCs w:val="22"/>
        </w:rPr>
        <w:t>had become</w:t>
      </w:r>
      <w:r w:rsidRPr="00300C2D">
        <w:rPr>
          <w:szCs w:val="22"/>
        </w:rPr>
        <w:t xml:space="preserve"> a booming industry.</w:t>
      </w:r>
    </w:p>
    <w:p w14:paraId="57F160E5" w14:textId="7D0B5389" w:rsidR="00300C2D" w:rsidRPr="00300C2D" w:rsidRDefault="00300C2D" w:rsidP="00300C2D">
      <w:pPr>
        <w:rPr>
          <w:szCs w:val="22"/>
        </w:rPr>
      </w:pPr>
      <w:r w:rsidRPr="00300C2D">
        <w:rPr>
          <w:szCs w:val="22"/>
        </w:rPr>
        <w:t xml:space="preserve">Today the </w:t>
      </w:r>
      <w:r>
        <w:rPr>
          <w:szCs w:val="22"/>
        </w:rPr>
        <w:t>r</w:t>
      </w:r>
      <w:r w:rsidRPr="00300C2D">
        <w:rPr>
          <w:szCs w:val="22"/>
        </w:rPr>
        <w:t xml:space="preserve">efrigerated </w:t>
      </w:r>
      <w:r>
        <w:rPr>
          <w:szCs w:val="22"/>
        </w:rPr>
        <w:t>c</w:t>
      </w:r>
      <w:r w:rsidRPr="00300C2D">
        <w:rPr>
          <w:szCs w:val="22"/>
        </w:rPr>
        <w:t xml:space="preserve">old </w:t>
      </w:r>
      <w:r>
        <w:rPr>
          <w:szCs w:val="22"/>
        </w:rPr>
        <w:t>f</w:t>
      </w:r>
      <w:r w:rsidRPr="00300C2D">
        <w:rPr>
          <w:szCs w:val="22"/>
        </w:rPr>
        <w:t xml:space="preserve">ood </w:t>
      </w:r>
      <w:r>
        <w:rPr>
          <w:szCs w:val="22"/>
        </w:rPr>
        <w:t>c</w:t>
      </w:r>
      <w:r w:rsidRPr="00300C2D">
        <w:rPr>
          <w:szCs w:val="22"/>
        </w:rPr>
        <w:t>hain in Australia handles an estimated 20 million tonnes of perishable food stuffs every year, with an estimated farm gate value of $</w:t>
      </w:r>
      <w:r w:rsidR="00306BB8">
        <w:rPr>
          <w:szCs w:val="22"/>
        </w:rPr>
        <w:t>28</w:t>
      </w:r>
      <w:r w:rsidRPr="00300C2D">
        <w:rPr>
          <w:szCs w:val="22"/>
        </w:rPr>
        <w:t xml:space="preserve"> billion dollars and export earnings of </w:t>
      </w:r>
      <w:r w:rsidR="00571F94">
        <w:rPr>
          <w:szCs w:val="22"/>
        </w:rPr>
        <w:t>nearly</w:t>
      </w:r>
      <w:r w:rsidRPr="00300C2D">
        <w:rPr>
          <w:szCs w:val="22"/>
        </w:rPr>
        <w:t xml:space="preserve"> $</w:t>
      </w:r>
      <w:r w:rsidR="00571F94">
        <w:rPr>
          <w:szCs w:val="22"/>
        </w:rPr>
        <w:t>11</w:t>
      </w:r>
      <w:r w:rsidRPr="00300C2D">
        <w:rPr>
          <w:szCs w:val="22"/>
        </w:rPr>
        <w:t xml:space="preserve"> billion. </w:t>
      </w:r>
    </w:p>
    <w:p w14:paraId="621F282D" w14:textId="062C097C" w:rsidR="00300C2D" w:rsidRPr="00300C2D" w:rsidRDefault="00300C2D" w:rsidP="00300C2D">
      <w:pPr>
        <w:rPr>
          <w:szCs w:val="22"/>
        </w:rPr>
      </w:pPr>
      <w:r w:rsidRPr="00300C2D">
        <w:rPr>
          <w:szCs w:val="22"/>
        </w:rPr>
        <w:t xml:space="preserve">The main commodities and some of the economics of their production are listed in </w:t>
      </w:r>
      <w:r w:rsidRPr="00300C2D">
        <w:rPr>
          <w:i/>
          <w:szCs w:val="22"/>
        </w:rPr>
        <w:t>Table 30</w:t>
      </w:r>
      <w:r w:rsidRPr="00300C2D">
        <w:rPr>
          <w:szCs w:val="22"/>
        </w:rPr>
        <w:t>.</w:t>
      </w:r>
    </w:p>
    <w:p w14:paraId="40777474" w14:textId="77777777" w:rsidR="001343DE" w:rsidRDefault="001343DE" w:rsidP="001343DE">
      <w:pPr>
        <w:spacing w:before="0"/>
        <w:jc w:val="left"/>
        <w:rPr>
          <w:szCs w:val="22"/>
        </w:rPr>
      </w:pPr>
    </w:p>
    <w:p w14:paraId="25561BAD" w14:textId="6F3AFBF6" w:rsidR="00CA1ACB" w:rsidRDefault="00CA1ACB" w:rsidP="00CA1ACB">
      <w:pPr>
        <w:rPr>
          <w:i/>
          <w:szCs w:val="22"/>
        </w:rPr>
      </w:pPr>
      <w:bookmarkStart w:id="93" w:name="_Toc233084074"/>
      <w:r w:rsidRPr="005D159D">
        <w:rPr>
          <w:i/>
          <w:szCs w:val="22"/>
        </w:rPr>
        <w:t xml:space="preserve">Table </w:t>
      </w:r>
      <w:r w:rsidRPr="005D159D">
        <w:rPr>
          <w:i/>
          <w:szCs w:val="22"/>
        </w:rPr>
        <w:fldChar w:fldCharType="begin"/>
      </w:r>
      <w:r w:rsidRPr="005D159D">
        <w:rPr>
          <w:i/>
          <w:szCs w:val="22"/>
        </w:rPr>
        <w:instrText xml:space="preserve"> SEQ Table \* ARABIC </w:instrText>
      </w:r>
      <w:r w:rsidRPr="005D159D">
        <w:rPr>
          <w:i/>
          <w:szCs w:val="22"/>
        </w:rPr>
        <w:fldChar w:fldCharType="separate"/>
      </w:r>
      <w:r w:rsidR="00196462">
        <w:rPr>
          <w:i/>
          <w:noProof/>
          <w:szCs w:val="22"/>
        </w:rPr>
        <w:t>30</w:t>
      </w:r>
      <w:r w:rsidRPr="005D159D">
        <w:rPr>
          <w:i/>
          <w:szCs w:val="22"/>
        </w:rPr>
        <w:fldChar w:fldCharType="end"/>
      </w:r>
      <w:r w:rsidRPr="005D159D">
        <w:rPr>
          <w:i/>
          <w:szCs w:val="22"/>
        </w:rPr>
        <w:t xml:space="preserve">: </w:t>
      </w:r>
      <w:r w:rsidRPr="00CA1ACB">
        <w:rPr>
          <w:i/>
          <w:szCs w:val="22"/>
        </w:rPr>
        <w:t xml:space="preserve">Australian </w:t>
      </w:r>
      <w:r>
        <w:rPr>
          <w:i/>
          <w:szCs w:val="22"/>
        </w:rPr>
        <w:t>p</w:t>
      </w:r>
      <w:r w:rsidRPr="00CA1ACB">
        <w:rPr>
          <w:i/>
          <w:szCs w:val="22"/>
        </w:rPr>
        <w:t xml:space="preserve">roduction </w:t>
      </w:r>
      <w:r w:rsidR="00475E60">
        <w:rPr>
          <w:i/>
          <w:szCs w:val="22"/>
        </w:rPr>
        <w:t xml:space="preserve">and export </w:t>
      </w:r>
      <w:r w:rsidRPr="00CA1ACB">
        <w:rPr>
          <w:i/>
          <w:szCs w:val="22"/>
        </w:rPr>
        <w:t xml:space="preserve">of </w:t>
      </w:r>
      <w:r>
        <w:rPr>
          <w:i/>
          <w:szCs w:val="22"/>
        </w:rPr>
        <w:t>m</w:t>
      </w:r>
      <w:r w:rsidRPr="00CA1ACB">
        <w:rPr>
          <w:i/>
          <w:szCs w:val="22"/>
        </w:rPr>
        <w:t xml:space="preserve">ajor </w:t>
      </w:r>
      <w:r w:rsidR="00475E60">
        <w:rPr>
          <w:i/>
          <w:szCs w:val="22"/>
        </w:rPr>
        <w:t xml:space="preserve">perishable </w:t>
      </w:r>
      <w:r>
        <w:rPr>
          <w:i/>
          <w:szCs w:val="22"/>
        </w:rPr>
        <w:t>r</w:t>
      </w:r>
      <w:r w:rsidRPr="00CA1ACB">
        <w:rPr>
          <w:i/>
          <w:szCs w:val="22"/>
        </w:rPr>
        <w:t xml:space="preserve">efrigeration </w:t>
      </w:r>
      <w:r>
        <w:rPr>
          <w:i/>
          <w:szCs w:val="22"/>
        </w:rPr>
        <w:t>d</w:t>
      </w:r>
      <w:r w:rsidRPr="00CA1ACB">
        <w:rPr>
          <w:i/>
          <w:szCs w:val="22"/>
        </w:rPr>
        <w:t xml:space="preserve">ependent </w:t>
      </w:r>
      <w:r>
        <w:rPr>
          <w:i/>
          <w:szCs w:val="22"/>
        </w:rPr>
        <w:t>f</w:t>
      </w:r>
      <w:r w:rsidRPr="00CA1ACB">
        <w:rPr>
          <w:i/>
          <w:szCs w:val="22"/>
        </w:rPr>
        <w:t>oods</w:t>
      </w:r>
      <w:bookmarkEnd w:id="93"/>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8"/>
        <w:gridCol w:w="1452"/>
        <w:gridCol w:w="1452"/>
        <w:gridCol w:w="1452"/>
        <w:gridCol w:w="1452"/>
        <w:gridCol w:w="1452"/>
      </w:tblGrid>
      <w:tr w:rsidR="00475E60" w:rsidRPr="00923150" w14:paraId="673542C5" w14:textId="77777777" w:rsidTr="00E15574">
        <w:trPr>
          <w:trHeight w:val="684"/>
        </w:trPr>
        <w:tc>
          <w:tcPr>
            <w:tcW w:w="2552" w:type="dxa"/>
            <w:tcBorders>
              <w:top w:val="single" w:sz="8" w:space="0" w:color="auto"/>
              <w:left w:val="single" w:sz="8" w:space="0" w:color="auto"/>
              <w:bottom w:val="single" w:sz="4" w:space="0" w:color="auto"/>
              <w:right w:val="single" w:sz="4" w:space="0" w:color="FFFFFF"/>
            </w:tcBorders>
            <w:shd w:val="clear" w:color="auto" w:fill="000000"/>
            <w:vAlign w:val="center"/>
          </w:tcPr>
          <w:p w14:paraId="7B5F3B6E" w14:textId="77777777" w:rsidR="00475E60" w:rsidRPr="00923150" w:rsidRDefault="00475E60" w:rsidP="003D1E16">
            <w:pPr>
              <w:spacing w:after="120"/>
              <w:ind w:left="34"/>
            </w:pPr>
            <w:r w:rsidRPr="00B748A9">
              <w:t>Product</w:t>
            </w:r>
          </w:p>
        </w:tc>
        <w:tc>
          <w:tcPr>
            <w:tcW w:w="1644" w:type="dxa"/>
            <w:tcBorders>
              <w:top w:val="single" w:sz="8" w:space="0" w:color="auto"/>
              <w:left w:val="single" w:sz="4" w:space="0" w:color="FFFFFF"/>
              <w:bottom w:val="single" w:sz="4" w:space="0" w:color="auto"/>
              <w:right w:val="single" w:sz="4" w:space="0" w:color="FFFFFF"/>
            </w:tcBorders>
            <w:shd w:val="clear" w:color="auto" w:fill="000000"/>
            <w:vAlign w:val="center"/>
          </w:tcPr>
          <w:p w14:paraId="0F77F129" w14:textId="77777777" w:rsidR="00475E60" w:rsidRPr="00475E60" w:rsidRDefault="00475E60" w:rsidP="003D1E16">
            <w:pPr>
              <w:spacing w:after="120"/>
              <w:jc w:val="center"/>
            </w:pPr>
            <w:r w:rsidRPr="00B748A9">
              <w:t xml:space="preserve">Production </w:t>
            </w:r>
            <w:r>
              <w:t>v</w:t>
            </w:r>
            <w:r w:rsidRPr="00B748A9">
              <w:t>olumes</w:t>
            </w:r>
          </w:p>
        </w:tc>
        <w:tc>
          <w:tcPr>
            <w:tcW w:w="1644" w:type="dxa"/>
            <w:tcBorders>
              <w:top w:val="single" w:sz="8" w:space="0" w:color="auto"/>
              <w:left w:val="single" w:sz="4" w:space="0" w:color="FFFFFF"/>
              <w:bottom w:val="single" w:sz="4" w:space="0" w:color="auto"/>
              <w:right w:val="single" w:sz="4" w:space="0" w:color="FFFFFF"/>
            </w:tcBorders>
            <w:shd w:val="clear" w:color="auto" w:fill="000000"/>
            <w:vAlign w:val="center"/>
          </w:tcPr>
          <w:p w14:paraId="076B71AA" w14:textId="77777777" w:rsidR="00475E60" w:rsidRPr="00475E60" w:rsidRDefault="00475E60" w:rsidP="003D1E16">
            <w:pPr>
              <w:spacing w:after="120"/>
              <w:jc w:val="center"/>
            </w:pPr>
            <w:r w:rsidRPr="00B748A9">
              <w:t xml:space="preserve">Farm </w:t>
            </w:r>
            <w:r>
              <w:t>g</w:t>
            </w:r>
            <w:r w:rsidRPr="00B748A9">
              <w:t xml:space="preserve">ate </w:t>
            </w:r>
            <w:r>
              <w:t>v</w:t>
            </w:r>
            <w:r w:rsidRPr="00B748A9">
              <w:t>alue</w:t>
            </w:r>
          </w:p>
        </w:tc>
        <w:tc>
          <w:tcPr>
            <w:tcW w:w="1644" w:type="dxa"/>
            <w:tcBorders>
              <w:top w:val="single" w:sz="8" w:space="0" w:color="auto"/>
              <w:left w:val="single" w:sz="4" w:space="0" w:color="FFFFFF"/>
              <w:bottom w:val="single" w:sz="4" w:space="0" w:color="auto"/>
              <w:right w:val="single" w:sz="4" w:space="0" w:color="FFFFFF"/>
            </w:tcBorders>
            <w:shd w:val="clear" w:color="auto" w:fill="000000"/>
            <w:vAlign w:val="center"/>
          </w:tcPr>
          <w:p w14:paraId="3FF429F9" w14:textId="77777777" w:rsidR="00475E60" w:rsidRPr="00475E60" w:rsidRDefault="00475E60" w:rsidP="003D1E16">
            <w:pPr>
              <w:spacing w:after="120"/>
              <w:jc w:val="center"/>
            </w:pPr>
            <w:r w:rsidRPr="00B748A9">
              <w:t xml:space="preserve">Number of </w:t>
            </w:r>
            <w:r>
              <w:t>f</w:t>
            </w:r>
            <w:r w:rsidRPr="00B748A9">
              <w:t>arms</w:t>
            </w:r>
          </w:p>
        </w:tc>
        <w:tc>
          <w:tcPr>
            <w:tcW w:w="1644" w:type="dxa"/>
            <w:tcBorders>
              <w:top w:val="single" w:sz="8" w:space="0" w:color="auto"/>
              <w:left w:val="single" w:sz="4" w:space="0" w:color="FFFFFF"/>
              <w:bottom w:val="single" w:sz="4" w:space="0" w:color="auto"/>
              <w:right w:val="single" w:sz="4" w:space="0" w:color="FFFFFF"/>
            </w:tcBorders>
            <w:shd w:val="clear" w:color="auto" w:fill="000000"/>
            <w:vAlign w:val="center"/>
          </w:tcPr>
          <w:p w14:paraId="14FB1D89" w14:textId="77777777" w:rsidR="00475E60" w:rsidRPr="00475E60" w:rsidRDefault="00475E60" w:rsidP="003D1E16">
            <w:pPr>
              <w:spacing w:after="120"/>
              <w:jc w:val="center"/>
            </w:pPr>
            <w:r w:rsidRPr="00B748A9">
              <w:t>Employment</w:t>
            </w:r>
          </w:p>
        </w:tc>
        <w:tc>
          <w:tcPr>
            <w:tcW w:w="1644" w:type="dxa"/>
            <w:tcBorders>
              <w:top w:val="single" w:sz="8" w:space="0" w:color="auto"/>
              <w:left w:val="single" w:sz="4" w:space="0" w:color="FFFFFF"/>
              <w:bottom w:val="single" w:sz="4" w:space="0" w:color="auto"/>
              <w:right w:val="single" w:sz="8" w:space="0" w:color="auto"/>
            </w:tcBorders>
            <w:shd w:val="clear" w:color="auto" w:fill="000000"/>
            <w:vAlign w:val="center"/>
          </w:tcPr>
          <w:p w14:paraId="00A8CFB7" w14:textId="77777777" w:rsidR="00475E60" w:rsidRPr="00475E60" w:rsidRDefault="00475E60" w:rsidP="003D1E16">
            <w:pPr>
              <w:spacing w:after="120"/>
              <w:jc w:val="center"/>
            </w:pPr>
            <w:r w:rsidRPr="00B748A9">
              <w:t xml:space="preserve">Value of </w:t>
            </w:r>
            <w:r>
              <w:t>e</w:t>
            </w:r>
            <w:r w:rsidRPr="00B748A9">
              <w:t>xport</w:t>
            </w:r>
          </w:p>
        </w:tc>
      </w:tr>
      <w:tr w:rsidR="00475E60" w:rsidRPr="00705642" w14:paraId="65E99AD2" w14:textId="77777777" w:rsidTr="00E15574">
        <w:trPr>
          <w:trHeight w:val="6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14F6E9E" w14:textId="77777777" w:rsidR="00475E60" w:rsidRPr="00475E60" w:rsidRDefault="00475E60" w:rsidP="00C63B55">
            <w:pPr>
              <w:spacing w:after="120"/>
              <w:ind w:left="34"/>
              <w:jc w:val="left"/>
            </w:pPr>
            <w:r w:rsidRPr="00475E60">
              <w:t>Dairy products</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5F534351" w14:textId="77777777" w:rsidR="00475E60" w:rsidRPr="00475E60" w:rsidRDefault="00475E60" w:rsidP="00475E60">
            <w:pPr>
              <w:spacing w:after="120"/>
              <w:jc w:val="center"/>
            </w:pPr>
            <w:r w:rsidRPr="00475E60">
              <w:t>9.1 million litres</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184A62CE" w14:textId="097FACA8" w:rsidR="00475E60" w:rsidRPr="00475E60" w:rsidRDefault="00475E60" w:rsidP="00475E60">
            <w:pPr>
              <w:spacing w:after="120"/>
              <w:jc w:val="center"/>
            </w:pPr>
            <w:r w:rsidRPr="00475E60">
              <w:t>$3.9</w:t>
            </w:r>
            <w:r w:rsidR="00E15574">
              <w:t xml:space="preserve"> </w:t>
            </w:r>
            <w:r w:rsidRPr="00475E60">
              <w:t>Bn</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78BD38BF" w14:textId="77777777" w:rsidR="00475E60" w:rsidRPr="00475E60" w:rsidRDefault="00475E60" w:rsidP="00475E60">
            <w:pPr>
              <w:spacing w:after="120"/>
              <w:jc w:val="center"/>
            </w:pPr>
            <w:r w:rsidRPr="00475E60">
              <w:t>8,594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0E36F545" w14:textId="77777777" w:rsidR="00475E60" w:rsidRPr="00475E60" w:rsidRDefault="00475E60" w:rsidP="00475E60">
            <w:pPr>
              <w:spacing w:after="120"/>
              <w:jc w:val="center"/>
            </w:pPr>
            <w:r w:rsidRPr="00475E60">
              <w:t xml:space="preserve">27,500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6D6C1189" w14:textId="591FBA0A" w:rsidR="00475E60" w:rsidRPr="00475E60" w:rsidRDefault="00475E60" w:rsidP="00475E60">
            <w:pPr>
              <w:spacing w:after="120"/>
              <w:jc w:val="center"/>
            </w:pPr>
            <w:r w:rsidRPr="00475E60">
              <w:t>$2.4</w:t>
            </w:r>
            <w:r w:rsidR="00E15574">
              <w:t xml:space="preserve"> </w:t>
            </w:r>
            <w:r w:rsidRPr="00475E60">
              <w:t>Bn</w:t>
            </w:r>
          </w:p>
        </w:tc>
      </w:tr>
      <w:tr w:rsidR="00475E60" w:rsidRPr="00705642" w14:paraId="61626EDF" w14:textId="77777777" w:rsidTr="00E15574">
        <w:trPr>
          <w:trHeight w:val="6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DE55343" w14:textId="77777777" w:rsidR="00475E60" w:rsidRPr="00475E60" w:rsidRDefault="00475E60" w:rsidP="00C63B55">
            <w:pPr>
              <w:spacing w:after="120"/>
              <w:ind w:left="34"/>
              <w:jc w:val="left"/>
            </w:pPr>
            <w:r w:rsidRPr="00475E60">
              <w:t>Meat Products</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71B81D89" w14:textId="77777777" w:rsidR="00475E60" w:rsidRPr="00475E60" w:rsidRDefault="00475E60" w:rsidP="00475E60">
            <w:pPr>
              <w:spacing w:after="120"/>
              <w:jc w:val="center"/>
            </w:pPr>
            <w:r w:rsidRPr="00475E60">
              <w:t>3 million tonnes</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3F51F5B3" w14:textId="020F7098" w:rsidR="00475E60" w:rsidRPr="00475E60" w:rsidRDefault="00475E60" w:rsidP="00475E60">
            <w:pPr>
              <w:spacing w:after="120"/>
              <w:jc w:val="center"/>
            </w:pPr>
            <w:r w:rsidRPr="00475E60">
              <w:t>$13.6</w:t>
            </w:r>
            <w:r w:rsidR="00E15574">
              <w:t xml:space="preserve"> </w:t>
            </w:r>
            <w:r w:rsidRPr="00475E60">
              <w:t>Bn</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64BA147" w14:textId="77777777" w:rsidR="00475E60" w:rsidRPr="00475E60" w:rsidRDefault="00475E60" w:rsidP="00475E60">
            <w:pPr>
              <w:spacing w:after="120"/>
              <w:jc w:val="center"/>
            </w:pPr>
            <w:r w:rsidRPr="00475E60">
              <w:t>55,090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5E77050C" w14:textId="77777777" w:rsidR="00475E60" w:rsidRPr="00475E60" w:rsidRDefault="00475E60" w:rsidP="00475E60">
            <w:pPr>
              <w:spacing w:after="120"/>
              <w:jc w:val="center"/>
            </w:pPr>
            <w:r w:rsidRPr="00475E60">
              <w:t>137,726</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1709788D" w14:textId="5D0D0FB0" w:rsidR="00475E60" w:rsidRPr="00475E60" w:rsidRDefault="00475E60" w:rsidP="00475E60">
            <w:pPr>
              <w:spacing w:after="120"/>
              <w:jc w:val="center"/>
            </w:pPr>
            <w:r w:rsidRPr="00475E60">
              <w:t>$5.6</w:t>
            </w:r>
            <w:r w:rsidR="00E15574">
              <w:t xml:space="preserve"> </w:t>
            </w:r>
            <w:r w:rsidRPr="00475E60">
              <w:t>Bn</w:t>
            </w:r>
          </w:p>
        </w:tc>
      </w:tr>
      <w:tr w:rsidR="00475E60" w:rsidRPr="00705642" w14:paraId="3BD4EBDC" w14:textId="77777777" w:rsidTr="00E15574">
        <w:trPr>
          <w:trHeight w:val="6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8443CF4" w14:textId="77777777" w:rsidR="00475E60" w:rsidRPr="00475E60" w:rsidRDefault="00475E60" w:rsidP="00C63B55">
            <w:pPr>
              <w:spacing w:after="120"/>
              <w:ind w:left="34"/>
              <w:jc w:val="left"/>
            </w:pPr>
            <w:r w:rsidRPr="00475E60">
              <w:t>Poultry and eggs</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0CE30B40" w14:textId="77777777" w:rsidR="00475E60" w:rsidRPr="00475E60" w:rsidRDefault="00475E60" w:rsidP="00475E60">
            <w:pPr>
              <w:spacing w:after="120"/>
              <w:jc w:val="center"/>
            </w:pPr>
            <w:r w:rsidRPr="00475E60">
              <w:t>866,000 tonnes</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7D3348F9" w14:textId="255F163E" w:rsidR="00475E60" w:rsidRPr="00475E60" w:rsidRDefault="00475E60" w:rsidP="00475E60">
            <w:pPr>
              <w:spacing w:after="120"/>
              <w:jc w:val="center"/>
            </w:pPr>
            <w:r w:rsidRPr="00475E60">
              <w:t>$2.27</w:t>
            </w:r>
            <w:r w:rsidR="00E15574">
              <w:t xml:space="preserve"> </w:t>
            </w:r>
            <w:r w:rsidRPr="00475E60">
              <w:t>Bn</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33837789" w14:textId="77777777" w:rsidR="00475E60" w:rsidRPr="00475E60" w:rsidRDefault="00475E60" w:rsidP="00475E60">
            <w:pPr>
              <w:spacing w:after="120"/>
              <w:jc w:val="center"/>
            </w:pPr>
            <w:r w:rsidRPr="00475E60">
              <w:t xml:space="preserve">968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558D9F01" w14:textId="77777777" w:rsidR="00475E60" w:rsidRPr="00475E60" w:rsidRDefault="00475E60" w:rsidP="00475E60">
            <w:pPr>
              <w:spacing w:after="120"/>
              <w:jc w:val="center"/>
            </w:pPr>
            <w:r w:rsidRPr="00475E60">
              <w:t xml:space="preserve">8,250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3519DA35" w14:textId="665FBF2E" w:rsidR="00475E60" w:rsidRPr="00475E60" w:rsidRDefault="00475E60" w:rsidP="00C63B55">
            <w:pPr>
              <w:spacing w:after="120"/>
              <w:jc w:val="center"/>
            </w:pPr>
            <w:r w:rsidRPr="00475E60">
              <w:t xml:space="preserve">  </w:t>
            </w:r>
            <w:r w:rsidR="00C63B55">
              <w:t xml:space="preserve">n.a. </w:t>
            </w:r>
            <w:r w:rsidR="00C63B55" w:rsidRPr="00690A68">
              <w:rPr>
                <w:sz w:val="20"/>
                <w:szCs w:val="20"/>
                <w:vertAlign w:val="superscript"/>
              </w:rPr>
              <w:t>(1)</w:t>
            </w:r>
          </w:p>
        </w:tc>
      </w:tr>
      <w:tr w:rsidR="00475E60" w:rsidRPr="00705642" w14:paraId="770ED36D" w14:textId="77777777" w:rsidTr="00E15574">
        <w:trPr>
          <w:trHeight w:val="6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693122" w14:textId="77777777" w:rsidR="00475E60" w:rsidRPr="00475E60" w:rsidRDefault="00475E60" w:rsidP="00C63B55">
            <w:pPr>
              <w:spacing w:after="120"/>
              <w:ind w:left="34"/>
              <w:jc w:val="left"/>
            </w:pPr>
            <w:r w:rsidRPr="00475E60">
              <w:t>Wine grapes</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88ED9DD" w14:textId="77777777" w:rsidR="00475E60" w:rsidRPr="00475E60" w:rsidRDefault="00475E60" w:rsidP="00475E60">
            <w:pPr>
              <w:spacing w:after="120"/>
              <w:jc w:val="center"/>
            </w:pPr>
            <w:r w:rsidRPr="00475E60">
              <w:t>1.53 million tonnes</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2B48DE82" w14:textId="4BE503A5" w:rsidR="00475E60" w:rsidRPr="00475E60" w:rsidRDefault="00475E60" w:rsidP="00475E60">
            <w:pPr>
              <w:spacing w:after="120"/>
              <w:jc w:val="center"/>
            </w:pPr>
            <w:r w:rsidRPr="00475E60">
              <w:t>$1.1</w:t>
            </w:r>
            <w:r w:rsidR="00E15574">
              <w:t xml:space="preserve"> </w:t>
            </w:r>
            <w:r w:rsidRPr="00475E60">
              <w:t>Bn</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258CF84C" w14:textId="77777777" w:rsidR="00475E60" w:rsidRPr="00475E60" w:rsidRDefault="00475E60" w:rsidP="00475E60">
            <w:pPr>
              <w:spacing w:after="120"/>
              <w:jc w:val="center"/>
            </w:pPr>
            <w:r w:rsidRPr="00475E60">
              <w:t xml:space="preserve">4,880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2C1E31A2" w14:textId="77777777" w:rsidR="00475E60" w:rsidRPr="00475E60" w:rsidRDefault="00475E60" w:rsidP="00475E60">
            <w:pPr>
              <w:spacing w:after="120"/>
              <w:jc w:val="center"/>
            </w:pPr>
            <w:r w:rsidRPr="00475E60">
              <w:t xml:space="preserve">31,309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1D62EC45" w14:textId="3DD2B7AA" w:rsidR="00475E60" w:rsidRPr="00475E60" w:rsidRDefault="00475E60" w:rsidP="00C63B55">
            <w:pPr>
              <w:spacing w:after="120"/>
              <w:jc w:val="center"/>
            </w:pPr>
            <w:r w:rsidRPr="00475E60">
              <w:t xml:space="preserve">  </w:t>
            </w:r>
            <w:r w:rsidR="00C63B55">
              <w:t xml:space="preserve">n.a. </w:t>
            </w:r>
            <w:r w:rsidR="00C63B55" w:rsidRPr="00690A68">
              <w:rPr>
                <w:sz w:val="20"/>
                <w:szCs w:val="20"/>
                <w:vertAlign w:val="superscript"/>
              </w:rPr>
              <w:t>(</w:t>
            </w:r>
            <w:r w:rsidR="00C63B55">
              <w:rPr>
                <w:sz w:val="20"/>
                <w:szCs w:val="20"/>
                <w:vertAlign w:val="superscript"/>
              </w:rPr>
              <w:t>2</w:t>
            </w:r>
            <w:r w:rsidR="00C63B55" w:rsidRPr="00690A68">
              <w:rPr>
                <w:sz w:val="20"/>
                <w:szCs w:val="20"/>
                <w:vertAlign w:val="superscript"/>
              </w:rPr>
              <w:t>)</w:t>
            </w:r>
          </w:p>
        </w:tc>
      </w:tr>
      <w:tr w:rsidR="00475E60" w:rsidRPr="00705642" w14:paraId="24738A95" w14:textId="77777777" w:rsidTr="00E15574">
        <w:trPr>
          <w:trHeight w:val="6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ED1FDED" w14:textId="77777777" w:rsidR="00475E60" w:rsidRPr="00475E60" w:rsidRDefault="00475E60" w:rsidP="00C63B55">
            <w:pPr>
              <w:spacing w:after="120"/>
              <w:ind w:left="34"/>
              <w:jc w:val="left"/>
            </w:pPr>
            <w:r w:rsidRPr="00475E60">
              <w:t>Fruit, Berries and Vegetables</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29073435" w14:textId="77777777" w:rsidR="00475E60" w:rsidRPr="00475E60" w:rsidRDefault="00475E60" w:rsidP="00475E60">
            <w:pPr>
              <w:spacing w:after="120"/>
              <w:jc w:val="center"/>
            </w:pPr>
            <w:r w:rsidRPr="00475E60">
              <w:t>3.34 million tonnes</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146A9732" w14:textId="2BC9A77C" w:rsidR="00475E60" w:rsidRPr="00475E60" w:rsidRDefault="00475E60" w:rsidP="00475E60">
            <w:pPr>
              <w:spacing w:after="120"/>
              <w:jc w:val="center"/>
            </w:pPr>
            <w:r w:rsidRPr="00475E60">
              <w:t>$7.4</w:t>
            </w:r>
            <w:r w:rsidR="00E15574">
              <w:t xml:space="preserve"> </w:t>
            </w:r>
            <w:r w:rsidRPr="00475E60">
              <w:t>Bn</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583706A5" w14:textId="77777777" w:rsidR="00475E60" w:rsidRPr="00475E60" w:rsidRDefault="00475E60" w:rsidP="00475E60">
            <w:pPr>
              <w:spacing w:after="120"/>
              <w:jc w:val="center"/>
            </w:pPr>
            <w:r w:rsidRPr="00475E60">
              <w:t>10.860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5206CB98" w14:textId="77777777" w:rsidR="00475E60" w:rsidRPr="00475E60" w:rsidRDefault="00475E60" w:rsidP="00475E60">
            <w:pPr>
              <w:spacing w:after="120"/>
              <w:jc w:val="center"/>
            </w:pPr>
            <w:r w:rsidRPr="00475E60">
              <w:t>31,309</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69BD7662" w14:textId="77777777" w:rsidR="00475E60" w:rsidRPr="00475E60" w:rsidRDefault="00475E60" w:rsidP="00475E60">
            <w:pPr>
              <w:spacing w:after="120"/>
              <w:jc w:val="center"/>
            </w:pPr>
            <w:r w:rsidRPr="00475E60">
              <w:t xml:space="preserve">  $1.715 Bn</w:t>
            </w:r>
          </w:p>
        </w:tc>
      </w:tr>
      <w:tr w:rsidR="00475E60" w:rsidRPr="00705642" w14:paraId="498B559C" w14:textId="77777777" w:rsidTr="00E15574">
        <w:trPr>
          <w:trHeight w:val="6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F984F11" w14:textId="77777777" w:rsidR="00475E60" w:rsidRPr="00475E60" w:rsidRDefault="00475E60" w:rsidP="00475E60">
            <w:pPr>
              <w:spacing w:after="120"/>
              <w:ind w:left="34"/>
            </w:pPr>
            <w:r w:rsidRPr="00475E60">
              <w:lastRenderedPageBreak/>
              <w:t>Fisheries 2010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111E3052" w14:textId="77777777" w:rsidR="00475E60" w:rsidRPr="00475E60" w:rsidRDefault="00475E60" w:rsidP="00475E60">
            <w:pPr>
              <w:spacing w:after="120"/>
              <w:jc w:val="center"/>
            </w:pPr>
            <w:r w:rsidRPr="00475E60">
              <w:t>241,000 tonnes</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E3077E7" w14:textId="77777777" w:rsidR="00475E60" w:rsidRPr="00475E60" w:rsidRDefault="00475E60" w:rsidP="00475E60">
            <w:pPr>
              <w:spacing w:after="120"/>
              <w:jc w:val="center"/>
            </w:pPr>
            <w:r w:rsidRPr="00475E60">
              <w:t>$2.0 Bn</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3474C903" w14:textId="77777777" w:rsidR="00475E60" w:rsidRPr="00475E60" w:rsidRDefault="00475E60" w:rsidP="00475E60">
            <w:pPr>
              <w:spacing w:after="120"/>
              <w:jc w:val="center"/>
            </w:pPr>
            <w:r w:rsidRPr="00475E60">
              <w:t xml:space="preserve">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7F5047BC" w14:textId="77777777" w:rsidR="00475E60" w:rsidRPr="00475E60" w:rsidRDefault="00475E60" w:rsidP="00475E60">
            <w:pPr>
              <w:spacing w:after="120"/>
              <w:jc w:val="center"/>
            </w:pPr>
            <w:r w:rsidRPr="00475E60">
              <w:t xml:space="preserve">8,500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5DCFAB9" w14:textId="795F18B6" w:rsidR="00475E60" w:rsidRPr="00475E60" w:rsidRDefault="00475E60" w:rsidP="00475E60">
            <w:pPr>
              <w:spacing w:after="120"/>
              <w:jc w:val="center"/>
            </w:pPr>
            <w:r w:rsidRPr="00475E60">
              <w:t>$1.2</w:t>
            </w:r>
            <w:r w:rsidR="00E15574">
              <w:t xml:space="preserve"> </w:t>
            </w:r>
            <w:r w:rsidRPr="00475E60">
              <w:t>Bn</w:t>
            </w:r>
          </w:p>
        </w:tc>
      </w:tr>
      <w:tr w:rsidR="00475E60" w:rsidRPr="00705642" w14:paraId="6A8CF440" w14:textId="77777777" w:rsidTr="00E15574">
        <w:trPr>
          <w:trHeight w:val="6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16029AD" w14:textId="77777777" w:rsidR="00475E60" w:rsidRPr="00475E60" w:rsidRDefault="00475E60" w:rsidP="00475E60">
            <w:pPr>
              <w:spacing w:after="120"/>
              <w:ind w:left="34"/>
            </w:pPr>
            <w:r w:rsidRPr="00475E60">
              <w:t>Total</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612B89D1" w14:textId="77777777" w:rsidR="00475E60" w:rsidRPr="00475E60" w:rsidRDefault="00475E60" w:rsidP="00475E60">
            <w:pPr>
              <w:spacing w:after="120"/>
              <w:jc w:val="center"/>
            </w:pPr>
            <w:r w:rsidRPr="00475E60">
              <w:t>20.11 million tonnes</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5E530B10" w14:textId="722B1204" w:rsidR="00475E60" w:rsidRPr="00475E60" w:rsidRDefault="00475E60" w:rsidP="00475E60">
            <w:pPr>
              <w:spacing w:after="120"/>
              <w:jc w:val="center"/>
            </w:pPr>
            <w:r w:rsidRPr="00475E60">
              <w:t>$25.63</w:t>
            </w:r>
            <w:r w:rsidR="00E15574">
              <w:t xml:space="preserve"> </w:t>
            </w:r>
            <w:r w:rsidRPr="00475E60">
              <w:t>Bn</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32DC5EF2" w14:textId="77777777" w:rsidR="00475E60" w:rsidRPr="00475E60" w:rsidRDefault="00475E60" w:rsidP="00475E60">
            <w:pPr>
              <w:spacing w:after="120"/>
              <w:jc w:val="center"/>
            </w:pPr>
            <w:r w:rsidRPr="00475E60">
              <w:t xml:space="preserve">80,392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B33469A" w14:textId="77777777" w:rsidR="00475E60" w:rsidRPr="00475E60" w:rsidRDefault="00475E60" w:rsidP="00475E60">
            <w:pPr>
              <w:spacing w:after="120"/>
              <w:jc w:val="center"/>
            </w:pPr>
            <w:r w:rsidRPr="00475E60">
              <w:t xml:space="preserve">244,593 </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09284FE0" w14:textId="504408A9" w:rsidR="00475E60" w:rsidRPr="00475E60" w:rsidRDefault="00475E60" w:rsidP="00475E60">
            <w:pPr>
              <w:spacing w:after="120"/>
              <w:jc w:val="center"/>
            </w:pPr>
            <w:r w:rsidRPr="00475E60">
              <w:t>$10.9</w:t>
            </w:r>
            <w:r w:rsidR="00E15574">
              <w:t xml:space="preserve"> </w:t>
            </w:r>
            <w:r w:rsidRPr="00475E60">
              <w:t>Bn</w:t>
            </w:r>
          </w:p>
        </w:tc>
      </w:tr>
    </w:tbl>
    <w:p w14:paraId="2F5685C1" w14:textId="56EDC261" w:rsidR="00CA1ACB" w:rsidRPr="001B41E1" w:rsidRDefault="00705642" w:rsidP="001343DE">
      <w:pPr>
        <w:spacing w:before="0"/>
        <w:jc w:val="left"/>
        <w:rPr>
          <w:sz w:val="20"/>
          <w:szCs w:val="20"/>
        </w:rPr>
      </w:pPr>
      <w:r w:rsidRPr="001B41E1">
        <w:rPr>
          <w:sz w:val="20"/>
          <w:szCs w:val="20"/>
        </w:rPr>
        <w:t>(</w:t>
      </w:r>
      <w:r w:rsidR="003B1ADB" w:rsidRPr="001B41E1">
        <w:rPr>
          <w:sz w:val="20"/>
          <w:szCs w:val="20"/>
        </w:rPr>
        <w:t xml:space="preserve">Source: </w:t>
      </w:r>
      <w:r w:rsidR="003B1ADB" w:rsidRPr="001B41E1">
        <w:rPr>
          <w:rFonts w:cs="Cambria"/>
          <w:sz w:val="20"/>
          <w:szCs w:val="20"/>
          <w:lang w:val="en-US"/>
        </w:rPr>
        <w:t>DAFF 2012</w:t>
      </w:r>
      <w:r w:rsidR="001B41E1" w:rsidRPr="001B41E1">
        <w:rPr>
          <w:rFonts w:cs="Cambria"/>
          <w:sz w:val="20"/>
          <w:szCs w:val="20"/>
          <w:lang w:val="en-US"/>
        </w:rPr>
        <w:t>)</w:t>
      </w:r>
    </w:p>
    <w:p w14:paraId="52C43853" w14:textId="5352C737" w:rsidR="00475E60" w:rsidRPr="00C63B55" w:rsidRDefault="00475E60" w:rsidP="00C63B55">
      <w:pPr>
        <w:pStyle w:val="ListParagraph"/>
        <w:numPr>
          <w:ilvl w:val="0"/>
          <w:numId w:val="27"/>
        </w:numPr>
        <w:spacing w:before="120" w:after="0" w:line="240" w:lineRule="auto"/>
        <w:contextualSpacing w:val="0"/>
        <w:jc w:val="both"/>
        <w:rPr>
          <w:rFonts w:ascii="Times New Roman" w:hAnsi="Times New Roman"/>
          <w:sz w:val="20"/>
          <w:szCs w:val="20"/>
        </w:rPr>
      </w:pPr>
      <w:r w:rsidRPr="00C63B55">
        <w:rPr>
          <w:rFonts w:ascii="Times New Roman" w:hAnsi="Times New Roman"/>
          <w:sz w:val="20"/>
          <w:szCs w:val="20"/>
        </w:rPr>
        <w:t>Exports of poultry products are negligible</w:t>
      </w:r>
      <w:r w:rsidR="00C63B55">
        <w:rPr>
          <w:rFonts w:ascii="Times New Roman" w:hAnsi="Times New Roman"/>
          <w:sz w:val="20"/>
          <w:szCs w:val="20"/>
        </w:rPr>
        <w:t>.</w:t>
      </w:r>
    </w:p>
    <w:p w14:paraId="4CB19ADF" w14:textId="507FD673" w:rsidR="00475E60" w:rsidRPr="00C63B55" w:rsidRDefault="00475E60" w:rsidP="00C63B55">
      <w:pPr>
        <w:pStyle w:val="ListParagraph"/>
        <w:numPr>
          <w:ilvl w:val="0"/>
          <w:numId w:val="27"/>
        </w:numPr>
        <w:spacing w:before="120" w:after="0" w:line="240" w:lineRule="auto"/>
        <w:contextualSpacing w:val="0"/>
        <w:jc w:val="both"/>
        <w:rPr>
          <w:rFonts w:ascii="Times New Roman" w:hAnsi="Times New Roman"/>
          <w:sz w:val="20"/>
          <w:szCs w:val="20"/>
        </w:rPr>
      </w:pPr>
      <w:r w:rsidRPr="00C63B55">
        <w:rPr>
          <w:rFonts w:ascii="Times New Roman" w:hAnsi="Times New Roman"/>
          <w:sz w:val="20"/>
          <w:szCs w:val="20"/>
        </w:rPr>
        <w:t>More than $1.9 billion in wine was exported in 2011 however that is post refrigeration and processing and is not included in total estimate of value of perishable exports.</w:t>
      </w:r>
    </w:p>
    <w:p w14:paraId="4A55A5BE" w14:textId="77777777" w:rsidR="00475E60" w:rsidRPr="00705642" w:rsidRDefault="00475E60" w:rsidP="001343DE">
      <w:pPr>
        <w:spacing w:before="0"/>
        <w:jc w:val="left"/>
        <w:rPr>
          <w:sz w:val="20"/>
          <w:szCs w:val="20"/>
        </w:rPr>
      </w:pPr>
    </w:p>
    <w:p w14:paraId="639A2BF0" w14:textId="51D70EB2" w:rsidR="00051199" w:rsidRPr="00051199" w:rsidRDefault="00051199" w:rsidP="00051199">
      <w:pPr>
        <w:rPr>
          <w:szCs w:val="22"/>
        </w:rPr>
      </w:pPr>
      <w:r w:rsidRPr="00051199">
        <w:rPr>
          <w:szCs w:val="22"/>
        </w:rPr>
        <w:t xml:space="preserve">Without around the clock refrigeration there </w:t>
      </w:r>
      <w:r w:rsidR="00194C08">
        <w:rPr>
          <w:szCs w:val="22"/>
        </w:rPr>
        <w:t>are</w:t>
      </w:r>
      <w:r w:rsidRPr="00051199">
        <w:rPr>
          <w:szCs w:val="22"/>
        </w:rPr>
        <w:t xml:space="preserve"> few other options for the stabilising and transport of most of th</w:t>
      </w:r>
      <w:r w:rsidR="00624CB7">
        <w:rPr>
          <w:szCs w:val="22"/>
        </w:rPr>
        <w:t>is</w:t>
      </w:r>
      <w:r w:rsidR="00F627F9">
        <w:rPr>
          <w:szCs w:val="22"/>
        </w:rPr>
        <w:t xml:space="preserve"> domestic and export product.</w:t>
      </w:r>
    </w:p>
    <w:p w14:paraId="2C948D2D" w14:textId="77777777" w:rsidR="00051199" w:rsidRPr="00051199" w:rsidRDefault="00051199" w:rsidP="00051199">
      <w:pPr>
        <w:rPr>
          <w:szCs w:val="22"/>
        </w:rPr>
      </w:pPr>
      <w:r w:rsidRPr="00051199">
        <w:rPr>
          <w:szCs w:val="22"/>
        </w:rPr>
        <w:t>Fresh and perishable foods for domestic consumption and export are transported from farm to processing and packing facilities, and on to fresh food markets in an estimated fleet of 28,900 refrigerated trucks and exported in refrigerated containers.</w:t>
      </w:r>
    </w:p>
    <w:p w14:paraId="364D94D7" w14:textId="58A83E3D" w:rsidR="00051199" w:rsidRPr="00051199" w:rsidRDefault="00051199" w:rsidP="00051199">
      <w:pPr>
        <w:rPr>
          <w:szCs w:val="22"/>
        </w:rPr>
      </w:pPr>
      <w:r w:rsidRPr="00051199">
        <w:rPr>
          <w:szCs w:val="22"/>
        </w:rPr>
        <w:t xml:space="preserve">Domestically these fresh and perishable foods are either further processed, or sold as fresh food through nearly 60,000 retail food outlets of various sorts, as listed in </w:t>
      </w:r>
      <w:r w:rsidRPr="00051199">
        <w:rPr>
          <w:i/>
          <w:szCs w:val="22"/>
        </w:rPr>
        <w:t>Table 31</w:t>
      </w:r>
      <w:r>
        <w:rPr>
          <w:szCs w:val="22"/>
        </w:rPr>
        <w:t xml:space="preserve"> </w:t>
      </w:r>
      <w:r w:rsidRPr="00051199">
        <w:rPr>
          <w:szCs w:val="22"/>
        </w:rPr>
        <w:t xml:space="preserve">and </w:t>
      </w:r>
      <w:r w:rsidRPr="00051199">
        <w:rPr>
          <w:i/>
          <w:szCs w:val="22"/>
        </w:rPr>
        <w:t>32</w:t>
      </w:r>
      <w:r w:rsidRPr="00051199">
        <w:rPr>
          <w:szCs w:val="22"/>
        </w:rPr>
        <w:t>, all of which are reliant on refrigeration to maintain the food in good condition until sale for consumption.</w:t>
      </w:r>
    </w:p>
    <w:p w14:paraId="0E4BE55E" w14:textId="77777777" w:rsidR="001343DE" w:rsidRDefault="001343DE" w:rsidP="001343DE">
      <w:pPr>
        <w:spacing w:before="0"/>
        <w:jc w:val="left"/>
        <w:rPr>
          <w:szCs w:val="22"/>
        </w:rPr>
      </w:pPr>
    </w:p>
    <w:p w14:paraId="554B6DC8" w14:textId="30CDE6AF" w:rsidR="00705642" w:rsidRPr="005E5BAD" w:rsidRDefault="00705642" w:rsidP="00705642">
      <w:pPr>
        <w:rPr>
          <w:i/>
          <w:szCs w:val="22"/>
        </w:rPr>
      </w:pPr>
      <w:bookmarkStart w:id="94" w:name="_Toc233084075"/>
      <w:r w:rsidRPr="005E5BAD">
        <w:rPr>
          <w:i/>
          <w:szCs w:val="22"/>
        </w:rPr>
        <w:t xml:space="preserve">Table </w:t>
      </w:r>
      <w:r w:rsidRPr="005E5BAD">
        <w:rPr>
          <w:i/>
          <w:szCs w:val="22"/>
        </w:rPr>
        <w:fldChar w:fldCharType="begin"/>
      </w:r>
      <w:r w:rsidRPr="005E5BAD">
        <w:rPr>
          <w:i/>
          <w:szCs w:val="22"/>
        </w:rPr>
        <w:instrText xml:space="preserve"> SEQ Table \* ARABIC </w:instrText>
      </w:r>
      <w:r w:rsidRPr="005E5BAD">
        <w:rPr>
          <w:i/>
          <w:szCs w:val="22"/>
        </w:rPr>
        <w:fldChar w:fldCharType="separate"/>
      </w:r>
      <w:r w:rsidR="00196462">
        <w:rPr>
          <w:i/>
          <w:noProof/>
          <w:szCs w:val="22"/>
        </w:rPr>
        <w:t>31</w:t>
      </w:r>
      <w:r w:rsidRPr="005E5BAD">
        <w:rPr>
          <w:i/>
          <w:szCs w:val="22"/>
        </w:rPr>
        <w:fldChar w:fldCharType="end"/>
      </w:r>
      <w:r w:rsidRPr="005E5BAD">
        <w:rPr>
          <w:i/>
          <w:szCs w:val="22"/>
        </w:rPr>
        <w:t xml:space="preserve">: </w:t>
      </w:r>
      <w:r w:rsidRPr="00705642">
        <w:rPr>
          <w:i/>
          <w:szCs w:val="22"/>
        </w:rPr>
        <w:t xml:space="preserve">Estimated </w:t>
      </w:r>
      <w:r>
        <w:rPr>
          <w:i/>
          <w:szCs w:val="22"/>
        </w:rPr>
        <w:t>s</w:t>
      </w:r>
      <w:r w:rsidRPr="00705642">
        <w:rPr>
          <w:i/>
          <w:szCs w:val="22"/>
        </w:rPr>
        <w:t>upermarket</w:t>
      </w:r>
      <w:r>
        <w:rPr>
          <w:i/>
          <w:szCs w:val="22"/>
        </w:rPr>
        <w:t xml:space="preserve"> and convenience stores </w:t>
      </w:r>
      <w:r w:rsidRPr="00705642">
        <w:rPr>
          <w:i/>
          <w:szCs w:val="22"/>
        </w:rPr>
        <w:t xml:space="preserve">by </w:t>
      </w:r>
      <w:r>
        <w:rPr>
          <w:i/>
          <w:szCs w:val="22"/>
        </w:rPr>
        <w:t>b</w:t>
      </w:r>
      <w:r w:rsidRPr="00705642">
        <w:rPr>
          <w:i/>
          <w:szCs w:val="22"/>
        </w:rPr>
        <w:t>rand 2012</w:t>
      </w:r>
      <w:bookmarkEnd w:id="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2778"/>
      </w:tblGrid>
      <w:tr w:rsidR="00705642" w:rsidRPr="00923150" w14:paraId="47A10DCD" w14:textId="77777777" w:rsidTr="005F2CFD">
        <w:trPr>
          <w:trHeight w:val="684"/>
        </w:trPr>
        <w:tc>
          <w:tcPr>
            <w:tcW w:w="3686" w:type="dxa"/>
            <w:tcBorders>
              <w:top w:val="single" w:sz="8" w:space="0" w:color="auto"/>
              <w:left w:val="single" w:sz="8" w:space="0" w:color="auto"/>
              <w:bottom w:val="single" w:sz="8" w:space="0" w:color="auto"/>
              <w:right w:val="single" w:sz="4" w:space="0" w:color="FFFFFF"/>
            </w:tcBorders>
            <w:shd w:val="clear" w:color="auto" w:fill="000000"/>
            <w:vAlign w:val="center"/>
          </w:tcPr>
          <w:p w14:paraId="49BF7DDA" w14:textId="44001A2C" w:rsidR="00705642" w:rsidRPr="00923150" w:rsidRDefault="00705642" w:rsidP="002A6035">
            <w:pPr>
              <w:spacing w:after="120"/>
              <w:ind w:left="284"/>
            </w:pPr>
            <w:r>
              <w:t>Brand</w:t>
            </w:r>
          </w:p>
        </w:tc>
        <w:tc>
          <w:tcPr>
            <w:tcW w:w="2778" w:type="dxa"/>
            <w:tcBorders>
              <w:top w:val="single" w:sz="8" w:space="0" w:color="auto"/>
              <w:left w:val="single" w:sz="4" w:space="0" w:color="FFFFFF"/>
              <w:bottom w:val="single" w:sz="8" w:space="0" w:color="auto"/>
              <w:right w:val="single" w:sz="8" w:space="0" w:color="auto"/>
            </w:tcBorders>
            <w:shd w:val="clear" w:color="auto" w:fill="000000"/>
            <w:vAlign w:val="center"/>
          </w:tcPr>
          <w:p w14:paraId="524BF91F" w14:textId="22985067" w:rsidR="00705642" w:rsidRPr="00923150" w:rsidRDefault="00705642" w:rsidP="002A6035">
            <w:pPr>
              <w:spacing w:after="120"/>
              <w:jc w:val="center"/>
            </w:pPr>
            <w:r>
              <w:t>Nominal quantity</w:t>
            </w:r>
          </w:p>
        </w:tc>
      </w:tr>
      <w:tr w:rsidR="00705642" w:rsidRPr="00923150" w14:paraId="4FB3C5A8" w14:textId="77777777" w:rsidTr="002A6035">
        <w:trPr>
          <w:trHeight w:val="456"/>
        </w:trPr>
        <w:tc>
          <w:tcPr>
            <w:tcW w:w="3686" w:type="dxa"/>
            <w:tcBorders>
              <w:top w:val="single" w:sz="8" w:space="0" w:color="auto"/>
            </w:tcBorders>
          </w:tcPr>
          <w:p w14:paraId="089B4EC3" w14:textId="73CF1097" w:rsidR="00705642" w:rsidRPr="00923150" w:rsidRDefault="00705642" w:rsidP="002A6035">
            <w:pPr>
              <w:spacing w:before="60" w:after="60"/>
              <w:ind w:left="284"/>
              <w:rPr>
                <w:sz w:val="20"/>
              </w:rPr>
            </w:pPr>
            <w:r w:rsidRPr="007C1116">
              <w:t>Coles-Bi Lo</w:t>
            </w:r>
          </w:p>
        </w:tc>
        <w:tc>
          <w:tcPr>
            <w:tcW w:w="2778" w:type="dxa"/>
            <w:tcBorders>
              <w:top w:val="single" w:sz="8" w:space="0" w:color="auto"/>
            </w:tcBorders>
          </w:tcPr>
          <w:p w14:paraId="492947C9" w14:textId="7D725C62" w:rsidR="00705642" w:rsidRPr="00923150" w:rsidRDefault="00705642" w:rsidP="002A6035">
            <w:pPr>
              <w:spacing w:before="60" w:after="60"/>
              <w:jc w:val="center"/>
              <w:rPr>
                <w:sz w:val="20"/>
              </w:rPr>
            </w:pPr>
            <w:r w:rsidRPr="007C1116">
              <w:t>753</w:t>
            </w:r>
          </w:p>
        </w:tc>
      </w:tr>
      <w:tr w:rsidR="00705642" w:rsidRPr="00923150" w14:paraId="632F73C3" w14:textId="77777777" w:rsidTr="002A6035">
        <w:trPr>
          <w:trHeight w:val="456"/>
        </w:trPr>
        <w:tc>
          <w:tcPr>
            <w:tcW w:w="3686" w:type="dxa"/>
          </w:tcPr>
          <w:p w14:paraId="3EB29D7E" w14:textId="1EFEF5A0" w:rsidR="00705642" w:rsidRDefault="00705642" w:rsidP="002A6035">
            <w:pPr>
              <w:spacing w:before="60" w:after="60"/>
              <w:ind w:left="284"/>
              <w:rPr>
                <w:sz w:val="20"/>
              </w:rPr>
            </w:pPr>
            <w:r w:rsidRPr="007C1116">
              <w:t>Woolworths-Safeway</w:t>
            </w:r>
          </w:p>
        </w:tc>
        <w:tc>
          <w:tcPr>
            <w:tcW w:w="2778" w:type="dxa"/>
          </w:tcPr>
          <w:p w14:paraId="6550ADFB" w14:textId="474223F3" w:rsidR="00705642" w:rsidRDefault="00705642" w:rsidP="002A6035">
            <w:pPr>
              <w:spacing w:before="60" w:after="60"/>
              <w:jc w:val="center"/>
              <w:rPr>
                <w:sz w:val="20"/>
              </w:rPr>
            </w:pPr>
            <w:r w:rsidRPr="007C1116">
              <w:t>887</w:t>
            </w:r>
          </w:p>
        </w:tc>
      </w:tr>
      <w:tr w:rsidR="00705642" w:rsidRPr="00923150" w14:paraId="69570F37" w14:textId="77777777" w:rsidTr="002A6035">
        <w:trPr>
          <w:trHeight w:val="456"/>
        </w:trPr>
        <w:tc>
          <w:tcPr>
            <w:tcW w:w="3686" w:type="dxa"/>
          </w:tcPr>
          <w:p w14:paraId="58AC3486" w14:textId="4F6A07C7" w:rsidR="00705642" w:rsidRPr="00D8757D" w:rsidRDefault="00705642" w:rsidP="002A6035">
            <w:pPr>
              <w:spacing w:before="60" w:after="60"/>
              <w:ind w:left="284"/>
            </w:pPr>
            <w:r w:rsidRPr="007C1116">
              <w:t>Aldi</w:t>
            </w:r>
          </w:p>
        </w:tc>
        <w:tc>
          <w:tcPr>
            <w:tcW w:w="2778" w:type="dxa"/>
          </w:tcPr>
          <w:p w14:paraId="6167E207" w14:textId="31B949B7" w:rsidR="00705642" w:rsidRPr="00D8757D" w:rsidRDefault="00705642" w:rsidP="002A6035">
            <w:pPr>
              <w:spacing w:before="60" w:after="60"/>
              <w:jc w:val="center"/>
            </w:pPr>
            <w:r w:rsidRPr="007C1116">
              <w:t>300</w:t>
            </w:r>
          </w:p>
        </w:tc>
      </w:tr>
      <w:tr w:rsidR="00705642" w:rsidRPr="00923150" w14:paraId="57D3A763" w14:textId="77777777" w:rsidTr="002A6035">
        <w:trPr>
          <w:trHeight w:val="456"/>
        </w:trPr>
        <w:tc>
          <w:tcPr>
            <w:tcW w:w="3686" w:type="dxa"/>
          </w:tcPr>
          <w:p w14:paraId="45ED915A" w14:textId="2C4DC4F4" w:rsidR="00705642" w:rsidRPr="00D8757D" w:rsidRDefault="00705642" w:rsidP="002A6035">
            <w:pPr>
              <w:spacing w:before="60" w:after="60"/>
              <w:ind w:left="284"/>
            </w:pPr>
            <w:r w:rsidRPr="007C1116">
              <w:t>IGA</w:t>
            </w:r>
          </w:p>
        </w:tc>
        <w:tc>
          <w:tcPr>
            <w:tcW w:w="2778" w:type="dxa"/>
          </w:tcPr>
          <w:p w14:paraId="45EE08C7" w14:textId="3E898574" w:rsidR="00705642" w:rsidRPr="00D8757D" w:rsidRDefault="00705642" w:rsidP="002A6035">
            <w:pPr>
              <w:spacing w:before="60" w:after="60"/>
              <w:jc w:val="center"/>
            </w:pPr>
            <w:r w:rsidRPr="007C1116">
              <w:t>1,210</w:t>
            </w:r>
          </w:p>
        </w:tc>
      </w:tr>
      <w:tr w:rsidR="00705642" w:rsidRPr="00923150" w14:paraId="6E68CEEA" w14:textId="77777777" w:rsidTr="002A6035">
        <w:trPr>
          <w:trHeight w:val="456"/>
        </w:trPr>
        <w:tc>
          <w:tcPr>
            <w:tcW w:w="3686" w:type="dxa"/>
          </w:tcPr>
          <w:p w14:paraId="77AFEEA2" w14:textId="3CD1918D" w:rsidR="00705642" w:rsidRPr="00D8757D" w:rsidRDefault="00705642" w:rsidP="002A6035">
            <w:pPr>
              <w:spacing w:before="60" w:after="60"/>
              <w:ind w:left="284"/>
            </w:pPr>
            <w:r w:rsidRPr="007C1116">
              <w:t>IGA (Friendly Grocer/Eziway)</w:t>
            </w:r>
          </w:p>
        </w:tc>
        <w:tc>
          <w:tcPr>
            <w:tcW w:w="2778" w:type="dxa"/>
          </w:tcPr>
          <w:p w14:paraId="3362BFE7" w14:textId="4EC9A2F7" w:rsidR="00705642" w:rsidRPr="00D8757D" w:rsidRDefault="00705642" w:rsidP="002A6035">
            <w:pPr>
              <w:spacing w:before="60" w:after="60"/>
              <w:jc w:val="center"/>
            </w:pPr>
            <w:r w:rsidRPr="007C1116">
              <w:t>303</w:t>
            </w:r>
          </w:p>
        </w:tc>
      </w:tr>
      <w:tr w:rsidR="00705642" w:rsidRPr="00923150" w14:paraId="443E4A13" w14:textId="77777777" w:rsidTr="002A6035">
        <w:trPr>
          <w:trHeight w:val="456"/>
        </w:trPr>
        <w:tc>
          <w:tcPr>
            <w:tcW w:w="3686" w:type="dxa"/>
          </w:tcPr>
          <w:p w14:paraId="39AF01D1" w14:textId="287DC848" w:rsidR="00705642" w:rsidRPr="00D8757D" w:rsidRDefault="00705642" w:rsidP="002A6035">
            <w:pPr>
              <w:spacing w:before="60" w:after="60"/>
              <w:ind w:left="284"/>
            </w:pPr>
            <w:r w:rsidRPr="007C1116">
              <w:t>AUR-Foodland branded</w:t>
            </w:r>
          </w:p>
        </w:tc>
        <w:tc>
          <w:tcPr>
            <w:tcW w:w="2778" w:type="dxa"/>
          </w:tcPr>
          <w:p w14:paraId="09E57ECE" w14:textId="7C7930DE" w:rsidR="00705642" w:rsidRPr="00D8757D" w:rsidRDefault="00705642" w:rsidP="002A6035">
            <w:pPr>
              <w:spacing w:before="60" w:after="60"/>
              <w:jc w:val="center"/>
            </w:pPr>
            <w:r w:rsidRPr="007C1116">
              <w:t>435</w:t>
            </w:r>
          </w:p>
        </w:tc>
      </w:tr>
      <w:tr w:rsidR="00705642" w:rsidRPr="00923150" w14:paraId="14135051" w14:textId="77777777" w:rsidTr="002A6035">
        <w:trPr>
          <w:trHeight w:val="456"/>
        </w:trPr>
        <w:tc>
          <w:tcPr>
            <w:tcW w:w="3686" w:type="dxa"/>
          </w:tcPr>
          <w:p w14:paraId="2BFC68BE" w14:textId="5054B620" w:rsidR="00705642" w:rsidRPr="00D8757D" w:rsidRDefault="00705642" w:rsidP="002A6035">
            <w:pPr>
              <w:spacing w:before="60" w:after="60"/>
              <w:ind w:left="284"/>
            </w:pPr>
            <w:r w:rsidRPr="007C1116">
              <w:t>AUR-Foodland (un-branded)</w:t>
            </w:r>
          </w:p>
        </w:tc>
        <w:tc>
          <w:tcPr>
            <w:tcW w:w="2778" w:type="dxa"/>
          </w:tcPr>
          <w:p w14:paraId="0D4B128D" w14:textId="5CDBBEAB" w:rsidR="00705642" w:rsidRPr="00D8757D" w:rsidRDefault="00705642" w:rsidP="002A6035">
            <w:pPr>
              <w:spacing w:before="60" w:after="60"/>
              <w:jc w:val="center"/>
            </w:pPr>
            <w:r w:rsidRPr="007C1116">
              <w:t>177</w:t>
            </w:r>
          </w:p>
        </w:tc>
      </w:tr>
      <w:tr w:rsidR="00705642" w:rsidRPr="00923150" w14:paraId="1C3A99ED" w14:textId="77777777" w:rsidTr="002A6035">
        <w:trPr>
          <w:trHeight w:val="456"/>
        </w:trPr>
        <w:tc>
          <w:tcPr>
            <w:tcW w:w="3686" w:type="dxa"/>
          </w:tcPr>
          <w:p w14:paraId="60A47F35" w14:textId="752E862D" w:rsidR="00705642" w:rsidRPr="00D8757D" w:rsidRDefault="00705642" w:rsidP="002A6035">
            <w:pPr>
              <w:spacing w:before="60" w:after="60"/>
              <w:ind w:left="284"/>
            </w:pPr>
            <w:r w:rsidRPr="007C1116">
              <w:t>Costco</w:t>
            </w:r>
          </w:p>
        </w:tc>
        <w:tc>
          <w:tcPr>
            <w:tcW w:w="2778" w:type="dxa"/>
          </w:tcPr>
          <w:p w14:paraId="21B0F1D7" w14:textId="14DE674F" w:rsidR="00705642" w:rsidRPr="00D8757D" w:rsidRDefault="00705642" w:rsidP="002A6035">
            <w:pPr>
              <w:spacing w:before="60" w:after="60"/>
              <w:jc w:val="center"/>
            </w:pPr>
            <w:r w:rsidRPr="007C1116">
              <w:t>5</w:t>
            </w:r>
          </w:p>
        </w:tc>
      </w:tr>
      <w:tr w:rsidR="00705642" w:rsidRPr="00923150" w14:paraId="7FD770AA" w14:textId="77777777" w:rsidTr="002A6035">
        <w:trPr>
          <w:trHeight w:val="456"/>
        </w:trPr>
        <w:tc>
          <w:tcPr>
            <w:tcW w:w="3686" w:type="dxa"/>
          </w:tcPr>
          <w:p w14:paraId="2D7A318E" w14:textId="332DF806" w:rsidR="00705642" w:rsidRPr="00D8757D" w:rsidRDefault="00705642" w:rsidP="002A6035">
            <w:pPr>
              <w:spacing w:before="60" w:after="60"/>
              <w:ind w:left="284"/>
            </w:pPr>
            <w:r w:rsidRPr="007C1116">
              <w:t>SPAR</w:t>
            </w:r>
          </w:p>
        </w:tc>
        <w:tc>
          <w:tcPr>
            <w:tcW w:w="2778" w:type="dxa"/>
          </w:tcPr>
          <w:p w14:paraId="43CBE330" w14:textId="0590CC1C" w:rsidR="00705642" w:rsidRPr="00D8757D" w:rsidRDefault="00705642" w:rsidP="002A6035">
            <w:pPr>
              <w:spacing w:before="60" w:after="60"/>
              <w:jc w:val="center"/>
            </w:pPr>
            <w:r w:rsidRPr="007C1116">
              <w:t>135</w:t>
            </w:r>
          </w:p>
        </w:tc>
      </w:tr>
      <w:tr w:rsidR="00705642" w:rsidRPr="00923150" w14:paraId="293CA5FF" w14:textId="77777777" w:rsidTr="002A6035">
        <w:trPr>
          <w:trHeight w:val="456"/>
        </w:trPr>
        <w:tc>
          <w:tcPr>
            <w:tcW w:w="3686" w:type="dxa"/>
          </w:tcPr>
          <w:p w14:paraId="662CA7B3" w14:textId="1EF2FE0E" w:rsidR="00705642" w:rsidRPr="00D8757D" w:rsidRDefault="00705642" w:rsidP="002A6035">
            <w:pPr>
              <w:spacing w:before="60" w:after="60"/>
              <w:ind w:left="284"/>
            </w:pPr>
            <w:r w:rsidRPr="007C1116">
              <w:t>Convenience stores</w:t>
            </w:r>
          </w:p>
        </w:tc>
        <w:tc>
          <w:tcPr>
            <w:tcW w:w="2778" w:type="dxa"/>
          </w:tcPr>
          <w:p w14:paraId="5A2A70F7" w14:textId="6B09152F" w:rsidR="00705642" w:rsidRPr="00D8757D" w:rsidRDefault="00705642" w:rsidP="002A6035">
            <w:pPr>
              <w:spacing w:before="60" w:after="60"/>
              <w:jc w:val="center"/>
            </w:pPr>
            <w:r w:rsidRPr="007C1116">
              <w:t>5,817</w:t>
            </w:r>
          </w:p>
        </w:tc>
      </w:tr>
      <w:tr w:rsidR="00705642" w:rsidRPr="00923150" w14:paraId="1775F91A" w14:textId="77777777" w:rsidTr="002A6035">
        <w:trPr>
          <w:trHeight w:val="456"/>
        </w:trPr>
        <w:tc>
          <w:tcPr>
            <w:tcW w:w="3686" w:type="dxa"/>
            <w:tcBorders>
              <w:top w:val="double" w:sz="4" w:space="0" w:color="auto"/>
            </w:tcBorders>
          </w:tcPr>
          <w:p w14:paraId="6F051C6B" w14:textId="164CCBE5" w:rsidR="00705642" w:rsidRPr="00923150" w:rsidRDefault="00705642" w:rsidP="002A6035">
            <w:pPr>
              <w:spacing w:before="60" w:after="60"/>
              <w:ind w:left="284"/>
              <w:rPr>
                <w:sz w:val="20"/>
              </w:rPr>
            </w:pPr>
            <w:r w:rsidRPr="007C1116">
              <w:t>Totals</w:t>
            </w:r>
          </w:p>
        </w:tc>
        <w:tc>
          <w:tcPr>
            <w:tcW w:w="2778" w:type="dxa"/>
            <w:tcBorders>
              <w:top w:val="double" w:sz="4" w:space="0" w:color="auto"/>
            </w:tcBorders>
          </w:tcPr>
          <w:p w14:paraId="32202D48" w14:textId="1FB83764" w:rsidR="00705642" w:rsidRPr="00923150" w:rsidRDefault="00705642" w:rsidP="002A6035">
            <w:pPr>
              <w:spacing w:before="60" w:after="60"/>
              <w:jc w:val="center"/>
              <w:rPr>
                <w:sz w:val="20"/>
              </w:rPr>
            </w:pPr>
            <w:r w:rsidRPr="007C1116">
              <w:t>10,022</w:t>
            </w:r>
          </w:p>
        </w:tc>
      </w:tr>
    </w:tbl>
    <w:p w14:paraId="10AB06EA" w14:textId="13C53143" w:rsidR="001343DE" w:rsidRPr="00705642" w:rsidRDefault="00705642" w:rsidP="001343DE">
      <w:pPr>
        <w:spacing w:before="0"/>
        <w:jc w:val="left"/>
        <w:rPr>
          <w:sz w:val="20"/>
          <w:szCs w:val="20"/>
        </w:rPr>
      </w:pPr>
      <w:r w:rsidRPr="00705642">
        <w:rPr>
          <w:sz w:val="20"/>
          <w:szCs w:val="20"/>
        </w:rPr>
        <w:t xml:space="preserve">(Sources: </w:t>
      </w:r>
      <w:r w:rsidR="002A6035">
        <w:rPr>
          <w:sz w:val="20"/>
          <w:szCs w:val="20"/>
        </w:rPr>
        <w:t xml:space="preserve">MC 2012, WF 2013, WOW 2013, </w:t>
      </w:r>
      <w:r w:rsidR="00F34624" w:rsidRPr="00F34624">
        <w:rPr>
          <w:sz w:val="20"/>
          <w:szCs w:val="20"/>
        </w:rPr>
        <w:t>Convenience World retailer contributions and estimates, 2012</w:t>
      </w:r>
      <w:r w:rsidR="00F34624">
        <w:rPr>
          <w:sz w:val="20"/>
          <w:szCs w:val="20"/>
        </w:rPr>
        <w:t xml:space="preserve"> and company representatives</w:t>
      </w:r>
      <w:r w:rsidR="002A6035">
        <w:rPr>
          <w:sz w:val="20"/>
          <w:szCs w:val="20"/>
        </w:rPr>
        <w:t>)</w:t>
      </w:r>
    </w:p>
    <w:p w14:paraId="58DDA7A1" w14:textId="77777777" w:rsidR="00F90537" w:rsidRDefault="00F90537" w:rsidP="00A211A1">
      <w:pPr>
        <w:rPr>
          <w:szCs w:val="22"/>
        </w:rPr>
      </w:pPr>
    </w:p>
    <w:p w14:paraId="7A46E0AC" w14:textId="77777777" w:rsidR="001B41E1" w:rsidRDefault="001B41E1" w:rsidP="00A211A1">
      <w:pPr>
        <w:rPr>
          <w:szCs w:val="22"/>
        </w:rPr>
      </w:pPr>
    </w:p>
    <w:p w14:paraId="0C2613BC" w14:textId="77777777" w:rsidR="001B41E1" w:rsidRPr="00F90537" w:rsidRDefault="001B41E1" w:rsidP="00A211A1">
      <w:pPr>
        <w:rPr>
          <w:szCs w:val="22"/>
        </w:rPr>
      </w:pPr>
    </w:p>
    <w:p w14:paraId="26531E20" w14:textId="167C0E8E" w:rsidR="00A211A1" w:rsidRPr="005E5BAD" w:rsidRDefault="00A211A1" w:rsidP="00A211A1">
      <w:pPr>
        <w:rPr>
          <w:i/>
          <w:szCs w:val="22"/>
        </w:rPr>
      </w:pPr>
      <w:bookmarkStart w:id="95" w:name="_Toc233084076"/>
      <w:r w:rsidRPr="005E5BAD">
        <w:rPr>
          <w:i/>
          <w:szCs w:val="22"/>
        </w:rPr>
        <w:t xml:space="preserve">Table </w:t>
      </w:r>
      <w:r w:rsidRPr="005E5BAD">
        <w:rPr>
          <w:i/>
          <w:szCs w:val="22"/>
        </w:rPr>
        <w:fldChar w:fldCharType="begin"/>
      </w:r>
      <w:r w:rsidRPr="005E5BAD">
        <w:rPr>
          <w:i/>
          <w:szCs w:val="22"/>
        </w:rPr>
        <w:instrText xml:space="preserve"> SEQ Table \* ARABIC </w:instrText>
      </w:r>
      <w:r w:rsidRPr="005E5BAD">
        <w:rPr>
          <w:i/>
          <w:szCs w:val="22"/>
        </w:rPr>
        <w:fldChar w:fldCharType="separate"/>
      </w:r>
      <w:r w:rsidR="00196462">
        <w:rPr>
          <w:i/>
          <w:noProof/>
          <w:szCs w:val="22"/>
        </w:rPr>
        <w:t>32</w:t>
      </w:r>
      <w:r w:rsidRPr="005E5BAD">
        <w:rPr>
          <w:i/>
          <w:szCs w:val="22"/>
        </w:rPr>
        <w:fldChar w:fldCharType="end"/>
      </w:r>
      <w:r w:rsidRPr="005E5BAD">
        <w:rPr>
          <w:i/>
          <w:szCs w:val="22"/>
        </w:rPr>
        <w:t xml:space="preserve">: </w:t>
      </w:r>
      <w:r w:rsidRPr="00A211A1">
        <w:rPr>
          <w:i/>
          <w:szCs w:val="22"/>
        </w:rPr>
        <w:t xml:space="preserve">Non </w:t>
      </w:r>
      <w:r>
        <w:rPr>
          <w:i/>
          <w:szCs w:val="22"/>
        </w:rPr>
        <w:t>s</w:t>
      </w:r>
      <w:r w:rsidRPr="00A211A1">
        <w:rPr>
          <w:i/>
          <w:szCs w:val="22"/>
        </w:rPr>
        <w:t xml:space="preserve">upermarket </w:t>
      </w:r>
      <w:r>
        <w:rPr>
          <w:i/>
          <w:szCs w:val="22"/>
        </w:rPr>
        <w:t>food r</w:t>
      </w:r>
      <w:r w:rsidRPr="00A211A1">
        <w:rPr>
          <w:i/>
          <w:szCs w:val="22"/>
        </w:rPr>
        <w:t xml:space="preserve">etail </w:t>
      </w:r>
      <w:r>
        <w:rPr>
          <w:i/>
          <w:szCs w:val="22"/>
        </w:rPr>
        <w:t>o</w:t>
      </w:r>
      <w:r w:rsidRPr="00A211A1">
        <w:rPr>
          <w:i/>
          <w:szCs w:val="22"/>
        </w:rPr>
        <w:t xml:space="preserve">utlets </w:t>
      </w:r>
      <w:r>
        <w:rPr>
          <w:i/>
          <w:szCs w:val="22"/>
        </w:rPr>
        <w:t xml:space="preserve">in </w:t>
      </w:r>
      <w:r w:rsidRPr="00A211A1">
        <w:rPr>
          <w:i/>
          <w:szCs w:val="22"/>
        </w:rPr>
        <w:t>Australia 2007</w:t>
      </w:r>
      <w:bookmarkEnd w:id="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2778"/>
      </w:tblGrid>
      <w:tr w:rsidR="00A211A1" w:rsidRPr="00923150" w14:paraId="2543BE8A" w14:textId="77777777" w:rsidTr="005F2CFD">
        <w:trPr>
          <w:trHeight w:val="684"/>
        </w:trPr>
        <w:tc>
          <w:tcPr>
            <w:tcW w:w="3686" w:type="dxa"/>
            <w:tcBorders>
              <w:top w:val="single" w:sz="8" w:space="0" w:color="auto"/>
              <w:left w:val="single" w:sz="8" w:space="0" w:color="auto"/>
              <w:bottom w:val="single" w:sz="8" w:space="0" w:color="auto"/>
              <w:right w:val="single" w:sz="4" w:space="0" w:color="FFFFFF"/>
            </w:tcBorders>
            <w:shd w:val="clear" w:color="auto" w:fill="000000"/>
            <w:vAlign w:val="center"/>
          </w:tcPr>
          <w:p w14:paraId="5DB7664C" w14:textId="4C8DF87C" w:rsidR="00A211A1" w:rsidRPr="00923150" w:rsidRDefault="00624CB7" w:rsidP="00A004B7">
            <w:pPr>
              <w:spacing w:after="120"/>
              <w:ind w:left="284"/>
            </w:pPr>
            <w:r>
              <w:lastRenderedPageBreak/>
              <w:t>Type of Store</w:t>
            </w:r>
          </w:p>
        </w:tc>
        <w:tc>
          <w:tcPr>
            <w:tcW w:w="2778" w:type="dxa"/>
            <w:tcBorders>
              <w:top w:val="single" w:sz="8" w:space="0" w:color="auto"/>
              <w:left w:val="single" w:sz="4" w:space="0" w:color="FFFFFF"/>
              <w:bottom w:val="single" w:sz="8" w:space="0" w:color="auto"/>
              <w:right w:val="single" w:sz="8" w:space="0" w:color="auto"/>
            </w:tcBorders>
            <w:shd w:val="clear" w:color="auto" w:fill="000000"/>
            <w:vAlign w:val="center"/>
          </w:tcPr>
          <w:p w14:paraId="5FDC660C" w14:textId="09B751DE" w:rsidR="00A211A1" w:rsidRPr="00923150" w:rsidRDefault="00A211A1" w:rsidP="00A004B7">
            <w:pPr>
              <w:spacing w:after="120"/>
              <w:jc w:val="center"/>
            </w:pPr>
            <w:r>
              <w:t>N</w:t>
            </w:r>
            <w:r w:rsidR="00624CB7">
              <w:t xml:space="preserve">umber of  stores </w:t>
            </w:r>
          </w:p>
        </w:tc>
      </w:tr>
      <w:tr w:rsidR="00A211A1" w:rsidRPr="00923150" w14:paraId="2673D494" w14:textId="77777777" w:rsidTr="00A211A1">
        <w:trPr>
          <w:trHeight w:val="456"/>
        </w:trPr>
        <w:tc>
          <w:tcPr>
            <w:tcW w:w="3686" w:type="dxa"/>
            <w:tcBorders>
              <w:top w:val="single" w:sz="8" w:space="0" w:color="auto"/>
            </w:tcBorders>
            <w:vAlign w:val="center"/>
          </w:tcPr>
          <w:p w14:paraId="32F1885A" w14:textId="42B21CDA" w:rsidR="00A211A1" w:rsidRPr="00923150" w:rsidRDefault="00A211A1" w:rsidP="00A004B7">
            <w:pPr>
              <w:spacing w:before="60" w:after="60"/>
              <w:ind w:left="284"/>
              <w:rPr>
                <w:sz w:val="20"/>
              </w:rPr>
            </w:pPr>
            <w:r w:rsidRPr="00D67A9F">
              <w:t xml:space="preserve">Fruit and Vegetables </w:t>
            </w:r>
          </w:p>
        </w:tc>
        <w:tc>
          <w:tcPr>
            <w:tcW w:w="2778" w:type="dxa"/>
            <w:tcBorders>
              <w:top w:val="single" w:sz="8" w:space="0" w:color="auto"/>
            </w:tcBorders>
            <w:vAlign w:val="center"/>
          </w:tcPr>
          <w:p w14:paraId="7708C4D3" w14:textId="7D944F88" w:rsidR="00A211A1" w:rsidRPr="00923150" w:rsidRDefault="00A211A1" w:rsidP="00A004B7">
            <w:pPr>
              <w:spacing w:before="60" w:after="60"/>
              <w:jc w:val="center"/>
              <w:rPr>
                <w:sz w:val="20"/>
              </w:rPr>
            </w:pPr>
            <w:r w:rsidRPr="00D67A9F">
              <w:t>2,580</w:t>
            </w:r>
          </w:p>
        </w:tc>
      </w:tr>
      <w:tr w:rsidR="00A211A1" w:rsidRPr="00923150" w14:paraId="4A147A52" w14:textId="77777777" w:rsidTr="00A211A1">
        <w:trPr>
          <w:trHeight w:val="456"/>
        </w:trPr>
        <w:tc>
          <w:tcPr>
            <w:tcW w:w="3686" w:type="dxa"/>
            <w:vAlign w:val="center"/>
          </w:tcPr>
          <w:p w14:paraId="44AF0A68" w14:textId="7378161A" w:rsidR="00A211A1" w:rsidRDefault="00A211A1" w:rsidP="00A004B7">
            <w:pPr>
              <w:spacing w:before="60" w:after="60"/>
              <w:ind w:left="284"/>
              <w:rPr>
                <w:sz w:val="20"/>
              </w:rPr>
            </w:pPr>
            <w:r w:rsidRPr="00D67A9F">
              <w:t>Butchers and Poultry</w:t>
            </w:r>
          </w:p>
        </w:tc>
        <w:tc>
          <w:tcPr>
            <w:tcW w:w="2778" w:type="dxa"/>
            <w:vAlign w:val="center"/>
          </w:tcPr>
          <w:p w14:paraId="0A2F0D0E" w14:textId="2DF94730" w:rsidR="00A211A1" w:rsidRDefault="00A211A1" w:rsidP="00A004B7">
            <w:pPr>
              <w:spacing w:before="60" w:after="60"/>
              <w:jc w:val="center"/>
              <w:rPr>
                <w:sz w:val="20"/>
              </w:rPr>
            </w:pPr>
            <w:r w:rsidRPr="00D67A9F">
              <w:t>3,859</w:t>
            </w:r>
          </w:p>
        </w:tc>
      </w:tr>
      <w:tr w:rsidR="00A211A1" w:rsidRPr="00923150" w14:paraId="37E55900" w14:textId="77777777" w:rsidTr="00A211A1">
        <w:trPr>
          <w:trHeight w:val="456"/>
        </w:trPr>
        <w:tc>
          <w:tcPr>
            <w:tcW w:w="3686" w:type="dxa"/>
            <w:vAlign w:val="center"/>
          </w:tcPr>
          <w:p w14:paraId="0EA58A63" w14:textId="04A6E4AB" w:rsidR="00A211A1" w:rsidRPr="00D8757D" w:rsidRDefault="00A211A1" w:rsidP="00A004B7">
            <w:pPr>
              <w:spacing w:before="60" w:after="60"/>
              <w:ind w:left="284"/>
            </w:pPr>
            <w:r w:rsidRPr="00D67A9F">
              <w:t>Delicatessen</w:t>
            </w:r>
          </w:p>
        </w:tc>
        <w:tc>
          <w:tcPr>
            <w:tcW w:w="2778" w:type="dxa"/>
            <w:vAlign w:val="center"/>
          </w:tcPr>
          <w:p w14:paraId="7FBAAF55" w14:textId="23543805" w:rsidR="00A211A1" w:rsidRPr="00D8757D" w:rsidRDefault="00A211A1" w:rsidP="00A004B7">
            <w:pPr>
              <w:spacing w:before="60" w:after="60"/>
              <w:jc w:val="center"/>
            </w:pPr>
            <w:r w:rsidRPr="00D67A9F">
              <w:t>1,900</w:t>
            </w:r>
          </w:p>
        </w:tc>
      </w:tr>
      <w:tr w:rsidR="00A211A1" w:rsidRPr="00923150" w14:paraId="768D5011" w14:textId="77777777" w:rsidTr="00A211A1">
        <w:trPr>
          <w:trHeight w:val="456"/>
        </w:trPr>
        <w:tc>
          <w:tcPr>
            <w:tcW w:w="3686" w:type="dxa"/>
            <w:vAlign w:val="center"/>
          </w:tcPr>
          <w:p w14:paraId="7494180F" w14:textId="255BB62E" w:rsidR="00A211A1" w:rsidRPr="00D8757D" w:rsidRDefault="00A211A1" w:rsidP="00A004B7">
            <w:pPr>
              <w:spacing w:before="60" w:after="60"/>
              <w:ind w:left="284"/>
            </w:pPr>
            <w:r w:rsidRPr="00D67A9F">
              <w:t>Bakery</w:t>
            </w:r>
          </w:p>
        </w:tc>
        <w:tc>
          <w:tcPr>
            <w:tcW w:w="2778" w:type="dxa"/>
            <w:vAlign w:val="center"/>
          </w:tcPr>
          <w:p w14:paraId="706BE717" w14:textId="321BB354" w:rsidR="00A211A1" w:rsidRPr="00D8757D" w:rsidRDefault="00A211A1" w:rsidP="00A004B7">
            <w:pPr>
              <w:spacing w:before="60" w:after="60"/>
              <w:jc w:val="center"/>
            </w:pPr>
            <w:r w:rsidRPr="00D67A9F">
              <w:t>745</w:t>
            </w:r>
          </w:p>
        </w:tc>
      </w:tr>
      <w:tr w:rsidR="00A211A1" w:rsidRPr="00923150" w14:paraId="0585ACA9" w14:textId="77777777" w:rsidTr="00A211A1">
        <w:trPr>
          <w:trHeight w:val="456"/>
        </w:trPr>
        <w:tc>
          <w:tcPr>
            <w:tcW w:w="3686" w:type="dxa"/>
            <w:vAlign w:val="center"/>
          </w:tcPr>
          <w:p w14:paraId="26459FFA" w14:textId="11A53252" w:rsidR="00A211A1" w:rsidRPr="00D8757D" w:rsidRDefault="00A211A1" w:rsidP="00A004B7">
            <w:pPr>
              <w:spacing w:before="60" w:after="60"/>
              <w:ind w:left="284"/>
            </w:pPr>
            <w:r w:rsidRPr="00D67A9F">
              <w:t>Restaurants and Cafes</w:t>
            </w:r>
          </w:p>
        </w:tc>
        <w:tc>
          <w:tcPr>
            <w:tcW w:w="2778" w:type="dxa"/>
            <w:vAlign w:val="center"/>
          </w:tcPr>
          <w:p w14:paraId="581700C7" w14:textId="48262410" w:rsidR="00A211A1" w:rsidRPr="00D8757D" w:rsidRDefault="00A211A1" w:rsidP="00A004B7">
            <w:pPr>
              <w:spacing w:before="60" w:after="60"/>
              <w:jc w:val="center"/>
            </w:pPr>
            <w:r w:rsidRPr="00D67A9F">
              <w:t>20,562</w:t>
            </w:r>
          </w:p>
        </w:tc>
      </w:tr>
      <w:tr w:rsidR="00A211A1" w:rsidRPr="00923150" w14:paraId="6F6059AE" w14:textId="77777777" w:rsidTr="00A211A1">
        <w:trPr>
          <w:trHeight w:val="456"/>
        </w:trPr>
        <w:tc>
          <w:tcPr>
            <w:tcW w:w="3686" w:type="dxa"/>
            <w:vAlign w:val="center"/>
          </w:tcPr>
          <w:p w14:paraId="743D851E" w14:textId="7D16D31F" w:rsidR="00A211A1" w:rsidRPr="00D8757D" w:rsidRDefault="00F627F9" w:rsidP="00F627F9">
            <w:pPr>
              <w:spacing w:before="60" w:after="60"/>
              <w:ind w:left="284"/>
            </w:pPr>
            <w:r>
              <w:t>Hotels</w:t>
            </w:r>
            <w:r w:rsidR="00A211A1" w:rsidRPr="00D67A9F">
              <w:t xml:space="preserve"> and Clubs</w:t>
            </w:r>
          </w:p>
        </w:tc>
        <w:tc>
          <w:tcPr>
            <w:tcW w:w="2778" w:type="dxa"/>
            <w:vAlign w:val="center"/>
          </w:tcPr>
          <w:p w14:paraId="7728B2CD" w14:textId="7E391038" w:rsidR="00A211A1" w:rsidRPr="00D8757D" w:rsidRDefault="00A211A1" w:rsidP="00A004B7">
            <w:pPr>
              <w:spacing w:before="60" w:after="60"/>
              <w:jc w:val="center"/>
            </w:pPr>
            <w:r w:rsidRPr="00D67A9F">
              <w:t>5,417</w:t>
            </w:r>
          </w:p>
        </w:tc>
      </w:tr>
      <w:tr w:rsidR="00A211A1" w:rsidRPr="00923150" w14:paraId="23410269" w14:textId="77777777" w:rsidTr="00A211A1">
        <w:trPr>
          <w:trHeight w:val="456"/>
        </w:trPr>
        <w:tc>
          <w:tcPr>
            <w:tcW w:w="3686" w:type="dxa"/>
            <w:vAlign w:val="center"/>
          </w:tcPr>
          <w:p w14:paraId="5E5D681D" w14:textId="48A7C443" w:rsidR="00A211A1" w:rsidRPr="00D8757D" w:rsidRDefault="00A211A1" w:rsidP="00A004B7">
            <w:pPr>
              <w:spacing w:before="60" w:after="60"/>
              <w:ind w:left="284"/>
            </w:pPr>
            <w:r w:rsidRPr="00D67A9F">
              <w:t>Sandwich bars</w:t>
            </w:r>
          </w:p>
        </w:tc>
        <w:tc>
          <w:tcPr>
            <w:tcW w:w="2778" w:type="dxa"/>
            <w:vAlign w:val="center"/>
          </w:tcPr>
          <w:p w14:paraId="406FFCC6" w14:textId="7E894D46" w:rsidR="00A211A1" w:rsidRPr="00D8757D" w:rsidRDefault="00A211A1" w:rsidP="00A004B7">
            <w:pPr>
              <w:spacing w:before="60" w:after="60"/>
              <w:jc w:val="center"/>
            </w:pPr>
            <w:r w:rsidRPr="00D67A9F">
              <w:t>8,959</w:t>
            </w:r>
          </w:p>
        </w:tc>
      </w:tr>
      <w:tr w:rsidR="00A211A1" w:rsidRPr="00923150" w14:paraId="199742E2" w14:textId="77777777" w:rsidTr="00A211A1">
        <w:trPr>
          <w:trHeight w:val="456"/>
        </w:trPr>
        <w:tc>
          <w:tcPr>
            <w:tcW w:w="3686" w:type="dxa"/>
            <w:vAlign w:val="center"/>
          </w:tcPr>
          <w:p w14:paraId="10063EC1" w14:textId="16F0D87C" w:rsidR="00A211A1" w:rsidRPr="00D8757D" w:rsidRDefault="00A211A1" w:rsidP="00A004B7">
            <w:pPr>
              <w:spacing w:before="60" w:after="60"/>
              <w:ind w:left="284"/>
            </w:pPr>
            <w:r w:rsidRPr="00D67A9F">
              <w:t>Quick serve restaurants</w:t>
            </w:r>
          </w:p>
        </w:tc>
        <w:tc>
          <w:tcPr>
            <w:tcW w:w="2778" w:type="dxa"/>
            <w:vAlign w:val="center"/>
          </w:tcPr>
          <w:p w14:paraId="5AA225F6" w14:textId="16915167" w:rsidR="00A211A1" w:rsidRPr="00D8757D" w:rsidRDefault="00A211A1" w:rsidP="00A004B7">
            <w:pPr>
              <w:spacing w:before="60" w:after="60"/>
              <w:jc w:val="center"/>
            </w:pPr>
            <w:r w:rsidRPr="00D67A9F">
              <w:t>5,234</w:t>
            </w:r>
          </w:p>
        </w:tc>
      </w:tr>
      <w:tr w:rsidR="00A211A1" w:rsidRPr="00923150" w14:paraId="797BC7CC" w14:textId="77777777" w:rsidTr="00A211A1">
        <w:trPr>
          <w:trHeight w:val="456"/>
        </w:trPr>
        <w:tc>
          <w:tcPr>
            <w:tcW w:w="3686" w:type="dxa"/>
            <w:tcBorders>
              <w:top w:val="double" w:sz="4" w:space="0" w:color="auto"/>
            </w:tcBorders>
            <w:vAlign w:val="center"/>
          </w:tcPr>
          <w:p w14:paraId="120B4D62" w14:textId="534D5C39" w:rsidR="00A211A1" w:rsidRPr="00923150" w:rsidRDefault="00A211A1" w:rsidP="00A004B7">
            <w:pPr>
              <w:spacing w:before="60" w:after="60"/>
              <w:ind w:left="284"/>
              <w:rPr>
                <w:sz w:val="20"/>
              </w:rPr>
            </w:pPr>
            <w:r w:rsidRPr="00D67A9F">
              <w:t>Total</w:t>
            </w:r>
          </w:p>
        </w:tc>
        <w:tc>
          <w:tcPr>
            <w:tcW w:w="2778" w:type="dxa"/>
            <w:tcBorders>
              <w:top w:val="double" w:sz="4" w:space="0" w:color="auto"/>
            </w:tcBorders>
            <w:vAlign w:val="center"/>
          </w:tcPr>
          <w:p w14:paraId="56A455C8" w14:textId="4688269E" w:rsidR="00A211A1" w:rsidRPr="00923150" w:rsidRDefault="00A211A1" w:rsidP="00A004B7">
            <w:pPr>
              <w:spacing w:before="60" w:after="60"/>
              <w:jc w:val="center"/>
              <w:rPr>
                <w:sz w:val="20"/>
              </w:rPr>
            </w:pPr>
            <w:r w:rsidRPr="00D67A9F">
              <w:t>49,256</w:t>
            </w:r>
          </w:p>
        </w:tc>
      </w:tr>
    </w:tbl>
    <w:p w14:paraId="69974A91" w14:textId="11737D1E" w:rsidR="001343DE" w:rsidRPr="00A211A1" w:rsidRDefault="00A211A1" w:rsidP="001343DE">
      <w:pPr>
        <w:spacing w:before="0"/>
        <w:jc w:val="left"/>
        <w:rPr>
          <w:sz w:val="20"/>
          <w:szCs w:val="20"/>
        </w:rPr>
      </w:pPr>
      <w:r w:rsidRPr="00711A6C">
        <w:rPr>
          <w:sz w:val="20"/>
          <w:szCs w:val="20"/>
        </w:rPr>
        <w:t>(</w:t>
      </w:r>
      <w:r w:rsidRPr="008E66AD">
        <w:rPr>
          <w:sz w:val="20"/>
          <w:szCs w:val="20"/>
        </w:rPr>
        <w:t>Source:</w:t>
      </w:r>
      <w:r w:rsidR="00624CB7">
        <w:rPr>
          <w:sz w:val="20"/>
          <w:szCs w:val="20"/>
        </w:rPr>
        <w:t xml:space="preserve"> Foodmap;</w:t>
      </w:r>
      <w:r w:rsidRPr="008E66AD">
        <w:rPr>
          <w:sz w:val="20"/>
          <w:szCs w:val="20"/>
        </w:rPr>
        <w:t xml:space="preserve"> </w:t>
      </w:r>
      <w:r w:rsidR="00624CB7">
        <w:rPr>
          <w:sz w:val="20"/>
          <w:szCs w:val="20"/>
        </w:rPr>
        <w:t xml:space="preserve">Spencer, S. and Kneebone, M. for </w:t>
      </w:r>
      <w:r w:rsidR="00711A6C" w:rsidRPr="00C87CA3">
        <w:rPr>
          <w:sz w:val="20"/>
          <w:szCs w:val="20"/>
        </w:rPr>
        <w:t>DAFF 20</w:t>
      </w:r>
      <w:r w:rsidR="00624CB7" w:rsidRPr="00C87CA3">
        <w:rPr>
          <w:sz w:val="20"/>
          <w:szCs w:val="20"/>
        </w:rPr>
        <w:t>07</w:t>
      </w:r>
      <w:r w:rsidR="00711A6C" w:rsidRPr="002633CA">
        <w:rPr>
          <w:sz w:val="20"/>
          <w:szCs w:val="20"/>
        </w:rPr>
        <w:t>)</w:t>
      </w:r>
    </w:p>
    <w:p w14:paraId="1091F6E1" w14:textId="77777777" w:rsidR="00F90537" w:rsidRPr="00F90537" w:rsidRDefault="00F90537" w:rsidP="00F90537">
      <w:pPr>
        <w:spacing w:before="240"/>
        <w:rPr>
          <w:szCs w:val="22"/>
        </w:rPr>
      </w:pPr>
      <w:r w:rsidRPr="00F90537">
        <w:rPr>
          <w:szCs w:val="22"/>
        </w:rPr>
        <w:t>In addition to these retail outlets, a further 28,000 facilities of various sorts, including hotels and motels, schools, universities, hospitals and aged care facilities, act as end points in the perishable food supply chain, retailing food or providing meals as part of a service.</w:t>
      </w:r>
    </w:p>
    <w:p w14:paraId="4AB8DFC4" w14:textId="77777777" w:rsidR="00F90537" w:rsidRPr="00F90537" w:rsidRDefault="00F90537" w:rsidP="00F90537">
      <w:pPr>
        <w:rPr>
          <w:szCs w:val="22"/>
        </w:rPr>
      </w:pPr>
      <w:r w:rsidRPr="00F90537">
        <w:rPr>
          <w:szCs w:val="22"/>
        </w:rPr>
        <w:t>In total, these approximately 88,000 outlets and facilities are the locations of the more than 1 million devices identified in the equipment categories in the refrigerated cold food chain.</w:t>
      </w:r>
    </w:p>
    <w:p w14:paraId="316D4DBA" w14:textId="70FD0725" w:rsidR="00F90537" w:rsidRPr="00F90537" w:rsidRDefault="00F90537" w:rsidP="00F90537">
      <w:pPr>
        <w:rPr>
          <w:szCs w:val="22"/>
        </w:rPr>
      </w:pPr>
      <w:r w:rsidRPr="00F90537">
        <w:rPr>
          <w:szCs w:val="22"/>
        </w:rPr>
        <w:t xml:space="preserve">An unknown </w:t>
      </w:r>
      <w:r w:rsidR="00194C08">
        <w:rPr>
          <w:szCs w:val="22"/>
        </w:rPr>
        <w:t xml:space="preserve">but certainly large </w:t>
      </w:r>
      <w:r w:rsidRPr="00F90537">
        <w:rPr>
          <w:szCs w:val="22"/>
        </w:rPr>
        <w:t>proportion of total perishable food production is further transported from retail outlets to storage in the 17 million domestic refrigerators and freezers prior to consumption.</w:t>
      </w:r>
    </w:p>
    <w:p w14:paraId="494BA526" w14:textId="6EC63513" w:rsidR="00F90537" w:rsidRPr="00F90537" w:rsidRDefault="00F90537" w:rsidP="00F90537">
      <w:pPr>
        <w:rPr>
          <w:szCs w:val="22"/>
        </w:rPr>
      </w:pPr>
      <w:r w:rsidRPr="00F90537">
        <w:rPr>
          <w:szCs w:val="22"/>
        </w:rPr>
        <w:t>No estimate of the total value of the perishable food sold for immediate consumption, or for transport to domestic refrigerators and freezers</w:t>
      </w:r>
      <w:r>
        <w:rPr>
          <w:szCs w:val="22"/>
        </w:rPr>
        <w:t>,</w:t>
      </w:r>
      <w:r w:rsidRPr="00F90537">
        <w:rPr>
          <w:szCs w:val="22"/>
        </w:rPr>
        <w:t xml:space="preserve"> was identified, however total retail food sales of all sorts was valued at $1</w:t>
      </w:r>
      <w:r w:rsidR="00475E60">
        <w:rPr>
          <w:szCs w:val="22"/>
        </w:rPr>
        <w:t>30.4</w:t>
      </w:r>
      <w:r w:rsidRPr="00F90537">
        <w:rPr>
          <w:szCs w:val="22"/>
        </w:rPr>
        <w:t xml:space="preserve"> billion in Australia in 20</w:t>
      </w:r>
      <w:r w:rsidR="00475E60">
        <w:rPr>
          <w:szCs w:val="22"/>
        </w:rPr>
        <w:t>10</w:t>
      </w:r>
      <w:r w:rsidRPr="00F90537">
        <w:rPr>
          <w:szCs w:val="22"/>
        </w:rPr>
        <w:t>-</w:t>
      </w:r>
      <w:r w:rsidR="00475E60">
        <w:rPr>
          <w:szCs w:val="22"/>
        </w:rPr>
        <w:t>11</w:t>
      </w:r>
      <w:r w:rsidR="005D30C8">
        <w:rPr>
          <w:szCs w:val="22"/>
        </w:rPr>
        <w:t xml:space="preserve"> financial year</w:t>
      </w:r>
      <w:r w:rsidR="00157D55">
        <w:rPr>
          <w:szCs w:val="22"/>
        </w:rPr>
        <w:t xml:space="preserve"> </w:t>
      </w:r>
      <w:r w:rsidR="00157D55" w:rsidRPr="00C87CA3">
        <w:rPr>
          <w:szCs w:val="22"/>
        </w:rPr>
        <w:t>(DAFF 2012)</w:t>
      </w:r>
      <w:r w:rsidRPr="00C87CA3">
        <w:rPr>
          <w:szCs w:val="22"/>
        </w:rPr>
        <w:t>.</w:t>
      </w:r>
    </w:p>
    <w:p w14:paraId="377D6397" w14:textId="350187C4" w:rsidR="00560CAE" w:rsidRPr="00560CAE" w:rsidRDefault="00560CAE" w:rsidP="00560CAE">
      <w:pPr>
        <w:rPr>
          <w:szCs w:val="22"/>
        </w:rPr>
      </w:pPr>
      <w:r w:rsidRPr="00560CAE">
        <w:rPr>
          <w:szCs w:val="22"/>
        </w:rPr>
        <w:t xml:space="preserve">The CHF2 stock model estimates that the cold food chain in Australia consumes a total of </w:t>
      </w:r>
      <w:r>
        <w:rPr>
          <w:szCs w:val="22"/>
        </w:rPr>
        <w:t>52.8</w:t>
      </w:r>
      <w:r w:rsidRPr="00560CAE">
        <w:rPr>
          <w:szCs w:val="22"/>
        </w:rPr>
        <w:t xml:space="preserve"> PJ </w:t>
      </w:r>
      <w:r>
        <w:rPr>
          <w:szCs w:val="22"/>
        </w:rPr>
        <w:t xml:space="preserve">of electricity </w:t>
      </w:r>
      <w:r w:rsidRPr="00560CAE">
        <w:rPr>
          <w:szCs w:val="22"/>
        </w:rPr>
        <w:t>per</w:t>
      </w:r>
      <w:r>
        <w:rPr>
          <w:szCs w:val="22"/>
        </w:rPr>
        <w:t xml:space="preserve"> annum plus around 3.0 PJ </w:t>
      </w:r>
      <w:r w:rsidRPr="00560CAE">
        <w:rPr>
          <w:szCs w:val="22"/>
        </w:rPr>
        <w:t>of liquid fuels in the transport links</w:t>
      </w:r>
      <w:r>
        <w:rPr>
          <w:szCs w:val="22"/>
        </w:rPr>
        <w:t>.</w:t>
      </w:r>
    </w:p>
    <w:p w14:paraId="60627B49" w14:textId="77777777" w:rsidR="00560CAE" w:rsidRPr="00560CAE" w:rsidRDefault="00560CAE" w:rsidP="00560CAE">
      <w:pPr>
        <w:rPr>
          <w:szCs w:val="22"/>
        </w:rPr>
      </w:pPr>
      <w:r w:rsidRPr="00560CAE">
        <w:rPr>
          <w:szCs w:val="22"/>
        </w:rPr>
        <w:t>Commercial refrigeration places demands on electricity infrastructure, and is a significant contributor to Australia’s overall emissions profile. A highly skilled workforce is essential to maintain the refrigerated cold food chain. As such, proposals for Australia to dramatically expand food production and become “the food bowl of Asia,” need to consider the implications of this national objective in terms of additional infrastructure and refrigeration services required to make any serious expansion of perishable food productive capacity successful.</w:t>
      </w:r>
    </w:p>
    <w:p w14:paraId="760B6EB4" w14:textId="3E32A1FE" w:rsidR="00F90537" w:rsidRPr="00F90537" w:rsidRDefault="00F90537" w:rsidP="00F90537">
      <w:pPr>
        <w:rPr>
          <w:szCs w:val="22"/>
        </w:rPr>
      </w:pPr>
    </w:p>
    <w:p w14:paraId="69CB43D6" w14:textId="77777777" w:rsidR="001343DE" w:rsidRDefault="001343DE" w:rsidP="00F90537">
      <w:pPr>
        <w:jc w:val="left"/>
        <w:rPr>
          <w:szCs w:val="22"/>
        </w:rPr>
      </w:pPr>
    </w:p>
    <w:p w14:paraId="35F657DD" w14:textId="5941E8D4" w:rsidR="001343DE" w:rsidRDefault="00A211A1" w:rsidP="007B6646">
      <w:pPr>
        <w:pStyle w:val="Heading2"/>
        <w:ind w:left="567" w:hanging="567"/>
      </w:pPr>
      <w:bookmarkStart w:id="96" w:name="_Toc233084168"/>
      <w:r w:rsidRPr="00A211A1">
        <w:t xml:space="preserve">Supermarkets </w:t>
      </w:r>
      <w:r>
        <w:t xml:space="preserve">– large </w:t>
      </w:r>
      <w:r w:rsidRPr="00A211A1">
        <w:t>energy</w:t>
      </w:r>
      <w:r>
        <w:t xml:space="preserve"> consumers</w:t>
      </w:r>
      <w:bookmarkEnd w:id="96"/>
    </w:p>
    <w:p w14:paraId="3CB7A086" w14:textId="77777777" w:rsidR="00C467A5" w:rsidRPr="00F90537" w:rsidRDefault="00C467A5" w:rsidP="00C467A5">
      <w:pPr>
        <w:rPr>
          <w:szCs w:val="22"/>
        </w:rPr>
      </w:pPr>
      <w:r w:rsidRPr="00F90537">
        <w:rPr>
          <w:szCs w:val="22"/>
        </w:rPr>
        <w:t>An important step in the cold food chain, and one that is obviously completely dependent on efficient refrigeration to fulfil its role</w:t>
      </w:r>
      <w:r>
        <w:rPr>
          <w:szCs w:val="22"/>
        </w:rPr>
        <w:t>,</w:t>
      </w:r>
      <w:r w:rsidRPr="00F90537">
        <w:rPr>
          <w:szCs w:val="22"/>
        </w:rPr>
        <w:t xml:space="preserve"> </w:t>
      </w:r>
      <w:r>
        <w:rPr>
          <w:szCs w:val="22"/>
        </w:rPr>
        <w:t>are</w:t>
      </w:r>
      <w:r w:rsidRPr="00F90537">
        <w:rPr>
          <w:szCs w:val="22"/>
        </w:rPr>
        <w:t xml:space="preserve"> supermarkets. There are more than 10,000 supermarket and convenience stores ranging in size from huge facilities with more than 3,000 square metres of floor space, to the small 7/11’s dotted throughout Australia. A common characteristic of these enterprises, relevant to this report, is the concentration of both refrigeration and air conditioning operating in these businesses.</w:t>
      </w:r>
      <w:r>
        <w:rPr>
          <w:szCs w:val="22"/>
        </w:rPr>
        <w:t xml:space="preserve"> As a result of that concentration of RAC equipment, supermarkets are very energy intensive.</w:t>
      </w:r>
    </w:p>
    <w:p w14:paraId="6B9603A7" w14:textId="77777777" w:rsidR="00C467A5" w:rsidRDefault="00C467A5" w:rsidP="00C467A5">
      <w:pPr>
        <w:rPr>
          <w:szCs w:val="22"/>
        </w:rPr>
      </w:pPr>
      <w:r>
        <w:rPr>
          <w:szCs w:val="22"/>
        </w:rPr>
        <w:lastRenderedPageBreak/>
        <w:t xml:space="preserve">The CBBS report </w:t>
      </w:r>
      <w:r w:rsidRPr="005E5B7C">
        <w:rPr>
          <w:szCs w:val="22"/>
        </w:rPr>
        <w:t>concluded that supermarkets occupy an area of more than 8 million m</w:t>
      </w:r>
      <w:r w:rsidRPr="005E5B7C">
        <w:rPr>
          <w:szCs w:val="22"/>
          <w:vertAlign w:val="superscript"/>
        </w:rPr>
        <w:t>2</w:t>
      </w:r>
      <w:r w:rsidRPr="005E5B7C">
        <w:rPr>
          <w:szCs w:val="22"/>
        </w:rPr>
        <w:t xml:space="preserve">, including some 22 per cent of all space in shopping centres.  The balance of the supermarket stock is assumed to be ‘standalone’ buildings.  </w:t>
      </w:r>
    </w:p>
    <w:p w14:paraId="6F9F4DCF" w14:textId="751708BD" w:rsidR="001343DE" w:rsidRDefault="00C467A5" w:rsidP="00D00A84">
      <w:pPr>
        <w:jc w:val="left"/>
        <w:rPr>
          <w:szCs w:val="22"/>
        </w:rPr>
      </w:pPr>
      <w:r>
        <w:rPr>
          <w:szCs w:val="22"/>
        </w:rPr>
        <w:t xml:space="preserve">Further </w:t>
      </w:r>
      <w:r w:rsidRPr="00F90537">
        <w:rPr>
          <w:szCs w:val="22"/>
        </w:rPr>
        <w:t xml:space="preserve">CBBS </w:t>
      </w:r>
      <w:r>
        <w:rPr>
          <w:szCs w:val="22"/>
        </w:rPr>
        <w:t xml:space="preserve">found that </w:t>
      </w:r>
      <w:r w:rsidRPr="00F90537">
        <w:rPr>
          <w:szCs w:val="22"/>
        </w:rPr>
        <w:t>of all types of buildings surveyed, it was supermarkets that were</w:t>
      </w:r>
      <w:r>
        <w:rPr>
          <w:szCs w:val="22"/>
        </w:rPr>
        <w:t xml:space="preserve"> the</w:t>
      </w:r>
      <w:r w:rsidRPr="00F90537">
        <w:rPr>
          <w:szCs w:val="22"/>
        </w:rPr>
        <w:t xml:space="preserve"> most energy intensive, using more than twice the energy per square metre per annum than the nearest other building types, being hospitals, shopping centres (base and tenancy) and hotels, as set out in </w:t>
      </w:r>
      <w:r w:rsidRPr="00F90537">
        <w:rPr>
          <w:i/>
          <w:szCs w:val="22"/>
        </w:rPr>
        <w:t>Table 33</w:t>
      </w:r>
      <w:r>
        <w:rPr>
          <w:szCs w:val="22"/>
        </w:rPr>
        <w:t>.</w:t>
      </w:r>
    </w:p>
    <w:p w14:paraId="0FB72A3B" w14:textId="77777777" w:rsidR="00C467A5" w:rsidRDefault="00C467A5" w:rsidP="00C467A5">
      <w:pPr>
        <w:spacing w:before="0"/>
        <w:jc w:val="left"/>
        <w:rPr>
          <w:szCs w:val="22"/>
        </w:rPr>
      </w:pPr>
    </w:p>
    <w:p w14:paraId="430B6F08" w14:textId="5115AB4C" w:rsidR="00A004B7" w:rsidRPr="00D16B26" w:rsidRDefault="00A004B7" w:rsidP="00A004B7">
      <w:pPr>
        <w:rPr>
          <w:i/>
          <w:szCs w:val="22"/>
        </w:rPr>
      </w:pPr>
      <w:bookmarkStart w:id="97" w:name="_Toc233084077"/>
      <w:r w:rsidRPr="00D16B26">
        <w:rPr>
          <w:i/>
          <w:szCs w:val="22"/>
        </w:rPr>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33</w:t>
      </w:r>
      <w:r w:rsidRPr="00D16B26">
        <w:rPr>
          <w:i/>
          <w:szCs w:val="22"/>
        </w:rPr>
        <w:fldChar w:fldCharType="end"/>
      </w:r>
      <w:r w:rsidRPr="00D16B26">
        <w:rPr>
          <w:i/>
          <w:szCs w:val="22"/>
        </w:rPr>
        <w:t xml:space="preserve">: </w:t>
      </w:r>
      <w:r w:rsidRPr="00A004B7">
        <w:rPr>
          <w:i/>
          <w:szCs w:val="22"/>
        </w:rPr>
        <w:t xml:space="preserve">Australian </w:t>
      </w:r>
      <w:r>
        <w:rPr>
          <w:i/>
          <w:szCs w:val="22"/>
        </w:rPr>
        <w:t>a</w:t>
      </w:r>
      <w:r w:rsidRPr="00A004B7">
        <w:rPr>
          <w:i/>
          <w:szCs w:val="22"/>
        </w:rPr>
        <w:t xml:space="preserve">verage </w:t>
      </w:r>
      <w:r>
        <w:rPr>
          <w:i/>
          <w:szCs w:val="22"/>
        </w:rPr>
        <w:t>energy i</w:t>
      </w:r>
      <w:r w:rsidRPr="00A004B7">
        <w:rPr>
          <w:i/>
          <w:szCs w:val="22"/>
        </w:rPr>
        <w:t xml:space="preserve">ntensity </w:t>
      </w:r>
      <w:r>
        <w:rPr>
          <w:i/>
          <w:szCs w:val="22"/>
        </w:rPr>
        <w:t>t</w:t>
      </w:r>
      <w:r w:rsidRPr="00A004B7">
        <w:rPr>
          <w:i/>
          <w:szCs w:val="22"/>
        </w:rPr>
        <w:t xml:space="preserve">rends by </w:t>
      </w:r>
      <w:r>
        <w:rPr>
          <w:i/>
          <w:szCs w:val="22"/>
        </w:rPr>
        <w:t>b</w:t>
      </w:r>
      <w:r w:rsidRPr="00A004B7">
        <w:rPr>
          <w:i/>
          <w:szCs w:val="22"/>
        </w:rPr>
        <w:t xml:space="preserve">uilding </w:t>
      </w:r>
      <w:r>
        <w:rPr>
          <w:i/>
          <w:szCs w:val="22"/>
        </w:rPr>
        <w:t>t</w:t>
      </w:r>
      <w:r w:rsidRPr="00A004B7">
        <w:rPr>
          <w:i/>
          <w:szCs w:val="22"/>
        </w:rPr>
        <w:t>ype, 1999 – 2020</w:t>
      </w:r>
      <w:bookmarkEnd w:id="97"/>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843"/>
        <w:gridCol w:w="2268"/>
        <w:gridCol w:w="2551"/>
      </w:tblGrid>
      <w:tr w:rsidR="00A004B7" w:rsidRPr="00923150" w14:paraId="654D5633" w14:textId="77777777" w:rsidTr="00A004B7">
        <w:trPr>
          <w:trHeight w:val="456"/>
        </w:trPr>
        <w:tc>
          <w:tcPr>
            <w:tcW w:w="2977" w:type="dxa"/>
            <w:tcBorders>
              <w:top w:val="single" w:sz="4" w:space="0" w:color="000000"/>
              <w:right w:val="single" w:sz="4" w:space="0" w:color="FFFFFF" w:themeColor="background1"/>
            </w:tcBorders>
            <w:shd w:val="clear" w:color="auto" w:fill="000000"/>
          </w:tcPr>
          <w:p w14:paraId="28AF54E2" w14:textId="7954AE1A" w:rsidR="00A004B7" w:rsidRPr="003E19E1" w:rsidRDefault="00A004B7" w:rsidP="00A004B7">
            <w:pPr>
              <w:spacing w:before="60" w:after="60"/>
              <w:jc w:val="left"/>
            </w:pPr>
            <w:r>
              <w:t xml:space="preserve"> </w:t>
            </w:r>
          </w:p>
        </w:tc>
        <w:tc>
          <w:tcPr>
            <w:tcW w:w="1843" w:type="dxa"/>
            <w:tcBorders>
              <w:top w:val="single" w:sz="4" w:space="0" w:color="000000"/>
              <w:left w:val="single" w:sz="4" w:space="0" w:color="FFFFFF" w:themeColor="background1"/>
              <w:right w:val="single" w:sz="4" w:space="0" w:color="FFFFFF" w:themeColor="background1"/>
            </w:tcBorders>
            <w:shd w:val="clear" w:color="auto" w:fill="000000"/>
          </w:tcPr>
          <w:p w14:paraId="695826CF" w14:textId="6F113057" w:rsidR="00A004B7" w:rsidRPr="003E19E1" w:rsidRDefault="00A004B7" w:rsidP="007E168A">
            <w:pPr>
              <w:spacing w:before="60" w:after="60"/>
              <w:jc w:val="center"/>
            </w:pPr>
            <w:r w:rsidRPr="00E33F1B">
              <w:t>1999</w:t>
            </w:r>
            <w:r>
              <w:t xml:space="preserve">                 (MJ/m</w:t>
            </w:r>
            <w:r w:rsidRPr="00A004B7">
              <w:rPr>
                <w:vertAlign w:val="superscript"/>
              </w:rPr>
              <w:t>2</w:t>
            </w:r>
            <w:r>
              <w:t>/year)</w:t>
            </w:r>
          </w:p>
        </w:tc>
        <w:tc>
          <w:tcPr>
            <w:tcW w:w="2268" w:type="dxa"/>
            <w:tcBorders>
              <w:top w:val="single" w:sz="4" w:space="0" w:color="000000"/>
              <w:left w:val="single" w:sz="4" w:space="0" w:color="FFFFFF" w:themeColor="background1"/>
              <w:right w:val="single" w:sz="4" w:space="0" w:color="FFFFFF" w:themeColor="background1"/>
            </w:tcBorders>
            <w:shd w:val="clear" w:color="auto" w:fill="000000"/>
          </w:tcPr>
          <w:p w14:paraId="75D5C2B1" w14:textId="746912E6" w:rsidR="00A004B7" w:rsidRPr="003E19E1" w:rsidRDefault="00A004B7" w:rsidP="007E168A">
            <w:pPr>
              <w:spacing w:before="60" w:after="60"/>
              <w:jc w:val="center"/>
            </w:pPr>
            <w:r w:rsidRPr="00E33F1B">
              <w:t>2009</w:t>
            </w:r>
            <w:r>
              <w:t xml:space="preserve">                       (MJ/m</w:t>
            </w:r>
            <w:r w:rsidRPr="00A004B7">
              <w:rPr>
                <w:vertAlign w:val="superscript"/>
              </w:rPr>
              <w:t>2</w:t>
            </w:r>
            <w:r>
              <w:t>/year)</w:t>
            </w:r>
          </w:p>
        </w:tc>
        <w:tc>
          <w:tcPr>
            <w:tcW w:w="2551" w:type="dxa"/>
            <w:tcBorders>
              <w:top w:val="single" w:sz="4" w:space="0" w:color="000000"/>
              <w:left w:val="single" w:sz="4" w:space="0" w:color="FFFFFF" w:themeColor="background1"/>
            </w:tcBorders>
            <w:shd w:val="clear" w:color="auto" w:fill="000000"/>
          </w:tcPr>
          <w:p w14:paraId="249AE4EE" w14:textId="6C45F388" w:rsidR="00A004B7" w:rsidRPr="003F2CDC" w:rsidRDefault="00A004B7" w:rsidP="00A004B7">
            <w:pPr>
              <w:spacing w:before="60" w:after="60"/>
              <w:jc w:val="center"/>
            </w:pPr>
            <w:r w:rsidRPr="00E33F1B">
              <w:t>2020</w:t>
            </w:r>
            <w:r>
              <w:t xml:space="preserve">    </w:t>
            </w:r>
            <w:r w:rsidR="007E168A">
              <w:t xml:space="preserve">                           (MJ/</w:t>
            </w:r>
            <w:r>
              <w:t>m</w:t>
            </w:r>
            <w:r w:rsidRPr="00A004B7">
              <w:rPr>
                <w:vertAlign w:val="superscript"/>
              </w:rPr>
              <w:t>2</w:t>
            </w:r>
            <w:r>
              <w:t>/year)</w:t>
            </w:r>
          </w:p>
        </w:tc>
      </w:tr>
      <w:tr w:rsidR="00A004B7" w:rsidRPr="00923150" w14:paraId="18F5EEEA" w14:textId="77777777" w:rsidTr="006815E8">
        <w:trPr>
          <w:trHeight w:val="456"/>
        </w:trPr>
        <w:tc>
          <w:tcPr>
            <w:tcW w:w="2977" w:type="dxa"/>
            <w:tcBorders>
              <w:top w:val="single" w:sz="4" w:space="0" w:color="000000"/>
            </w:tcBorders>
            <w:vAlign w:val="center"/>
          </w:tcPr>
          <w:p w14:paraId="62F0D744" w14:textId="579A3725" w:rsidR="00A004B7" w:rsidRDefault="00A004B7" w:rsidP="00A004B7">
            <w:pPr>
              <w:spacing w:before="60" w:after="60"/>
              <w:jc w:val="left"/>
              <w:rPr>
                <w:sz w:val="20"/>
              </w:rPr>
            </w:pPr>
            <w:r w:rsidRPr="00F83520">
              <w:t>Office - Tenancies</w:t>
            </w:r>
          </w:p>
        </w:tc>
        <w:tc>
          <w:tcPr>
            <w:tcW w:w="1843" w:type="dxa"/>
            <w:tcBorders>
              <w:top w:val="single" w:sz="4" w:space="0" w:color="000000"/>
            </w:tcBorders>
            <w:vAlign w:val="center"/>
          </w:tcPr>
          <w:p w14:paraId="4C7F2564" w14:textId="5A431B7F" w:rsidR="00A004B7" w:rsidRDefault="00A004B7" w:rsidP="00A004B7">
            <w:pPr>
              <w:spacing w:before="60" w:after="60"/>
              <w:jc w:val="center"/>
              <w:rPr>
                <w:sz w:val="20"/>
              </w:rPr>
            </w:pPr>
            <w:r w:rsidRPr="00F83520">
              <w:t>400</w:t>
            </w:r>
          </w:p>
        </w:tc>
        <w:tc>
          <w:tcPr>
            <w:tcW w:w="2268" w:type="dxa"/>
            <w:tcBorders>
              <w:top w:val="single" w:sz="4" w:space="0" w:color="000000"/>
            </w:tcBorders>
            <w:vAlign w:val="center"/>
          </w:tcPr>
          <w:p w14:paraId="44CA576D" w14:textId="408FAFB3" w:rsidR="00A004B7" w:rsidRPr="008343EF" w:rsidRDefault="00A004B7" w:rsidP="00A004B7">
            <w:pPr>
              <w:spacing w:before="60" w:after="60"/>
              <w:jc w:val="center"/>
              <w:rPr>
                <w:sz w:val="20"/>
              </w:rPr>
            </w:pPr>
            <w:r w:rsidRPr="00F83520">
              <w:t>385</w:t>
            </w:r>
          </w:p>
        </w:tc>
        <w:tc>
          <w:tcPr>
            <w:tcW w:w="2551" w:type="dxa"/>
            <w:tcBorders>
              <w:top w:val="single" w:sz="4" w:space="0" w:color="000000"/>
            </w:tcBorders>
            <w:vAlign w:val="center"/>
          </w:tcPr>
          <w:p w14:paraId="2188D23B" w14:textId="30514E46" w:rsidR="00A004B7" w:rsidRPr="00923150" w:rsidRDefault="00A004B7" w:rsidP="00A004B7">
            <w:pPr>
              <w:spacing w:before="60" w:after="60"/>
              <w:jc w:val="center"/>
              <w:rPr>
                <w:sz w:val="20"/>
              </w:rPr>
            </w:pPr>
            <w:r w:rsidRPr="00F83520">
              <w:t>368</w:t>
            </w:r>
          </w:p>
        </w:tc>
      </w:tr>
      <w:tr w:rsidR="00A004B7" w:rsidRPr="00923150" w14:paraId="0347DD40" w14:textId="77777777" w:rsidTr="006815E8">
        <w:trPr>
          <w:trHeight w:val="456"/>
        </w:trPr>
        <w:tc>
          <w:tcPr>
            <w:tcW w:w="2977" w:type="dxa"/>
            <w:tcBorders>
              <w:top w:val="single" w:sz="4" w:space="0" w:color="000000"/>
            </w:tcBorders>
            <w:vAlign w:val="center"/>
          </w:tcPr>
          <w:p w14:paraId="2DDB3371" w14:textId="0E672A17" w:rsidR="00A004B7" w:rsidRPr="00481C6A" w:rsidRDefault="00A004B7" w:rsidP="00A004B7">
            <w:pPr>
              <w:spacing w:before="60" w:after="60"/>
              <w:jc w:val="left"/>
            </w:pPr>
            <w:r w:rsidRPr="00F83520">
              <w:t>Office - Base Buildings</w:t>
            </w:r>
          </w:p>
        </w:tc>
        <w:tc>
          <w:tcPr>
            <w:tcW w:w="1843" w:type="dxa"/>
            <w:tcBorders>
              <w:top w:val="single" w:sz="4" w:space="0" w:color="000000"/>
            </w:tcBorders>
            <w:vAlign w:val="center"/>
          </w:tcPr>
          <w:p w14:paraId="4D5144E0" w14:textId="276FC6B0" w:rsidR="00A004B7" w:rsidRPr="007A225B" w:rsidRDefault="00A004B7" w:rsidP="00A004B7">
            <w:pPr>
              <w:spacing w:before="60" w:after="60"/>
              <w:jc w:val="center"/>
            </w:pPr>
            <w:r w:rsidRPr="00F83520">
              <w:t>594</w:t>
            </w:r>
          </w:p>
        </w:tc>
        <w:tc>
          <w:tcPr>
            <w:tcW w:w="2268" w:type="dxa"/>
            <w:tcBorders>
              <w:top w:val="single" w:sz="4" w:space="0" w:color="000000"/>
            </w:tcBorders>
            <w:vAlign w:val="center"/>
          </w:tcPr>
          <w:p w14:paraId="41CC2283" w14:textId="7CA37F12" w:rsidR="00A004B7" w:rsidRPr="00D22FDF" w:rsidRDefault="00A004B7" w:rsidP="00A004B7">
            <w:pPr>
              <w:spacing w:before="60" w:after="60"/>
              <w:jc w:val="center"/>
            </w:pPr>
            <w:r w:rsidRPr="00F83520">
              <w:t>532</w:t>
            </w:r>
          </w:p>
        </w:tc>
        <w:tc>
          <w:tcPr>
            <w:tcW w:w="2551" w:type="dxa"/>
            <w:tcBorders>
              <w:top w:val="single" w:sz="4" w:space="0" w:color="000000"/>
            </w:tcBorders>
            <w:vAlign w:val="center"/>
          </w:tcPr>
          <w:p w14:paraId="4F54CCF6" w14:textId="161FEF23" w:rsidR="00A004B7" w:rsidRPr="00F515AE" w:rsidRDefault="00A004B7" w:rsidP="00A004B7">
            <w:pPr>
              <w:spacing w:before="60" w:after="60"/>
              <w:jc w:val="center"/>
            </w:pPr>
            <w:r w:rsidRPr="00F83520">
              <w:t>465</w:t>
            </w:r>
          </w:p>
        </w:tc>
      </w:tr>
      <w:tr w:rsidR="00A004B7" w:rsidRPr="00923150" w14:paraId="73F5846A" w14:textId="77777777" w:rsidTr="006815E8">
        <w:trPr>
          <w:trHeight w:val="456"/>
        </w:trPr>
        <w:tc>
          <w:tcPr>
            <w:tcW w:w="2977" w:type="dxa"/>
            <w:tcBorders>
              <w:top w:val="single" w:sz="4" w:space="0" w:color="000000"/>
            </w:tcBorders>
            <w:vAlign w:val="center"/>
          </w:tcPr>
          <w:p w14:paraId="01D76E41" w14:textId="6225C3C4" w:rsidR="00A004B7" w:rsidRPr="00723E9F" w:rsidRDefault="00A004B7" w:rsidP="00A004B7">
            <w:pPr>
              <w:spacing w:before="60" w:after="60"/>
              <w:jc w:val="left"/>
            </w:pPr>
            <w:r w:rsidRPr="00F83520">
              <w:t>Office – Whole Buildings</w:t>
            </w:r>
          </w:p>
        </w:tc>
        <w:tc>
          <w:tcPr>
            <w:tcW w:w="1843" w:type="dxa"/>
            <w:tcBorders>
              <w:top w:val="single" w:sz="4" w:space="0" w:color="000000"/>
            </w:tcBorders>
            <w:vAlign w:val="center"/>
          </w:tcPr>
          <w:p w14:paraId="40AD68F6" w14:textId="5DD41CEE" w:rsidR="00A004B7" w:rsidRPr="00A25241" w:rsidRDefault="00A004B7" w:rsidP="00A004B7">
            <w:pPr>
              <w:spacing w:before="60" w:after="60"/>
              <w:jc w:val="center"/>
            </w:pPr>
            <w:r w:rsidRPr="00F83520">
              <w:t>994</w:t>
            </w:r>
          </w:p>
        </w:tc>
        <w:tc>
          <w:tcPr>
            <w:tcW w:w="2268" w:type="dxa"/>
            <w:tcBorders>
              <w:top w:val="single" w:sz="4" w:space="0" w:color="000000"/>
            </w:tcBorders>
            <w:vAlign w:val="center"/>
          </w:tcPr>
          <w:p w14:paraId="57A08BCC" w14:textId="2D66B16D" w:rsidR="00A004B7" w:rsidRPr="00A25241" w:rsidRDefault="00A004B7" w:rsidP="00A004B7">
            <w:pPr>
              <w:spacing w:before="60" w:after="60"/>
              <w:jc w:val="center"/>
            </w:pPr>
            <w:r w:rsidRPr="00F83520">
              <w:t>917</w:t>
            </w:r>
          </w:p>
        </w:tc>
        <w:tc>
          <w:tcPr>
            <w:tcW w:w="2551" w:type="dxa"/>
            <w:tcBorders>
              <w:top w:val="single" w:sz="4" w:space="0" w:color="000000"/>
            </w:tcBorders>
            <w:vAlign w:val="center"/>
          </w:tcPr>
          <w:p w14:paraId="451FE734" w14:textId="57B169B4" w:rsidR="00A004B7" w:rsidRPr="00A25241" w:rsidRDefault="00A004B7" w:rsidP="00A004B7">
            <w:pPr>
              <w:spacing w:before="60" w:after="60"/>
              <w:jc w:val="center"/>
            </w:pPr>
            <w:r w:rsidRPr="00F83520">
              <w:t>833</w:t>
            </w:r>
          </w:p>
        </w:tc>
      </w:tr>
      <w:tr w:rsidR="00A004B7" w:rsidRPr="00923150" w14:paraId="08543276" w14:textId="77777777" w:rsidTr="006815E8">
        <w:trPr>
          <w:trHeight w:val="456"/>
        </w:trPr>
        <w:tc>
          <w:tcPr>
            <w:tcW w:w="2977" w:type="dxa"/>
            <w:tcBorders>
              <w:top w:val="single" w:sz="4" w:space="0" w:color="000000"/>
            </w:tcBorders>
            <w:vAlign w:val="center"/>
          </w:tcPr>
          <w:p w14:paraId="2CE5BE23" w14:textId="4C3106B1" w:rsidR="00A004B7" w:rsidRPr="00723E9F" w:rsidRDefault="00A004B7" w:rsidP="00A004B7">
            <w:pPr>
              <w:spacing w:before="60" w:after="60"/>
              <w:jc w:val="left"/>
            </w:pPr>
            <w:r w:rsidRPr="00F83520">
              <w:t>Hotels</w:t>
            </w:r>
          </w:p>
        </w:tc>
        <w:tc>
          <w:tcPr>
            <w:tcW w:w="1843" w:type="dxa"/>
            <w:tcBorders>
              <w:top w:val="single" w:sz="4" w:space="0" w:color="000000"/>
            </w:tcBorders>
            <w:vAlign w:val="center"/>
          </w:tcPr>
          <w:p w14:paraId="04BC0049" w14:textId="68782E4D" w:rsidR="00A004B7" w:rsidRPr="00A25241" w:rsidRDefault="00A004B7" w:rsidP="00A004B7">
            <w:pPr>
              <w:spacing w:before="60" w:after="60"/>
              <w:jc w:val="center"/>
            </w:pPr>
            <w:r w:rsidRPr="00F83520">
              <w:t>1</w:t>
            </w:r>
            <w:r>
              <w:t>,</w:t>
            </w:r>
            <w:r w:rsidRPr="00F83520">
              <w:t>209</w:t>
            </w:r>
          </w:p>
        </w:tc>
        <w:tc>
          <w:tcPr>
            <w:tcW w:w="2268" w:type="dxa"/>
            <w:tcBorders>
              <w:top w:val="single" w:sz="4" w:space="0" w:color="000000"/>
            </w:tcBorders>
            <w:vAlign w:val="center"/>
          </w:tcPr>
          <w:p w14:paraId="3B63B382" w14:textId="659531DD" w:rsidR="00A004B7" w:rsidRPr="00A25241" w:rsidRDefault="00A004B7" w:rsidP="00A004B7">
            <w:pPr>
              <w:spacing w:before="60" w:after="60"/>
              <w:jc w:val="center"/>
            </w:pPr>
            <w:r w:rsidRPr="00F83520">
              <w:t>1</w:t>
            </w:r>
            <w:r>
              <w:t>,</w:t>
            </w:r>
            <w:r w:rsidRPr="00F83520">
              <w:t>420</w:t>
            </w:r>
          </w:p>
        </w:tc>
        <w:tc>
          <w:tcPr>
            <w:tcW w:w="2551" w:type="dxa"/>
            <w:tcBorders>
              <w:top w:val="single" w:sz="4" w:space="0" w:color="000000"/>
            </w:tcBorders>
            <w:vAlign w:val="center"/>
          </w:tcPr>
          <w:p w14:paraId="7AEA4489" w14:textId="27A6C8B9" w:rsidR="00A004B7" w:rsidRPr="00A25241" w:rsidRDefault="00A004B7" w:rsidP="00A004B7">
            <w:pPr>
              <w:spacing w:before="60" w:after="60"/>
              <w:jc w:val="center"/>
            </w:pPr>
            <w:r w:rsidRPr="00F83520">
              <w:t>1</w:t>
            </w:r>
            <w:r>
              <w:t>,</w:t>
            </w:r>
            <w:r w:rsidRPr="00F83520">
              <w:t>652</w:t>
            </w:r>
          </w:p>
        </w:tc>
      </w:tr>
      <w:tr w:rsidR="00A004B7" w:rsidRPr="00923150" w14:paraId="00E80548" w14:textId="77777777" w:rsidTr="006815E8">
        <w:trPr>
          <w:trHeight w:val="456"/>
        </w:trPr>
        <w:tc>
          <w:tcPr>
            <w:tcW w:w="2977" w:type="dxa"/>
            <w:tcBorders>
              <w:top w:val="single" w:sz="4" w:space="0" w:color="000000"/>
            </w:tcBorders>
            <w:vAlign w:val="center"/>
          </w:tcPr>
          <w:p w14:paraId="2120818E" w14:textId="41F49C82" w:rsidR="00A004B7" w:rsidRPr="00723E9F" w:rsidRDefault="00A004B7" w:rsidP="00A004B7">
            <w:pPr>
              <w:spacing w:before="60" w:after="60"/>
              <w:jc w:val="left"/>
            </w:pPr>
            <w:r w:rsidRPr="00F83520">
              <w:t>Shopping Centres - Base Buildings</w:t>
            </w:r>
            <w:r>
              <w:t xml:space="preserve"> </w:t>
            </w:r>
            <w:r w:rsidRPr="00690A68">
              <w:rPr>
                <w:sz w:val="20"/>
                <w:szCs w:val="20"/>
                <w:vertAlign w:val="superscript"/>
              </w:rPr>
              <w:t>(1)</w:t>
            </w:r>
          </w:p>
        </w:tc>
        <w:tc>
          <w:tcPr>
            <w:tcW w:w="1843" w:type="dxa"/>
            <w:tcBorders>
              <w:top w:val="single" w:sz="4" w:space="0" w:color="000000"/>
            </w:tcBorders>
            <w:vAlign w:val="center"/>
          </w:tcPr>
          <w:p w14:paraId="7716F043" w14:textId="252F8892" w:rsidR="00A004B7" w:rsidRPr="00A25241" w:rsidRDefault="00A004B7" w:rsidP="00A004B7">
            <w:pPr>
              <w:spacing w:before="60" w:after="60"/>
              <w:jc w:val="center"/>
            </w:pPr>
            <w:r w:rsidRPr="00F83520">
              <w:t>403</w:t>
            </w:r>
          </w:p>
        </w:tc>
        <w:tc>
          <w:tcPr>
            <w:tcW w:w="2268" w:type="dxa"/>
            <w:tcBorders>
              <w:top w:val="single" w:sz="4" w:space="0" w:color="000000"/>
            </w:tcBorders>
            <w:vAlign w:val="center"/>
          </w:tcPr>
          <w:p w14:paraId="460C25B6" w14:textId="2B9713D2" w:rsidR="00A004B7" w:rsidRPr="00A25241" w:rsidRDefault="00A004B7" w:rsidP="00A004B7">
            <w:pPr>
              <w:spacing w:before="60" w:after="60"/>
              <w:jc w:val="center"/>
            </w:pPr>
            <w:r w:rsidRPr="00F83520">
              <w:t>403</w:t>
            </w:r>
          </w:p>
        </w:tc>
        <w:tc>
          <w:tcPr>
            <w:tcW w:w="2551" w:type="dxa"/>
            <w:tcBorders>
              <w:top w:val="single" w:sz="4" w:space="0" w:color="000000"/>
            </w:tcBorders>
            <w:vAlign w:val="center"/>
          </w:tcPr>
          <w:p w14:paraId="5B0F9C32" w14:textId="5DE01D67" w:rsidR="00A004B7" w:rsidRPr="00A25241" w:rsidRDefault="00A004B7" w:rsidP="00A004B7">
            <w:pPr>
              <w:spacing w:before="60" w:after="60"/>
              <w:jc w:val="center"/>
            </w:pPr>
            <w:r w:rsidRPr="00F83520">
              <w:t>403</w:t>
            </w:r>
          </w:p>
        </w:tc>
      </w:tr>
      <w:tr w:rsidR="00A004B7" w:rsidRPr="00923150" w14:paraId="09FF341F" w14:textId="77777777" w:rsidTr="006815E8">
        <w:trPr>
          <w:trHeight w:val="456"/>
        </w:trPr>
        <w:tc>
          <w:tcPr>
            <w:tcW w:w="2977" w:type="dxa"/>
            <w:tcBorders>
              <w:top w:val="single" w:sz="4" w:space="0" w:color="000000"/>
            </w:tcBorders>
            <w:vAlign w:val="center"/>
          </w:tcPr>
          <w:p w14:paraId="0FF71D78" w14:textId="0E62DC84" w:rsidR="00A004B7" w:rsidRPr="00723E9F" w:rsidRDefault="00A004B7" w:rsidP="00A004B7">
            <w:pPr>
              <w:spacing w:before="60" w:after="60"/>
              <w:jc w:val="left"/>
            </w:pPr>
            <w:r w:rsidRPr="00F83520">
              <w:t xml:space="preserve">Shopping Centres </w:t>
            </w:r>
            <w:r>
              <w:t>–</w:t>
            </w:r>
            <w:r w:rsidRPr="00F83520">
              <w:t xml:space="preserve"> Tenancy</w:t>
            </w:r>
            <w:r>
              <w:t xml:space="preserve"> </w:t>
            </w:r>
            <w:r w:rsidRPr="00690A68">
              <w:rPr>
                <w:sz w:val="20"/>
                <w:szCs w:val="20"/>
                <w:vertAlign w:val="superscript"/>
              </w:rPr>
              <w:t>(1)</w:t>
            </w:r>
          </w:p>
        </w:tc>
        <w:tc>
          <w:tcPr>
            <w:tcW w:w="1843" w:type="dxa"/>
            <w:tcBorders>
              <w:top w:val="single" w:sz="4" w:space="0" w:color="000000"/>
            </w:tcBorders>
            <w:vAlign w:val="center"/>
          </w:tcPr>
          <w:p w14:paraId="16322C4F" w14:textId="77E8B93C" w:rsidR="00A004B7" w:rsidRPr="00A25241" w:rsidRDefault="00A004B7" w:rsidP="00A004B7">
            <w:pPr>
              <w:spacing w:before="60" w:after="60"/>
              <w:jc w:val="center"/>
            </w:pPr>
            <w:r w:rsidRPr="00F83520">
              <w:t>-</w:t>
            </w:r>
          </w:p>
        </w:tc>
        <w:tc>
          <w:tcPr>
            <w:tcW w:w="2268" w:type="dxa"/>
            <w:tcBorders>
              <w:top w:val="single" w:sz="4" w:space="0" w:color="000000"/>
            </w:tcBorders>
            <w:vAlign w:val="center"/>
          </w:tcPr>
          <w:p w14:paraId="1DDA9084" w14:textId="7761CDBF" w:rsidR="00A004B7" w:rsidRPr="00A25241" w:rsidRDefault="00A004B7" w:rsidP="00A004B7">
            <w:pPr>
              <w:spacing w:before="60" w:after="60"/>
              <w:jc w:val="center"/>
            </w:pPr>
            <w:r w:rsidRPr="00F83520">
              <w:t>1</w:t>
            </w:r>
            <w:r>
              <w:t>,</w:t>
            </w:r>
            <w:r w:rsidRPr="00F83520">
              <w:t>202</w:t>
            </w:r>
          </w:p>
        </w:tc>
        <w:tc>
          <w:tcPr>
            <w:tcW w:w="2551" w:type="dxa"/>
            <w:tcBorders>
              <w:top w:val="single" w:sz="4" w:space="0" w:color="000000"/>
            </w:tcBorders>
            <w:vAlign w:val="center"/>
          </w:tcPr>
          <w:p w14:paraId="64E6EC2C" w14:textId="446F2817" w:rsidR="00A004B7" w:rsidRPr="00A25241" w:rsidRDefault="00A004B7" w:rsidP="00A004B7">
            <w:pPr>
              <w:spacing w:before="60" w:after="60"/>
              <w:jc w:val="center"/>
            </w:pPr>
            <w:r w:rsidRPr="00F83520">
              <w:t>1</w:t>
            </w:r>
            <w:r>
              <w:t>,</w:t>
            </w:r>
            <w:r w:rsidRPr="00F83520">
              <w:t>202</w:t>
            </w:r>
          </w:p>
        </w:tc>
      </w:tr>
      <w:tr w:rsidR="00A004B7" w:rsidRPr="00923150" w14:paraId="7E38497B" w14:textId="77777777" w:rsidTr="006815E8">
        <w:trPr>
          <w:trHeight w:val="456"/>
        </w:trPr>
        <w:tc>
          <w:tcPr>
            <w:tcW w:w="2977" w:type="dxa"/>
            <w:tcBorders>
              <w:top w:val="single" w:sz="4" w:space="0" w:color="000000"/>
            </w:tcBorders>
            <w:vAlign w:val="center"/>
          </w:tcPr>
          <w:p w14:paraId="1E7F3E77" w14:textId="18270622" w:rsidR="00A004B7" w:rsidRPr="00723E9F" w:rsidRDefault="00A004B7" w:rsidP="00A004B7">
            <w:pPr>
              <w:spacing w:before="60" w:after="60"/>
              <w:jc w:val="left"/>
            </w:pPr>
            <w:r w:rsidRPr="00F83520">
              <w:t>Shopping Centres - Base +Tenancy</w:t>
            </w:r>
            <w:r>
              <w:t xml:space="preserve"> </w:t>
            </w:r>
            <w:r w:rsidRPr="00690A68">
              <w:rPr>
                <w:sz w:val="20"/>
                <w:szCs w:val="20"/>
                <w:vertAlign w:val="superscript"/>
              </w:rPr>
              <w:t>(1)</w:t>
            </w:r>
          </w:p>
        </w:tc>
        <w:tc>
          <w:tcPr>
            <w:tcW w:w="1843" w:type="dxa"/>
            <w:tcBorders>
              <w:top w:val="single" w:sz="4" w:space="0" w:color="000000"/>
            </w:tcBorders>
            <w:vAlign w:val="center"/>
          </w:tcPr>
          <w:p w14:paraId="128C0D5C" w14:textId="0CDD6D6A" w:rsidR="00A004B7" w:rsidRPr="00A25241" w:rsidRDefault="00A004B7" w:rsidP="00A004B7">
            <w:pPr>
              <w:spacing w:before="60" w:after="60"/>
              <w:jc w:val="center"/>
            </w:pPr>
            <w:r w:rsidRPr="00F83520">
              <w:t>-</w:t>
            </w:r>
          </w:p>
        </w:tc>
        <w:tc>
          <w:tcPr>
            <w:tcW w:w="2268" w:type="dxa"/>
            <w:tcBorders>
              <w:top w:val="single" w:sz="4" w:space="0" w:color="000000"/>
            </w:tcBorders>
            <w:vAlign w:val="center"/>
          </w:tcPr>
          <w:p w14:paraId="21E949C1" w14:textId="7E1F1EF4" w:rsidR="00A004B7" w:rsidRPr="00A25241" w:rsidRDefault="00A004B7" w:rsidP="00A004B7">
            <w:pPr>
              <w:spacing w:before="60" w:after="60"/>
              <w:jc w:val="center"/>
            </w:pPr>
            <w:r w:rsidRPr="00F83520">
              <w:t>1</w:t>
            </w:r>
            <w:r>
              <w:t>,</w:t>
            </w:r>
            <w:r w:rsidRPr="00F83520">
              <w:t>605</w:t>
            </w:r>
          </w:p>
        </w:tc>
        <w:tc>
          <w:tcPr>
            <w:tcW w:w="2551" w:type="dxa"/>
            <w:tcBorders>
              <w:top w:val="single" w:sz="4" w:space="0" w:color="000000"/>
            </w:tcBorders>
            <w:vAlign w:val="center"/>
          </w:tcPr>
          <w:p w14:paraId="0DBF47F5" w14:textId="0AF37F8A" w:rsidR="00A004B7" w:rsidRPr="00A25241" w:rsidRDefault="00A004B7" w:rsidP="00A004B7">
            <w:pPr>
              <w:spacing w:before="60" w:after="60"/>
              <w:jc w:val="center"/>
            </w:pPr>
            <w:r w:rsidRPr="00F83520">
              <w:t>1</w:t>
            </w:r>
            <w:r>
              <w:t>,</w:t>
            </w:r>
            <w:r w:rsidRPr="00F83520">
              <w:t>605</w:t>
            </w:r>
          </w:p>
        </w:tc>
      </w:tr>
      <w:tr w:rsidR="00A004B7" w:rsidRPr="00923150" w14:paraId="1939E41A" w14:textId="77777777" w:rsidTr="006815E8">
        <w:trPr>
          <w:trHeight w:val="456"/>
        </w:trPr>
        <w:tc>
          <w:tcPr>
            <w:tcW w:w="2977" w:type="dxa"/>
            <w:tcBorders>
              <w:top w:val="single" w:sz="4" w:space="0" w:color="000000"/>
            </w:tcBorders>
            <w:vAlign w:val="center"/>
          </w:tcPr>
          <w:p w14:paraId="5067FED3" w14:textId="56D0F4ED" w:rsidR="00A004B7" w:rsidRPr="006815E8" w:rsidRDefault="00A004B7" w:rsidP="00A004B7">
            <w:pPr>
              <w:spacing w:before="60" w:beforeAutospacing="1" w:after="60" w:afterAutospacing="1"/>
              <w:jc w:val="left"/>
              <w:rPr>
                <w:b/>
              </w:rPr>
            </w:pPr>
            <w:r w:rsidRPr="006815E8">
              <w:rPr>
                <w:b/>
              </w:rPr>
              <w:t xml:space="preserve">Supermarkets (Whole) </w:t>
            </w:r>
            <w:r w:rsidRPr="006815E8">
              <w:rPr>
                <w:b/>
                <w:sz w:val="20"/>
                <w:szCs w:val="20"/>
                <w:vertAlign w:val="superscript"/>
              </w:rPr>
              <w:t>(1)</w:t>
            </w:r>
          </w:p>
        </w:tc>
        <w:tc>
          <w:tcPr>
            <w:tcW w:w="1843" w:type="dxa"/>
            <w:tcBorders>
              <w:top w:val="single" w:sz="4" w:space="0" w:color="000000"/>
            </w:tcBorders>
            <w:vAlign w:val="center"/>
          </w:tcPr>
          <w:p w14:paraId="40A7CA55" w14:textId="57A72561" w:rsidR="00A004B7" w:rsidRPr="006815E8" w:rsidRDefault="00A004B7" w:rsidP="00A004B7">
            <w:pPr>
              <w:spacing w:before="60" w:beforeAutospacing="1" w:after="60" w:afterAutospacing="1"/>
              <w:jc w:val="center"/>
              <w:rPr>
                <w:b/>
              </w:rPr>
            </w:pPr>
            <w:r w:rsidRPr="006815E8">
              <w:rPr>
                <w:b/>
              </w:rPr>
              <w:t>-</w:t>
            </w:r>
          </w:p>
        </w:tc>
        <w:tc>
          <w:tcPr>
            <w:tcW w:w="2268" w:type="dxa"/>
            <w:tcBorders>
              <w:top w:val="single" w:sz="4" w:space="0" w:color="000000"/>
            </w:tcBorders>
            <w:vAlign w:val="center"/>
          </w:tcPr>
          <w:p w14:paraId="0009E504" w14:textId="3A707F37" w:rsidR="00A004B7" w:rsidRPr="006815E8" w:rsidRDefault="00A004B7" w:rsidP="00A004B7">
            <w:pPr>
              <w:spacing w:before="60" w:beforeAutospacing="1" w:after="60" w:afterAutospacing="1"/>
              <w:jc w:val="center"/>
              <w:rPr>
                <w:b/>
              </w:rPr>
            </w:pPr>
            <w:r w:rsidRPr="006815E8">
              <w:rPr>
                <w:b/>
              </w:rPr>
              <w:t>3,375</w:t>
            </w:r>
          </w:p>
        </w:tc>
        <w:tc>
          <w:tcPr>
            <w:tcW w:w="2551" w:type="dxa"/>
            <w:tcBorders>
              <w:top w:val="single" w:sz="4" w:space="0" w:color="000000"/>
            </w:tcBorders>
            <w:vAlign w:val="center"/>
          </w:tcPr>
          <w:p w14:paraId="16A37E88" w14:textId="08CD2FA9" w:rsidR="00A004B7" w:rsidRPr="006815E8" w:rsidRDefault="00A004B7" w:rsidP="00A004B7">
            <w:pPr>
              <w:spacing w:before="60" w:beforeAutospacing="1" w:after="60" w:afterAutospacing="1"/>
              <w:jc w:val="center"/>
              <w:rPr>
                <w:b/>
              </w:rPr>
            </w:pPr>
            <w:r w:rsidRPr="006815E8">
              <w:rPr>
                <w:b/>
              </w:rPr>
              <w:t>3,375</w:t>
            </w:r>
          </w:p>
        </w:tc>
      </w:tr>
      <w:tr w:rsidR="00A004B7" w:rsidRPr="00923150" w14:paraId="4CF36AF8" w14:textId="77777777" w:rsidTr="006815E8">
        <w:trPr>
          <w:trHeight w:val="456"/>
        </w:trPr>
        <w:tc>
          <w:tcPr>
            <w:tcW w:w="2977" w:type="dxa"/>
            <w:tcBorders>
              <w:top w:val="single" w:sz="4" w:space="0" w:color="000000"/>
            </w:tcBorders>
            <w:vAlign w:val="center"/>
          </w:tcPr>
          <w:p w14:paraId="76FF9898" w14:textId="74C6323D" w:rsidR="00A004B7" w:rsidRDefault="00A004B7" w:rsidP="00A004B7">
            <w:pPr>
              <w:spacing w:before="60" w:after="60"/>
              <w:jc w:val="left"/>
              <w:rPr>
                <w:sz w:val="20"/>
              </w:rPr>
            </w:pPr>
            <w:r w:rsidRPr="00F83520">
              <w:t>Hospitals</w:t>
            </w:r>
          </w:p>
        </w:tc>
        <w:tc>
          <w:tcPr>
            <w:tcW w:w="1843" w:type="dxa"/>
            <w:tcBorders>
              <w:top w:val="single" w:sz="4" w:space="0" w:color="000000"/>
            </w:tcBorders>
            <w:vAlign w:val="center"/>
          </w:tcPr>
          <w:p w14:paraId="468DEFD7" w14:textId="42AA0F3B" w:rsidR="00A004B7" w:rsidRDefault="00A004B7" w:rsidP="00A004B7">
            <w:pPr>
              <w:spacing w:before="60" w:after="60"/>
              <w:jc w:val="center"/>
              <w:rPr>
                <w:sz w:val="20"/>
              </w:rPr>
            </w:pPr>
            <w:r w:rsidRPr="00F83520">
              <w:t>1</w:t>
            </w:r>
            <w:r>
              <w:t>,</w:t>
            </w:r>
            <w:r w:rsidRPr="00F83520">
              <w:t>420</w:t>
            </w:r>
          </w:p>
        </w:tc>
        <w:tc>
          <w:tcPr>
            <w:tcW w:w="2268" w:type="dxa"/>
            <w:tcBorders>
              <w:top w:val="single" w:sz="4" w:space="0" w:color="000000"/>
            </w:tcBorders>
            <w:vAlign w:val="center"/>
          </w:tcPr>
          <w:p w14:paraId="4E36D5CF" w14:textId="1117240D" w:rsidR="00A004B7" w:rsidRPr="008343EF" w:rsidRDefault="00A004B7" w:rsidP="00A004B7">
            <w:pPr>
              <w:spacing w:before="60" w:after="60"/>
              <w:jc w:val="center"/>
              <w:rPr>
                <w:sz w:val="20"/>
              </w:rPr>
            </w:pPr>
            <w:r w:rsidRPr="00F83520">
              <w:t>1</w:t>
            </w:r>
            <w:r>
              <w:t>,</w:t>
            </w:r>
            <w:r w:rsidRPr="00F83520">
              <w:t>542</w:t>
            </w:r>
          </w:p>
        </w:tc>
        <w:tc>
          <w:tcPr>
            <w:tcW w:w="2551" w:type="dxa"/>
            <w:tcBorders>
              <w:top w:val="single" w:sz="4" w:space="0" w:color="000000"/>
            </w:tcBorders>
            <w:vAlign w:val="center"/>
          </w:tcPr>
          <w:p w14:paraId="28B543B6" w14:textId="3FCEC37D" w:rsidR="00A004B7" w:rsidRPr="00923150" w:rsidRDefault="00A004B7" w:rsidP="00A004B7">
            <w:pPr>
              <w:spacing w:before="60" w:after="60"/>
              <w:jc w:val="center"/>
              <w:rPr>
                <w:sz w:val="20"/>
              </w:rPr>
            </w:pPr>
            <w:r w:rsidRPr="00F83520">
              <w:t>1</w:t>
            </w:r>
            <w:r>
              <w:t>,</w:t>
            </w:r>
            <w:r w:rsidRPr="00F83520">
              <w:t>676</w:t>
            </w:r>
          </w:p>
        </w:tc>
      </w:tr>
      <w:tr w:rsidR="00A004B7" w:rsidRPr="00923150" w14:paraId="35B930CB" w14:textId="77777777" w:rsidTr="006815E8">
        <w:trPr>
          <w:trHeight w:val="456"/>
        </w:trPr>
        <w:tc>
          <w:tcPr>
            <w:tcW w:w="2977" w:type="dxa"/>
            <w:tcBorders>
              <w:top w:val="single" w:sz="4" w:space="0" w:color="000000"/>
            </w:tcBorders>
            <w:vAlign w:val="center"/>
          </w:tcPr>
          <w:p w14:paraId="315B7B5E" w14:textId="6212CFEE" w:rsidR="00A004B7" w:rsidRDefault="00A004B7" w:rsidP="00A004B7">
            <w:pPr>
              <w:spacing w:before="60" w:after="60"/>
              <w:jc w:val="left"/>
              <w:rPr>
                <w:sz w:val="20"/>
              </w:rPr>
            </w:pPr>
            <w:r w:rsidRPr="00F83520">
              <w:t>Schools</w:t>
            </w:r>
          </w:p>
        </w:tc>
        <w:tc>
          <w:tcPr>
            <w:tcW w:w="1843" w:type="dxa"/>
            <w:tcBorders>
              <w:top w:val="single" w:sz="4" w:space="0" w:color="000000"/>
            </w:tcBorders>
            <w:vAlign w:val="center"/>
          </w:tcPr>
          <w:p w14:paraId="1D98A5BC" w14:textId="06409B9F" w:rsidR="00A004B7" w:rsidRDefault="00A004B7" w:rsidP="00A004B7">
            <w:pPr>
              <w:spacing w:before="60" w:after="60"/>
              <w:jc w:val="center"/>
              <w:rPr>
                <w:sz w:val="20"/>
              </w:rPr>
            </w:pPr>
            <w:r w:rsidRPr="00F83520">
              <w:t>166</w:t>
            </w:r>
          </w:p>
        </w:tc>
        <w:tc>
          <w:tcPr>
            <w:tcW w:w="2268" w:type="dxa"/>
            <w:tcBorders>
              <w:top w:val="single" w:sz="4" w:space="0" w:color="000000"/>
            </w:tcBorders>
            <w:vAlign w:val="center"/>
          </w:tcPr>
          <w:p w14:paraId="041AD5F2" w14:textId="20E4727C" w:rsidR="00A004B7" w:rsidRPr="008343EF" w:rsidRDefault="00A004B7" w:rsidP="00A004B7">
            <w:pPr>
              <w:spacing w:before="60" w:after="60"/>
              <w:jc w:val="center"/>
              <w:rPr>
                <w:sz w:val="20"/>
              </w:rPr>
            </w:pPr>
            <w:r w:rsidRPr="00F83520">
              <w:t>178</w:t>
            </w:r>
          </w:p>
        </w:tc>
        <w:tc>
          <w:tcPr>
            <w:tcW w:w="2551" w:type="dxa"/>
            <w:tcBorders>
              <w:top w:val="single" w:sz="4" w:space="0" w:color="000000"/>
            </w:tcBorders>
            <w:vAlign w:val="center"/>
          </w:tcPr>
          <w:p w14:paraId="148E64AE" w14:textId="264AB29C" w:rsidR="00A004B7" w:rsidRPr="00923150" w:rsidRDefault="00A004B7" w:rsidP="00A004B7">
            <w:pPr>
              <w:spacing w:before="60" w:after="60"/>
              <w:jc w:val="center"/>
              <w:rPr>
                <w:sz w:val="20"/>
              </w:rPr>
            </w:pPr>
            <w:r w:rsidRPr="00F83520">
              <w:t>191</w:t>
            </w:r>
          </w:p>
        </w:tc>
      </w:tr>
      <w:tr w:rsidR="00A004B7" w:rsidRPr="00923150" w14:paraId="4ACA0358" w14:textId="77777777" w:rsidTr="006815E8">
        <w:trPr>
          <w:trHeight w:val="456"/>
        </w:trPr>
        <w:tc>
          <w:tcPr>
            <w:tcW w:w="2977" w:type="dxa"/>
            <w:tcBorders>
              <w:top w:val="single" w:sz="4" w:space="0" w:color="000000"/>
            </w:tcBorders>
            <w:vAlign w:val="center"/>
          </w:tcPr>
          <w:p w14:paraId="1C919D76" w14:textId="57D376DA" w:rsidR="00A004B7" w:rsidRDefault="00A004B7" w:rsidP="00A004B7">
            <w:pPr>
              <w:spacing w:before="60" w:after="60"/>
              <w:jc w:val="left"/>
              <w:rPr>
                <w:sz w:val="20"/>
              </w:rPr>
            </w:pPr>
            <w:r w:rsidRPr="00F83520">
              <w:t>VET buildings</w:t>
            </w:r>
          </w:p>
        </w:tc>
        <w:tc>
          <w:tcPr>
            <w:tcW w:w="1843" w:type="dxa"/>
            <w:tcBorders>
              <w:top w:val="single" w:sz="4" w:space="0" w:color="000000"/>
            </w:tcBorders>
            <w:vAlign w:val="center"/>
          </w:tcPr>
          <w:p w14:paraId="195276CF" w14:textId="5C77BF8A" w:rsidR="00A004B7" w:rsidRDefault="00A004B7" w:rsidP="00A004B7">
            <w:pPr>
              <w:spacing w:before="60" w:after="60"/>
              <w:jc w:val="center"/>
              <w:rPr>
                <w:sz w:val="20"/>
              </w:rPr>
            </w:pPr>
            <w:r w:rsidRPr="00F83520">
              <w:t>368</w:t>
            </w:r>
          </w:p>
        </w:tc>
        <w:tc>
          <w:tcPr>
            <w:tcW w:w="2268" w:type="dxa"/>
            <w:tcBorders>
              <w:top w:val="single" w:sz="4" w:space="0" w:color="000000"/>
            </w:tcBorders>
            <w:vAlign w:val="center"/>
          </w:tcPr>
          <w:p w14:paraId="0BA4ACDB" w14:textId="75D388B5" w:rsidR="00A004B7" w:rsidRPr="008343EF" w:rsidRDefault="00A004B7" w:rsidP="00A004B7">
            <w:pPr>
              <w:spacing w:before="60" w:after="60"/>
              <w:jc w:val="center"/>
              <w:rPr>
                <w:sz w:val="20"/>
              </w:rPr>
            </w:pPr>
            <w:r w:rsidRPr="00F83520">
              <w:t>367</w:t>
            </w:r>
          </w:p>
        </w:tc>
        <w:tc>
          <w:tcPr>
            <w:tcW w:w="2551" w:type="dxa"/>
            <w:tcBorders>
              <w:top w:val="single" w:sz="4" w:space="0" w:color="000000"/>
            </w:tcBorders>
            <w:vAlign w:val="center"/>
          </w:tcPr>
          <w:p w14:paraId="4788163D" w14:textId="151E8545" w:rsidR="00A004B7" w:rsidRPr="00923150" w:rsidRDefault="00A004B7" w:rsidP="00A004B7">
            <w:pPr>
              <w:spacing w:before="60" w:after="60"/>
              <w:jc w:val="center"/>
              <w:rPr>
                <w:sz w:val="20"/>
              </w:rPr>
            </w:pPr>
            <w:r w:rsidRPr="00F83520">
              <w:t>366</w:t>
            </w:r>
          </w:p>
        </w:tc>
      </w:tr>
      <w:tr w:rsidR="00A004B7" w:rsidRPr="00923150" w14:paraId="6E8FDDD5" w14:textId="77777777" w:rsidTr="006815E8">
        <w:trPr>
          <w:trHeight w:val="456"/>
        </w:trPr>
        <w:tc>
          <w:tcPr>
            <w:tcW w:w="2977" w:type="dxa"/>
            <w:tcBorders>
              <w:top w:val="single" w:sz="4" w:space="0" w:color="000000"/>
            </w:tcBorders>
            <w:vAlign w:val="center"/>
          </w:tcPr>
          <w:p w14:paraId="42EF1100" w14:textId="36EFCBFD" w:rsidR="00A004B7" w:rsidRDefault="00A004B7" w:rsidP="00A004B7">
            <w:pPr>
              <w:spacing w:before="60" w:after="60"/>
              <w:jc w:val="left"/>
              <w:rPr>
                <w:sz w:val="20"/>
              </w:rPr>
            </w:pPr>
            <w:r w:rsidRPr="00F83520">
              <w:t>Universities</w:t>
            </w:r>
          </w:p>
        </w:tc>
        <w:tc>
          <w:tcPr>
            <w:tcW w:w="1843" w:type="dxa"/>
            <w:tcBorders>
              <w:top w:val="single" w:sz="4" w:space="0" w:color="000000"/>
            </w:tcBorders>
            <w:vAlign w:val="center"/>
          </w:tcPr>
          <w:p w14:paraId="686BF228" w14:textId="2205DBB7" w:rsidR="00A004B7" w:rsidRDefault="00A004B7" w:rsidP="00A004B7">
            <w:pPr>
              <w:spacing w:before="60" w:after="60"/>
              <w:jc w:val="center"/>
              <w:rPr>
                <w:sz w:val="20"/>
              </w:rPr>
            </w:pPr>
            <w:r w:rsidRPr="00F83520">
              <w:t>780</w:t>
            </w:r>
          </w:p>
        </w:tc>
        <w:tc>
          <w:tcPr>
            <w:tcW w:w="2268" w:type="dxa"/>
            <w:tcBorders>
              <w:top w:val="single" w:sz="4" w:space="0" w:color="000000"/>
            </w:tcBorders>
            <w:vAlign w:val="center"/>
          </w:tcPr>
          <w:p w14:paraId="1035DB79" w14:textId="5C50570B" w:rsidR="00A004B7" w:rsidRPr="008343EF" w:rsidRDefault="00A004B7" w:rsidP="00A004B7">
            <w:pPr>
              <w:spacing w:before="60" w:after="60"/>
              <w:jc w:val="center"/>
              <w:rPr>
                <w:sz w:val="20"/>
              </w:rPr>
            </w:pPr>
            <w:r w:rsidRPr="00F83520">
              <w:t>868</w:t>
            </w:r>
          </w:p>
        </w:tc>
        <w:tc>
          <w:tcPr>
            <w:tcW w:w="2551" w:type="dxa"/>
            <w:tcBorders>
              <w:top w:val="single" w:sz="4" w:space="0" w:color="000000"/>
            </w:tcBorders>
            <w:vAlign w:val="center"/>
          </w:tcPr>
          <w:p w14:paraId="7D317CDB" w14:textId="4E578A59" w:rsidR="00A004B7" w:rsidRPr="00923150" w:rsidRDefault="00A004B7" w:rsidP="00A004B7">
            <w:pPr>
              <w:spacing w:before="60" w:after="60"/>
              <w:jc w:val="center"/>
              <w:rPr>
                <w:sz w:val="20"/>
              </w:rPr>
            </w:pPr>
            <w:r w:rsidRPr="00F83520">
              <w:t>965</w:t>
            </w:r>
          </w:p>
        </w:tc>
      </w:tr>
      <w:tr w:rsidR="00A004B7" w:rsidRPr="00923150" w14:paraId="68A409A4" w14:textId="77777777" w:rsidTr="006815E8">
        <w:trPr>
          <w:trHeight w:val="456"/>
        </w:trPr>
        <w:tc>
          <w:tcPr>
            <w:tcW w:w="2977" w:type="dxa"/>
            <w:tcBorders>
              <w:top w:val="single" w:sz="4" w:space="0" w:color="000000"/>
            </w:tcBorders>
            <w:vAlign w:val="center"/>
          </w:tcPr>
          <w:p w14:paraId="203E3362" w14:textId="348095B9" w:rsidR="00A004B7" w:rsidRDefault="00A004B7" w:rsidP="00A004B7">
            <w:pPr>
              <w:spacing w:before="60" w:after="60"/>
              <w:jc w:val="left"/>
              <w:rPr>
                <w:sz w:val="20"/>
              </w:rPr>
            </w:pPr>
            <w:r w:rsidRPr="00F83520">
              <w:t>Public Buildings</w:t>
            </w:r>
            <w:r>
              <w:t xml:space="preserve"> </w:t>
            </w:r>
            <w:r>
              <w:rPr>
                <w:sz w:val="20"/>
                <w:szCs w:val="20"/>
                <w:vertAlign w:val="superscript"/>
              </w:rPr>
              <w:t>(2</w:t>
            </w:r>
            <w:r w:rsidRPr="00690A68">
              <w:rPr>
                <w:sz w:val="20"/>
                <w:szCs w:val="20"/>
                <w:vertAlign w:val="superscript"/>
              </w:rPr>
              <w:t>)</w:t>
            </w:r>
          </w:p>
        </w:tc>
        <w:tc>
          <w:tcPr>
            <w:tcW w:w="1843" w:type="dxa"/>
            <w:tcBorders>
              <w:top w:val="single" w:sz="4" w:space="0" w:color="000000"/>
            </w:tcBorders>
            <w:vAlign w:val="center"/>
          </w:tcPr>
          <w:p w14:paraId="0D460BF3" w14:textId="7A2E7829" w:rsidR="00A004B7" w:rsidRDefault="00A004B7" w:rsidP="00A004B7">
            <w:pPr>
              <w:spacing w:before="60" w:after="60"/>
              <w:jc w:val="center"/>
              <w:rPr>
                <w:sz w:val="20"/>
              </w:rPr>
            </w:pPr>
            <w:r w:rsidRPr="00F83520">
              <w:t>1</w:t>
            </w:r>
            <w:r>
              <w:t>,</w:t>
            </w:r>
            <w:r w:rsidRPr="00F83520">
              <w:t>111</w:t>
            </w:r>
          </w:p>
        </w:tc>
        <w:tc>
          <w:tcPr>
            <w:tcW w:w="2268" w:type="dxa"/>
            <w:tcBorders>
              <w:top w:val="single" w:sz="4" w:space="0" w:color="000000"/>
            </w:tcBorders>
            <w:vAlign w:val="center"/>
          </w:tcPr>
          <w:p w14:paraId="5345187B" w14:textId="76E65A80" w:rsidR="00A004B7" w:rsidRPr="008343EF" w:rsidRDefault="00A004B7" w:rsidP="00A004B7">
            <w:pPr>
              <w:spacing w:before="60" w:after="60"/>
              <w:jc w:val="center"/>
              <w:rPr>
                <w:sz w:val="20"/>
              </w:rPr>
            </w:pPr>
            <w:r w:rsidRPr="00F83520">
              <w:t>947</w:t>
            </w:r>
          </w:p>
        </w:tc>
        <w:tc>
          <w:tcPr>
            <w:tcW w:w="2551" w:type="dxa"/>
            <w:tcBorders>
              <w:top w:val="single" w:sz="4" w:space="0" w:color="000000"/>
            </w:tcBorders>
            <w:vAlign w:val="center"/>
          </w:tcPr>
          <w:p w14:paraId="1CC91129" w14:textId="4DCA6457" w:rsidR="00A004B7" w:rsidRPr="00923150" w:rsidRDefault="00A004B7" w:rsidP="00A004B7">
            <w:pPr>
              <w:spacing w:before="60" w:after="60"/>
              <w:jc w:val="center"/>
              <w:rPr>
                <w:sz w:val="20"/>
              </w:rPr>
            </w:pPr>
            <w:r w:rsidRPr="00F83520">
              <w:t>768</w:t>
            </w:r>
          </w:p>
        </w:tc>
      </w:tr>
      <w:tr w:rsidR="00A004B7" w:rsidRPr="003E19E1" w14:paraId="720A76E7" w14:textId="77777777" w:rsidTr="006815E8">
        <w:trPr>
          <w:trHeight w:val="456"/>
        </w:trPr>
        <w:tc>
          <w:tcPr>
            <w:tcW w:w="2977" w:type="dxa"/>
            <w:tcBorders>
              <w:top w:val="double" w:sz="4" w:space="0" w:color="auto"/>
            </w:tcBorders>
            <w:vAlign w:val="center"/>
          </w:tcPr>
          <w:p w14:paraId="7812B7CF" w14:textId="77777777" w:rsidR="00A004B7" w:rsidRPr="003E19E1" w:rsidRDefault="00A004B7" w:rsidP="00A004B7">
            <w:pPr>
              <w:spacing w:before="60" w:after="60"/>
              <w:jc w:val="left"/>
              <w:rPr>
                <w:szCs w:val="22"/>
              </w:rPr>
            </w:pPr>
            <w:r>
              <w:t>Total</w:t>
            </w:r>
          </w:p>
        </w:tc>
        <w:tc>
          <w:tcPr>
            <w:tcW w:w="1843" w:type="dxa"/>
            <w:tcBorders>
              <w:top w:val="double" w:sz="4" w:space="0" w:color="auto"/>
            </w:tcBorders>
            <w:vAlign w:val="center"/>
          </w:tcPr>
          <w:p w14:paraId="01227B3C" w14:textId="77777777" w:rsidR="00A004B7" w:rsidRPr="003E19E1" w:rsidRDefault="00A004B7" w:rsidP="00A004B7">
            <w:pPr>
              <w:spacing w:before="60" w:after="60"/>
              <w:jc w:val="center"/>
              <w:rPr>
                <w:szCs w:val="22"/>
              </w:rPr>
            </w:pPr>
            <w:r w:rsidRPr="00A25241">
              <w:t>142.7</w:t>
            </w:r>
          </w:p>
        </w:tc>
        <w:tc>
          <w:tcPr>
            <w:tcW w:w="2268" w:type="dxa"/>
            <w:tcBorders>
              <w:top w:val="double" w:sz="4" w:space="0" w:color="auto"/>
            </w:tcBorders>
            <w:vAlign w:val="center"/>
          </w:tcPr>
          <w:p w14:paraId="22DE6A2A" w14:textId="77777777" w:rsidR="00A004B7" w:rsidRPr="003E19E1" w:rsidRDefault="00A004B7" w:rsidP="00A004B7">
            <w:pPr>
              <w:spacing w:before="60" w:after="60"/>
              <w:jc w:val="center"/>
              <w:rPr>
                <w:szCs w:val="22"/>
              </w:rPr>
            </w:pPr>
          </w:p>
        </w:tc>
        <w:tc>
          <w:tcPr>
            <w:tcW w:w="2551" w:type="dxa"/>
            <w:tcBorders>
              <w:top w:val="double" w:sz="4" w:space="0" w:color="auto"/>
            </w:tcBorders>
            <w:vAlign w:val="center"/>
          </w:tcPr>
          <w:p w14:paraId="499B9E08" w14:textId="77777777" w:rsidR="00A004B7" w:rsidRPr="003E19E1" w:rsidRDefault="00A004B7" w:rsidP="00A004B7">
            <w:pPr>
              <w:spacing w:before="60" w:after="60"/>
              <w:jc w:val="center"/>
              <w:rPr>
                <w:szCs w:val="22"/>
              </w:rPr>
            </w:pPr>
            <w:r w:rsidRPr="00A25241">
              <w:t>56.8</w:t>
            </w:r>
          </w:p>
        </w:tc>
      </w:tr>
    </w:tbl>
    <w:p w14:paraId="3BB21EFA" w14:textId="34CE48C2" w:rsidR="00D42D0B" w:rsidRPr="00FA5B51" w:rsidRDefault="00D42D0B" w:rsidP="00D42D0B">
      <w:pPr>
        <w:spacing w:before="0"/>
        <w:rPr>
          <w:sz w:val="20"/>
          <w:szCs w:val="20"/>
        </w:rPr>
      </w:pPr>
      <w:r w:rsidRPr="00FA5B51">
        <w:rPr>
          <w:sz w:val="20"/>
          <w:szCs w:val="20"/>
        </w:rPr>
        <w:t>(Source</w:t>
      </w:r>
      <w:r>
        <w:rPr>
          <w:sz w:val="20"/>
          <w:szCs w:val="20"/>
        </w:rPr>
        <w:t>:</w:t>
      </w:r>
      <w:r w:rsidRPr="00FA5B51">
        <w:rPr>
          <w:sz w:val="20"/>
          <w:szCs w:val="20"/>
        </w:rPr>
        <w:t xml:space="preserve"> DCCEE 2012b</w:t>
      </w:r>
      <w:r>
        <w:rPr>
          <w:sz w:val="20"/>
          <w:szCs w:val="20"/>
        </w:rPr>
        <w:t>, CBBS Volume 1, page 8</w:t>
      </w:r>
      <w:r w:rsidRPr="00FA5B51">
        <w:rPr>
          <w:sz w:val="20"/>
          <w:szCs w:val="20"/>
        </w:rPr>
        <w:t>)</w:t>
      </w:r>
    </w:p>
    <w:p w14:paraId="4BEFFC53" w14:textId="77777777" w:rsidR="001D1562" w:rsidRPr="001D1562" w:rsidRDefault="00A004B7" w:rsidP="00D05A74">
      <w:pPr>
        <w:pStyle w:val="ListParagraph"/>
        <w:numPr>
          <w:ilvl w:val="0"/>
          <w:numId w:val="13"/>
        </w:numPr>
        <w:spacing w:before="60" w:after="0" w:line="240" w:lineRule="auto"/>
        <w:ind w:left="357" w:hanging="357"/>
        <w:contextualSpacing w:val="0"/>
        <w:jc w:val="both"/>
        <w:rPr>
          <w:rFonts w:ascii="Times New Roman" w:hAnsi="Times New Roman"/>
          <w:sz w:val="20"/>
          <w:szCs w:val="20"/>
        </w:rPr>
      </w:pPr>
      <w:r w:rsidRPr="001D1562">
        <w:rPr>
          <w:rFonts w:ascii="Times New Roman" w:hAnsi="Times New Roman"/>
          <w:sz w:val="20"/>
          <w:szCs w:val="20"/>
        </w:rPr>
        <w:t xml:space="preserve">Only limited time-series data was available for retail buildings, insufficient to describe any intensity trends. </w:t>
      </w:r>
    </w:p>
    <w:p w14:paraId="0D11F1F8" w14:textId="363D6E72" w:rsidR="00A004B7" w:rsidRPr="001D1562" w:rsidRDefault="00A004B7" w:rsidP="00D05A74">
      <w:pPr>
        <w:pStyle w:val="ListParagraph"/>
        <w:numPr>
          <w:ilvl w:val="0"/>
          <w:numId w:val="13"/>
        </w:numPr>
        <w:spacing w:before="60" w:after="0" w:line="240" w:lineRule="auto"/>
        <w:ind w:left="357" w:hanging="357"/>
        <w:contextualSpacing w:val="0"/>
        <w:jc w:val="both"/>
        <w:rPr>
          <w:rFonts w:ascii="Times New Roman" w:hAnsi="Times New Roman"/>
          <w:sz w:val="20"/>
          <w:szCs w:val="20"/>
        </w:rPr>
      </w:pPr>
      <w:r w:rsidRPr="001D1562">
        <w:rPr>
          <w:rFonts w:ascii="Times New Roman" w:hAnsi="Times New Roman"/>
          <w:sz w:val="20"/>
          <w:szCs w:val="20"/>
        </w:rPr>
        <w:t>Museums, galleries and libraries</w:t>
      </w:r>
      <w:r w:rsidR="001D1562">
        <w:rPr>
          <w:rFonts w:ascii="Times New Roman" w:hAnsi="Times New Roman"/>
          <w:sz w:val="20"/>
          <w:szCs w:val="20"/>
        </w:rPr>
        <w:t>.</w:t>
      </w:r>
    </w:p>
    <w:p w14:paraId="54D3FCFC" w14:textId="77777777" w:rsidR="00C467A5" w:rsidRDefault="00C467A5" w:rsidP="00C467A5">
      <w:pPr>
        <w:spacing w:before="240"/>
        <w:rPr>
          <w:szCs w:val="22"/>
        </w:rPr>
      </w:pPr>
      <w:r w:rsidRPr="00C87CA3">
        <w:rPr>
          <w:szCs w:val="22"/>
        </w:rPr>
        <w:t xml:space="preserve">One finding from the CBBS report </w:t>
      </w:r>
      <w:r>
        <w:rPr>
          <w:szCs w:val="22"/>
        </w:rPr>
        <w:t>that also has</w:t>
      </w:r>
      <w:r w:rsidRPr="00165034">
        <w:rPr>
          <w:szCs w:val="22"/>
        </w:rPr>
        <w:t xml:space="preserve"> direct relevance to the </w:t>
      </w:r>
      <w:r>
        <w:rPr>
          <w:szCs w:val="22"/>
        </w:rPr>
        <w:t xml:space="preserve">higher </w:t>
      </w:r>
      <w:r w:rsidRPr="00165034">
        <w:rPr>
          <w:szCs w:val="22"/>
        </w:rPr>
        <w:t xml:space="preserve">energy intensity of supermarkets was that supermarkets inside shopping centres were operating for an average of more than 96 hours/week compared to just over 59 hours/week for other retail tenancies.  </w:t>
      </w:r>
    </w:p>
    <w:p w14:paraId="639D2616" w14:textId="77777777" w:rsidR="00C467A5" w:rsidRDefault="00C467A5" w:rsidP="00C467A5">
      <w:pPr>
        <w:rPr>
          <w:szCs w:val="22"/>
        </w:rPr>
      </w:pPr>
      <w:r>
        <w:rPr>
          <w:szCs w:val="22"/>
        </w:rPr>
        <w:t>O</w:t>
      </w:r>
      <w:r w:rsidRPr="005E5B7C">
        <w:rPr>
          <w:szCs w:val="22"/>
        </w:rPr>
        <w:t xml:space="preserve">ther than the longer average hours of running, the primary difference between supermarkets and other retail building uses is the intensive reliance on refrigeration systems. Normalising for hours of running against the energy intensity for shopping centres – </w:t>
      </w:r>
      <w:r>
        <w:rPr>
          <w:szCs w:val="22"/>
        </w:rPr>
        <w:t>(</w:t>
      </w:r>
      <w:r w:rsidRPr="005E5B7C">
        <w:rPr>
          <w:szCs w:val="22"/>
        </w:rPr>
        <w:t xml:space="preserve">base </w:t>
      </w:r>
      <w:r>
        <w:rPr>
          <w:szCs w:val="22"/>
        </w:rPr>
        <w:t>plus</w:t>
      </w:r>
      <w:r w:rsidRPr="005E5B7C">
        <w:rPr>
          <w:szCs w:val="22"/>
        </w:rPr>
        <w:t xml:space="preserve"> tenancy which includes the energy used in HVAC in the building) supermarkets are still nearly 30 per cent more energy intensive than other types of shopping centre tenants.</w:t>
      </w:r>
    </w:p>
    <w:p w14:paraId="1ECB1254" w14:textId="1ADAD042" w:rsidR="00C467A5" w:rsidRDefault="00C467A5" w:rsidP="00C467A5">
      <w:pPr>
        <w:rPr>
          <w:szCs w:val="22"/>
        </w:rPr>
      </w:pPr>
      <w:r w:rsidRPr="00090B50">
        <w:rPr>
          <w:i/>
          <w:szCs w:val="22"/>
        </w:rPr>
        <w:t>Table 34</w:t>
      </w:r>
      <w:r w:rsidRPr="00711A6C">
        <w:rPr>
          <w:szCs w:val="22"/>
        </w:rPr>
        <w:t xml:space="preserve"> shows total energy use in </w:t>
      </w:r>
      <w:r>
        <w:rPr>
          <w:szCs w:val="22"/>
        </w:rPr>
        <w:t xml:space="preserve">shopping centres and supermarkets as estimated in </w:t>
      </w:r>
      <w:r w:rsidRPr="00711A6C">
        <w:rPr>
          <w:szCs w:val="22"/>
        </w:rPr>
        <w:t>the CBBS report.</w:t>
      </w:r>
    </w:p>
    <w:p w14:paraId="5479F8DC" w14:textId="0516C018" w:rsidR="00090B50" w:rsidRDefault="00090B50" w:rsidP="00711A6C">
      <w:pPr>
        <w:rPr>
          <w:szCs w:val="22"/>
        </w:rPr>
      </w:pPr>
    </w:p>
    <w:p w14:paraId="395392E9" w14:textId="664CF57C" w:rsidR="00711A6C" w:rsidRDefault="00711A6C" w:rsidP="00711A6C">
      <w:pPr>
        <w:rPr>
          <w:szCs w:val="22"/>
        </w:rPr>
      </w:pPr>
      <w:r w:rsidRPr="00711A6C">
        <w:rPr>
          <w:szCs w:val="22"/>
        </w:rPr>
        <w:lastRenderedPageBreak/>
        <w:t xml:space="preserve"> </w:t>
      </w:r>
    </w:p>
    <w:p w14:paraId="4850D667" w14:textId="7F5C4807" w:rsidR="00090B50" w:rsidRPr="00090B50" w:rsidRDefault="00090B50" w:rsidP="00711A6C">
      <w:pPr>
        <w:rPr>
          <w:i/>
          <w:szCs w:val="22"/>
        </w:rPr>
      </w:pPr>
      <w:bookmarkStart w:id="98" w:name="_Toc233084078"/>
      <w:r w:rsidRPr="00D16B26">
        <w:rPr>
          <w:i/>
          <w:szCs w:val="22"/>
        </w:rPr>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34</w:t>
      </w:r>
      <w:r w:rsidRPr="00D16B26">
        <w:rPr>
          <w:i/>
          <w:szCs w:val="22"/>
        </w:rPr>
        <w:fldChar w:fldCharType="end"/>
      </w:r>
      <w:r w:rsidRPr="00090B50">
        <w:rPr>
          <w:i/>
          <w:szCs w:val="22"/>
        </w:rPr>
        <w:t xml:space="preserve">: Energy </w:t>
      </w:r>
      <w:r>
        <w:rPr>
          <w:i/>
          <w:szCs w:val="22"/>
        </w:rPr>
        <w:t>c</w:t>
      </w:r>
      <w:r w:rsidRPr="00090B50">
        <w:rPr>
          <w:i/>
          <w:szCs w:val="22"/>
        </w:rPr>
        <w:t xml:space="preserve">onsumption and </w:t>
      </w:r>
      <w:r>
        <w:rPr>
          <w:i/>
          <w:szCs w:val="22"/>
        </w:rPr>
        <w:t>GHG</w:t>
      </w:r>
      <w:r w:rsidRPr="00090B50">
        <w:rPr>
          <w:i/>
          <w:szCs w:val="22"/>
        </w:rPr>
        <w:t xml:space="preserve"> emissions </w:t>
      </w:r>
      <w:r>
        <w:rPr>
          <w:i/>
          <w:szCs w:val="22"/>
        </w:rPr>
        <w:t>of s</w:t>
      </w:r>
      <w:r w:rsidRPr="00090B50">
        <w:rPr>
          <w:i/>
          <w:szCs w:val="22"/>
        </w:rPr>
        <w:t xml:space="preserve">hopping </w:t>
      </w:r>
      <w:r>
        <w:rPr>
          <w:i/>
          <w:szCs w:val="22"/>
        </w:rPr>
        <w:t>c</w:t>
      </w:r>
      <w:r w:rsidRPr="00090B50">
        <w:rPr>
          <w:i/>
          <w:szCs w:val="22"/>
        </w:rPr>
        <w:t xml:space="preserve">entres and </w:t>
      </w:r>
      <w:r>
        <w:rPr>
          <w:i/>
          <w:szCs w:val="22"/>
        </w:rPr>
        <w:t>s</w:t>
      </w:r>
      <w:r w:rsidRPr="00090B50">
        <w:rPr>
          <w:i/>
          <w:szCs w:val="22"/>
        </w:rPr>
        <w:t>upermarkets 2012</w:t>
      </w:r>
      <w:bookmarkEnd w:id="98"/>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4"/>
        <w:gridCol w:w="1816"/>
        <w:gridCol w:w="1816"/>
        <w:gridCol w:w="1816"/>
        <w:gridCol w:w="1816"/>
      </w:tblGrid>
      <w:tr w:rsidR="00301120" w:rsidRPr="002A5904" w14:paraId="11DCAD77" w14:textId="77777777" w:rsidTr="005F2CFD">
        <w:trPr>
          <w:trHeight w:val="684"/>
        </w:trPr>
        <w:tc>
          <w:tcPr>
            <w:tcW w:w="2268" w:type="dxa"/>
            <w:tcBorders>
              <w:top w:val="single" w:sz="8" w:space="0" w:color="auto"/>
              <w:left w:val="single" w:sz="8" w:space="0" w:color="auto"/>
              <w:bottom w:val="single" w:sz="4" w:space="0" w:color="000000"/>
              <w:right w:val="single" w:sz="4" w:space="0" w:color="FFFFFF"/>
            </w:tcBorders>
            <w:shd w:val="clear" w:color="auto" w:fill="000000"/>
          </w:tcPr>
          <w:p w14:paraId="57733CF2" w14:textId="5A300F17" w:rsidR="003E77F1" w:rsidRPr="002A5904" w:rsidRDefault="003E77F1" w:rsidP="002A5904">
            <w:pPr>
              <w:spacing w:after="120"/>
              <w:ind w:left="34"/>
              <w:jc w:val="center"/>
              <w:rPr>
                <w:sz w:val="20"/>
                <w:szCs w:val="20"/>
              </w:rPr>
            </w:pPr>
          </w:p>
        </w:tc>
        <w:tc>
          <w:tcPr>
            <w:tcW w:w="1843" w:type="dxa"/>
            <w:tcBorders>
              <w:top w:val="single" w:sz="8" w:space="0" w:color="auto"/>
              <w:left w:val="single" w:sz="4" w:space="0" w:color="FFFFFF"/>
              <w:bottom w:val="single" w:sz="4" w:space="0" w:color="000000"/>
              <w:right w:val="single" w:sz="4" w:space="0" w:color="FFFFFF"/>
            </w:tcBorders>
            <w:shd w:val="clear" w:color="auto" w:fill="000000"/>
          </w:tcPr>
          <w:p w14:paraId="61377055" w14:textId="7F19ADE2" w:rsidR="003E77F1" w:rsidRPr="002A5904" w:rsidRDefault="003E77F1" w:rsidP="002A5904">
            <w:pPr>
              <w:spacing w:after="120"/>
              <w:jc w:val="center"/>
              <w:rPr>
                <w:sz w:val="20"/>
                <w:szCs w:val="20"/>
              </w:rPr>
            </w:pPr>
            <w:r w:rsidRPr="002A5904">
              <w:rPr>
                <w:sz w:val="20"/>
                <w:szCs w:val="20"/>
              </w:rPr>
              <w:t>Shopping centres (total)</w:t>
            </w:r>
          </w:p>
        </w:tc>
        <w:tc>
          <w:tcPr>
            <w:tcW w:w="1843" w:type="dxa"/>
            <w:tcBorders>
              <w:top w:val="single" w:sz="8" w:space="0" w:color="auto"/>
              <w:left w:val="single" w:sz="4" w:space="0" w:color="FFFFFF"/>
              <w:bottom w:val="single" w:sz="4" w:space="0" w:color="000000"/>
              <w:right w:val="single" w:sz="4" w:space="0" w:color="FFFFFF"/>
            </w:tcBorders>
            <w:shd w:val="clear" w:color="auto" w:fill="000000"/>
          </w:tcPr>
          <w:p w14:paraId="4709E34D" w14:textId="700BD441" w:rsidR="003E77F1" w:rsidRPr="002A5904" w:rsidRDefault="003E77F1" w:rsidP="002A5904">
            <w:pPr>
              <w:spacing w:after="120"/>
              <w:jc w:val="center"/>
              <w:rPr>
                <w:sz w:val="20"/>
                <w:szCs w:val="20"/>
              </w:rPr>
            </w:pPr>
            <w:r w:rsidRPr="002A5904">
              <w:rPr>
                <w:sz w:val="20"/>
                <w:szCs w:val="20"/>
              </w:rPr>
              <w:t>S</w:t>
            </w:r>
            <w:r>
              <w:rPr>
                <w:sz w:val="20"/>
                <w:szCs w:val="20"/>
              </w:rPr>
              <w:t>upermarkets in shopping centres</w:t>
            </w:r>
          </w:p>
        </w:tc>
        <w:tc>
          <w:tcPr>
            <w:tcW w:w="1843" w:type="dxa"/>
            <w:tcBorders>
              <w:top w:val="single" w:sz="8" w:space="0" w:color="auto"/>
              <w:left w:val="single" w:sz="4" w:space="0" w:color="FFFFFF"/>
              <w:bottom w:val="single" w:sz="4" w:space="0" w:color="000000"/>
              <w:right w:val="single" w:sz="4" w:space="0" w:color="FFFFFF"/>
            </w:tcBorders>
            <w:shd w:val="clear" w:color="auto" w:fill="000000"/>
          </w:tcPr>
          <w:p w14:paraId="6161EAFF" w14:textId="78C4A9AF" w:rsidR="003E77F1" w:rsidRPr="002A5904" w:rsidRDefault="003E77F1" w:rsidP="00301120">
            <w:pPr>
              <w:spacing w:after="120"/>
              <w:jc w:val="center"/>
              <w:rPr>
                <w:sz w:val="20"/>
                <w:szCs w:val="20"/>
              </w:rPr>
            </w:pPr>
            <w:r w:rsidRPr="002A5904">
              <w:rPr>
                <w:sz w:val="20"/>
                <w:szCs w:val="20"/>
              </w:rPr>
              <w:t xml:space="preserve">Supermarket </w:t>
            </w:r>
            <w:r w:rsidR="003B2D38">
              <w:rPr>
                <w:sz w:val="20"/>
                <w:szCs w:val="20"/>
              </w:rPr>
              <w:t xml:space="preserve"> </w:t>
            </w:r>
            <w:r w:rsidRPr="002A5904">
              <w:rPr>
                <w:sz w:val="20"/>
                <w:szCs w:val="20"/>
              </w:rPr>
              <w:t>(</w:t>
            </w:r>
            <w:r>
              <w:rPr>
                <w:sz w:val="20"/>
                <w:szCs w:val="20"/>
              </w:rPr>
              <w:t>stand alone</w:t>
            </w:r>
            <w:r w:rsidR="00301120">
              <w:rPr>
                <w:sz w:val="20"/>
                <w:szCs w:val="20"/>
              </w:rPr>
              <w:t>)</w:t>
            </w:r>
            <w:r>
              <w:rPr>
                <w:sz w:val="20"/>
                <w:szCs w:val="20"/>
              </w:rPr>
              <w:t xml:space="preserve"> </w:t>
            </w:r>
          </w:p>
        </w:tc>
        <w:tc>
          <w:tcPr>
            <w:tcW w:w="1843" w:type="dxa"/>
            <w:tcBorders>
              <w:top w:val="single" w:sz="8" w:space="0" w:color="auto"/>
              <w:left w:val="single" w:sz="4" w:space="0" w:color="FFFFFF"/>
              <w:bottom w:val="single" w:sz="4" w:space="0" w:color="000000"/>
              <w:right w:val="single" w:sz="8" w:space="0" w:color="auto"/>
            </w:tcBorders>
            <w:shd w:val="clear" w:color="auto" w:fill="000000"/>
          </w:tcPr>
          <w:p w14:paraId="0481134E" w14:textId="2BAE854D" w:rsidR="003E77F1" w:rsidRPr="002A5904" w:rsidRDefault="003E77F1" w:rsidP="003B2D38">
            <w:pPr>
              <w:spacing w:after="120"/>
              <w:jc w:val="center"/>
              <w:rPr>
                <w:sz w:val="20"/>
                <w:szCs w:val="20"/>
              </w:rPr>
            </w:pPr>
            <w:r w:rsidRPr="002A5904">
              <w:rPr>
                <w:sz w:val="20"/>
                <w:szCs w:val="20"/>
              </w:rPr>
              <w:t xml:space="preserve">Supermarket </w:t>
            </w:r>
            <w:r>
              <w:rPr>
                <w:sz w:val="20"/>
                <w:szCs w:val="20"/>
              </w:rPr>
              <w:t xml:space="preserve">             </w:t>
            </w:r>
            <w:r w:rsidRPr="002A5904">
              <w:rPr>
                <w:sz w:val="20"/>
                <w:szCs w:val="20"/>
              </w:rPr>
              <w:t>(</w:t>
            </w:r>
            <w:r>
              <w:rPr>
                <w:sz w:val="20"/>
                <w:szCs w:val="20"/>
              </w:rPr>
              <w:t>total</w:t>
            </w:r>
            <w:r w:rsidRPr="002A5904">
              <w:rPr>
                <w:sz w:val="20"/>
                <w:szCs w:val="20"/>
              </w:rPr>
              <w:t>)</w:t>
            </w:r>
          </w:p>
        </w:tc>
      </w:tr>
      <w:tr w:rsidR="00301120" w:rsidRPr="00090B50" w14:paraId="35A846A4" w14:textId="77777777" w:rsidTr="003B2D38">
        <w:trPr>
          <w:trHeight w:val="456"/>
        </w:trPr>
        <w:tc>
          <w:tcPr>
            <w:tcW w:w="2268" w:type="dxa"/>
            <w:tcBorders>
              <w:top w:val="single" w:sz="4" w:space="0" w:color="000000"/>
            </w:tcBorders>
            <w:vAlign w:val="center"/>
          </w:tcPr>
          <w:p w14:paraId="59F75A36" w14:textId="70820CC5" w:rsidR="003E77F1" w:rsidRPr="00705642" w:rsidRDefault="003E77F1" w:rsidP="00090B50">
            <w:pPr>
              <w:spacing w:before="60" w:after="60"/>
              <w:ind w:left="34"/>
              <w:jc w:val="left"/>
              <w:rPr>
                <w:sz w:val="20"/>
                <w:szCs w:val="20"/>
              </w:rPr>
            </w:pPr>
            <w:r w:rsidRPr="00090B50">
              <w:rPr>
                <w:sz w:val="20"/>
                <w:szCs w:val="20"/>
              </w:rPr>
              <w:t>Total energy use (PJ)</w:t>
            </w:r>
          </w:p>
        </w:tc>
        <w:tc>
          <w:tcPr>
            <w:tcW w:w="1843" w:type="dxa"/>
            <w:tcBorders>
              <w:top w:val="single" w:sz="4" w:space="0" w:color="000000"/>
            </w:tcBorders>
            <w:vAlign w:val="center"/>
          </w:tcPr>
          <w:p w14:paraId="1422392C" w14:textId="50740496" w:rsidR="003E77F1" w:rsidRPr="00090B50" w:rsidRDefault="003E77F1" w:rsidP="00090B50">
            <w:pPr>
              <w:spacing w:before="60" w:after="60"/>
              <w:jc w:val="center"/>
              <w:rPr>
                <w:sz w:val="20"/>
                <w:szCs w:val="20"/>
              </w:rPr>
            </w:pPr>
            <w:r>
              <w:rPr>
                <w:sz w:val="20"/>
                <w:szCs w:val="20"/>
              </w:rPr>
              <w:t>31.5</w:t>
            </w:r>
          </w:p>
        </w:tc>
        <w:tc>
          <w:tcPr>
            <w:tcW w:w="1843" w:type="dxa"/>
            <w:tcBorders>
              <w:top w:val="single" w:sz="4" w:space="0" w:color="000000"/>
            </w:tcBorders>
            <w:vAlign w:val="center"/>
          </w:tcPr>
          <w:p w14:paraId="77BC87EB" w14:textId="261F3252" w:rsidR="003E77F1" w:rsidRPr="00705642" w:rsidRDefault="003E77F1" w:rsidP="00090B50">
            <w:pPr>
              <w:spacing w:before="60" w:after="60"/>
              <w:jc w:val="center"/>
              <w:rPr>
                <w:sz w:val="20"/>
                <w:szCs w:val="20"/>
              </w:rPr>
            </w:pPr>
            <w:r>
              <w:rPr>
                <w:sz w:val="20"/>
                <w:szCs w:val="20"/>
              </w:rPr>
              <w:t>7.8</w:t>
            </w:r>
          </w:p>
        </w:tc>
        <w:tc>
          <w:tcPr>
            <w:tcW w:w="1843" w:type="dxa"/>
            <w:tcBorders>
              <w:top w:val="single" w:sz="4" w:space="0" w:color="000000"/>
            </w:tcBorders>
            <w:vAlign w:val="center"/>
          </w:tcPr>
          <w:p w14:paraId="16B737DD" w14:textId="15DA4397" w:rsidR="003E77F1" w:rsidRPr="00705642" w:rsidRDefault="003E77F1" w:rsidP="00090B50">
            <w:pPr>
              <w:spacing w:before="60" w:after="60"/>
              <w:jc w:val="center"/>
              <w:rPr>
                <w:sz w:val="20"/>
                <w:szCs w:val="20"/>
              </w:rPr>
            </w:pPr>
            <w:r>
              <w:rPr>
                <w:sz w:val="20"/>
                <w:szCs w:val="20"/>
              </w:rPr>
              <w:t>18.9</w:t>
            </w:r>
          </w:p>
        </w:tc>
        <w:tc>
          <w:tcPr>
            <w:tcW w:w="1843" w:type="dxa"/>
            <w:tcBorders>
              <w:top w:val="single" w:sz="4" w:space="0" w:color="000000"/>
            </w:tcBorders>
            <w:vAlign w:val="center"/>
          </w:tcPr>
          <w:p w14:paraId="0DE6D11C" w14:textId="5AD61DA0" w:rsidR="003E77F1" w:rsidRPr="00705642" w:rsidRDefault="003E77F1" w:rsidP="00090B50">
            <w:pPr>
              <w:spacing w:before="60" w:after="60"/>
              <w:jc w:val="center"/>
              <w:rPr>
                <w:sz w:val="20"/>
                <w:szCs w:val="20"/>
              </w:rPr>
            </w:pPr>
            <w:r>
              <w:rPr>
                <w:sz w:val="20"/>
                <w:szCs w:val="20"/>
              </w:rPr>
              <w:t>26.7</w:t>
            </w:r>
          </w:p>
        </w:tc>
      </w:tr>
      <w:tr w:rsidR="00301120" w:rsidRPr="00090B50" w14:paraId="65E62B9E" w14:textId="48106883" w:rsidTr="003B2D38">
        <w:trPr>
          <w:trHeight w:val="456"/>
        </w:trPr>
        <w:tc>
          <w:tcPr>
            <w:tcW w:w="2268" w:type="dxa"/>
            <w:tcBorders>
              <w:top w:val="single" w:sz="4" w:space="0" w:color="000000"/>
            </w:tcBorders>
            <w:vAlign w:val="center"/>
          </w:tcPr>
          <w:p w14:paraId="13AABF3F" w14:textId="577B8FEF" w:rsidR="003E77F1" w:rsidRPr="00705642" w:rsidRDefault="003E77F1" w:rsidP="00090B50">
            <w:pPr>
              <w:spacing w:before="60" w:after="60"/>
              <w:ind w:left="34"/>
              <w:jc w:val="left"/>
              <w:rPr>
                <w:sz w:val="20"/>
                <w:szCs w:val="20"/>
              </w:rPr>
            </w:pPr>
            <w:r w:rsidRPr="00090B50">
              <w:rPr>
                <w:sz w:val="20"/>
                <w:szCs w:val="20"/>
              </w:rPr>
              <w:t>GHG (Mt CO</w:t>
            </w:r>
            <w:r w:rsidRPr="002A5904">
              <w:rPr>
                <w:sz w:val="20"/>
                <w:szCs w:val="20"/>
                <w:vertAlign w:val="subscript"/>
              </w:rPr>
              <w:t>2</w:t>
            </w:r>
            <w:r w:rsidRPr="00090B50">
              <w:rPr>
                <w:sz w:val="20"/>
                <w:szCs w:val="20"/>
              </w:rPr>
              <w:t>-e)</w:t>
            </w:r>
          </w:p>
        </w:tc>
        <w:tc>
          <w:tcPr>
            <w:tcW w:w="1843" w:type="dxa"/>
            <w:tcBorders>
              <w:top w:val="single" w:sz="4" w:space="0" w:color="000000"/>
            </w:tcBorders>
            <w:vAlign w:val="center"/>
          </w:tcPr>
          <w:p w14:paraId="67D4C4EF" w14:textId="4D89C13B" w:rsidR="003E77F1" w:rsidRPr="00705642" w:rsidRDefault="003E77F1" w:rsidP="00090B50">
            <w:pPr>
              <w:spacing w:before="60" w:after="60"/>
              <w:jc w:val="center"/>
              <w:rPr>
                <w:sz w:val="20"/>
                <w:szCs w:val="20"/>
              </w:rPr>
            </w:pPr>
            <w:r>
              <w:rPr>
                <w:sz w:val="20"/>
                <w:szCs w:val="20"/>
              </w:rPr>
              <w:t>8.8</w:t>
            </w:r>
          </w:p>
        </w:tc>
        <w:tc>
          <w:tcPr>
            <w:tcW w:w="1843" w:type="dxa"/>
            <w:tcBorders>
              <w:top w:val="single" w:sz="4" w:space="0" w:color="000000"/>
            </w:tcBorders>
            <w:vAlign w:val="center"/>
          </w:tcPr>
          <w:p w14:paraId="3F624BFF" w14:textId="3C2070DA" w:rsidR="003E77F1" w:rsidRPr="00705642" w:rsidRDefault="00A123FC" w:rsidP="00090B50">
            <w:pPr>
              <w:spacing w:before="60" w:after="60"/>
              <w:jc w:val="center"/>
              <w:rPr>
                <w:sz w:val="20"/>
                <w:szCs w:val="20"/>
              </w:rPr>
            </w:pPr>
            <w:r>
              <w:rPr>
                <w:sz w:val="20"/>
                <w:szCs w:val="20"/>
              </w:rPr>
              <w:t>2.2</w:t>
            </w:r>
          </w:p>
        </w:tc>
        <w:tc>
          <w:tcPr>
            <w:tcW w:w="1843" w:type="dxa"/>
            <w:tcBorders>
              <w:top w:val="single" w:sz="4" w:space="0" w:color="000000"/>
            </w:tcBorders>
            <w:vAlign w:val="center"/>
          </w:tcPr>
          <w:p w14:paraId="390A5073" w14:textId="43963CC1" w:rsidR="003E77F1" w:rsidRPr="00705642" w:rsidRDefault="00A123FC" w:rsidP="00090B50">
            <w:pPr>
              <w:spacing w:before="60" w:after="60"/>
              <w:jc w:val="center"/>
              <w:rPr>
                <w:sz w:val="20"/>
                <w:szCs w:val="20"/>
              </w:rPr>
            </w:pPr>
            <w:r>
              <w:rPr>
                <w:sz w:val="20"/>
                <w:szCs w:val="20"/>
              </w:rPr>
              <w:t>5.4</w:t>
            </w:r>
          </w:p>
        </w:tc>
        <w:tc>
          <w:tcPr>
            <w:tcW w:w="1843" w:type="dxa"/>
            <w:tcBorders>
              <w:top w:val="single" w:sz="4" w:space="0" w:color="000000"/>
            </w:tcBorders>
            <w:vAlign w:val="center"/>
          </w:tcPr>
          <w:p w14:paraId="5BBD2B4F" w14:textId="23FCA924" w:rsidR="003E77F1" w:rsidRPr="00705642" w:rsidRDefault="00A123FC" w:rsidP="00090B50">
            <w:pPr>
              <w:spacing w:before="60" w:after="60"/>
              <w:jc w:val="center"/>
              <w:rPr>
                <w:sz w:val="20"/>
                <w:szCs w:val="20"/>
              </w:rPr>
            </w:pPr>
            <w:r>
              <w:rPr>
                <w:sz w:val="20"/>
                <w:szCs w:val="20"/>
              </w:rPr>
              <w:t>7.6</w:t>
            </w:r>
          </w:p>
        </w:tc>
      </w:tr>
    </w:tbl>
    <w:p w14:paraId="3ECDE44C" w14:textId="5DEFCD0F" w:rsidR="003353BD" w:rsidRPr="000A62D9" w:rsidRDefault="003353BD" w:rsidP="003353BD">
      <w:pPr>
        <w:spacing w:before="0"/>
        <w:rPr>
          <w:sz w:val="20"/>
          <w:szCs w:val="20"/>
        </w:rPr>
      </w:pPr>
      <w:r w:rsidRPr="00FA5B51">
        <w:rPr>
          <w:sz w:val="20"/>
          <w:szCs w:val="20"/>
        </w:rPr>
        <w:t>(Source</w:t>
      </w:r>
      <w:r>
        <w:rPr>
          <w:sz w:val="20"/>
          <w:szCs w:val="20"/>
        </w:rPr>
        <w:t>:</w:t>
      </w:r>
      <w:r w:rsidRPr="00FA5B51">
        <w:rPr>
          <w:sz w:val="20"/>
          <w:szCs w:val="20"/>
        </w:rPr>
        <w:t xml:space="preserve"> DCCEE 2012b</w:t>
      </w:r>
      <w:r>
        <w:rPr>
          <w:sz w:val="20"/>
          <w:szCs w:val="20"/>
        </w:rPr>
        <w:t xml:space="preserve">, CBBS Volume 1, page </w:t>
      </w:r>
      <w:r w:rsidR="00B25DCE">
        <w:rPr>
          <w:sz w:val="20"/>
          <w:szCs w:val="20"/>
        </w:rPr>
        <w:t>67</w:t>
      </w:r>
      <w:r w:rsidRPr="00FA5B51">
        <w:rPr>
          <w:sz w:val="20"/>
          <w:szCs w:val="20"/>
        </w:rPr>
        <w:t>)</w:t>
      </w:r>
    </w:p>
    <w:p w14:paraId="02F5F110" w14:textId="77777777" w:rsidR="00C467A5" w:rsidRDefault="00C467A5" w:rsidP="00C467A5">
      <w:pPr>
        <w:spacing w:before="240"/>
        <w:rPr>
          <w:szCs w:val="22"/>
        </w:rPr>
      </w:pPr>
      <w:r>
        <w:rPr>
          <w:szCs w:val="22"/>
        </w:rPr>
        <w:t>The CHF2 model for supermarkets is based on both the bottom up modelling of equipment types, reconciled against a linear algorithm for storewide energy consumption per trading floor based on data provided by more than 500 supermarkets in 2009.</w:t>
      </w:r>
    </w:p>
    <w:p w14:paraId="302DADC8" w14:textId="77777777" w:rsidR="00C467A5" w:rsidRPr="00BB25C4" w:rsidRDefault="00C467A5" w:rsidP="00C467A5">
      <w:pPr>
        <w:spacing w:before="240"/>
        <w:rPr>
          <w:szCs w:val="22"/>
        </w:rPr>
      </w:pPr>
      <w:r w:rsidRPr="00BB25C4">
        <w:rPr>
          <w:szCs w:val="22"/>
        </w:rPr>
        <w:t xml:space="preserve">Electricity consumption (kWh </w:t>
      </w:r>
      <w:r>
        <w:rPr>
          <w:szCs w:val="22"/>
        </w:rPr>
        <w:t>per year</w:t>
      </w:r>
      <w:r w:rsidRPr="00BB25C4">
        <w:rPr>
          <w:szCs w:val="22"/>
        </w:rPr>
        <w:t>) =  998 x trading floor (m</w:t>
      </w:r>
      <w:r w:rsidRPr="00BB25C4">
        <w:rPr>
          <w:szCs w:val="22"/>
          <w:vertAlign w:val="superscript"/>
        </w:rPr>
        <w:t>2</w:t>
      </w:r>
      <w:r w:rsidRPr="00BB25C4">
        <w:rPr>
          <w:szCs w:val="22"/>
        </w:rPr>
        <w:t>) – 167,500</w:t>
      </w:r>
    </w:p>
    <w:p w14:paraId="6370A99F" w14:textId="2623328A" w:rsidR="00C467A5" w:rsidRPr="00BB25C4" w:rsidRDefault="00C467A5" w:rsidP="00C467A5">
      <w:pPr>
        <w:spacing w:before="240"/>
        <w:rPr>
          <w:szCs w:val="22"/>
        </w:rPr>
      </w:pPr>
      <w:r>
        <w:rPr>
          <w:szCs w:val="22"/>
        </w:rPr>
        <w:t>The operating hours of the stores surveyed ranged from 3,152 to 6,552 hours per annum, averaging 87 hours per week across the sample. The study found that o</w:t>
      </w:r>
      <w:r w:rsidRPr="00BB25C4">
        <w:rPr>
          <w:szCs w:val="22"/>
        </w:rPr>
        <w:t>perating hours</w:t>
      </w:r>
      <w:r>
        <w:rPr>
          <w:szCs w:val="22"/>
        </w:rPr>
        <w:t xml:space="preserve"> or the inclusion of </w:t>
      </w:r>
      <w:r w:rsidRPr="00BB25C4">
        <w:rPr>
          <w:szCs w:val="22"/>
        </w:rPr>
        <w:t>liquor</w:t>
      </w:r>
      <w:r>
        <w:rPr>
          <w:szCs w:val="22"/>
        </w:rPr>
        <w:t xml:space="preserve"> sales was </w:t>
      </w:r>
      <w:r w:rsidRPr="00BB25C4">
        <w:rPr>
          <w:szCs w:val="22"/>
        </w:rPr>
        <w:t>not statistically significant</w:t>
      </w:r>
      <w:r>
        <w:rPr>
          <w:szCs w:val="22"/>
        </w:rPr>
        <w:t xml:space="preserve"> in terms of differences in energy intensity across the supermarket sample. However </w:t>
      </w:r>
      <w:r w:rsidR="005D30C8">
        <w:rPr>
          <w:szCs w:val="22"/>
        </w:rPr>
        <w:t xml:space="preserve">ambient temperatures </w:t>
      </w:r>
      <w:r>
        <w:rPr>
          <w:szCs w:val="22"/>
        </w:rPr>
        <w:t xml:space="preserve">was with supermarkets </w:t>
      </w:r>
      <w:r w:rsidR="005D30C8">
        <w:rPr>
          <w:szCs w:val="22"/>
        </w:rPr>
        <w:t xml:space="preserve">for example </w:t>
      </w:r>
      <w:r w:rsidR="005D30C8" w:rsidRPr="005D30C8">
        <w:rPr>
          <w:szCs w:val="22"/>
        </w:rPr>
        <w:t xml:space="preserve">Building Code of Australia </w:t>
      </w:r>
      <w:r w:rsidR="005D62E2">
        <w:rPr>
          <w:szCs w:val="22"/>
        </w:rPr>
        <w:t>(</w:t>
      </w:r>
      <w:r w:rsidR="005D30C8">
        <w:rPr>
          <w:szCs w:val="22"/>
        </w:rPr>
        <w:t>BCA</w:t>
      </w:r>
      <w:r w:rsidR="005D62E2">
        <w:rPr>
          <w:szCs w:val="22"/>
        </w:rPr>
        <w:t xml:space="preserve">) </w:t>
      </w:r>
      <w:r>
        <w:rPr>
          <w:szCs w:val="22"/>
        </w:rPr>
        <w:t>Climate zone 1 (i.e. tropical northern Australia) report</w:t>
      </w:r>
      <w:r w:rsidR="005D62E2">
        <w:rPr>
          <w:szCs w:val="22"/>
        </w:rPr>
        <w:t>ed</w:t>
      </w:r>
      <w:r>
        <w:rPr>
          <w:szCs w:val="22"/>
        </w:rPr>
        <w:t xml:space="preserve"> energy intensit</w:t>
      </w:r>
      <w:r w:rsidR="005D62E2">
        <w:rPr>
          <w:szCs w:val="22"/>
        </w:rPr>
        <w:t xml:space="preserve">ies </w:t>
      </w:r>
      <w:r>
        <w:rPr>
          <w:szCs w:val="22"/>
        </w:rPr>
        <w:t xml:space="preserve">15% higher than the average, and </w:t>
      </w:r>
      <w:r w:rsidR="005D62E2">
        <w:rPr>
          <w:szCs w:val="22"/>
        </w:rPr>
        <w:t xml:space="preserve">BCA </w:t>
      </w:r>
      <w:r>
        <w:rPr>
          <w:szCs w:val="22"/>
        </w:rPr>
        <w:t>Climate zones 2, 3 and 4 around 5% higher than average.</w:t>
      </w:r>
      <w:r>
        <w:rPr>
          <w:rStyle w:val="FootnoteReference"/>
          <w:szCs w:val="22"/>
        </w:rPr>
        <w:footnoteReference w:id="31"/>
      </w:r>
      <w:r>
        <w:rPr>
          <w:szCs w:val="22"/>
        </w:rPr>
        <w:t xml:space="preserve"> </w:t>
      </w:r>
    </w:p>
    <w:p w14:paraId="7428330B" w14:textId="77777777" w:rsidR="00C467A5" w:rsidRDefault="00C467A5" w:rsidP="00C467A5">
      <w:pPr>
        <w:spacing w:before="240"/>
        <w:rPr>
          <w:szCs w:val="22"/>
        </w:rPr>
      </w:pPr>
      <w:r>
        <w:rPr>
          <w:szCs w:val="22"/>
        </w:rPr>
        <w:t xml:space="preserve">The CHF2 methodology arrives at a total nationwide value of 18.4 PJ of energy consumption per annum for all supermarkets (compared to CBBS calculation of 26.7 PJ). The authors estimate that actual energy consumption has possibly declined by around 2.5 per cent per annum or a further 10 per cent since 2009. </w:t>
      </w:r>
    </w:p>
    <w:p w14:paraId="453B179E" w14:textId="102C2717" w:rsidR="00C467A5" w:rsidRDefault="00C467A5" w:rsidP="00C467A5">
      <w:pPr>
        <w:spacing w:before="240"/>
        <w:rPr>
          <w:szCs w:val="22"/>
        </w:rPr>
      </w:pPr>
      <w:r>
        <w:rPr>
          <w:szCs w:val="22"/>
        </w:rPr>
        <w:t xml:space="preserve">The significant difference in these results can to some extent be attributed to the notable differences in the estimates of total area occupied by supermarkets. CHF2 estimates </w:t>
      </w:r>
      <w:r w:rsidR="005D62E2">
        <w:rPr>
          <w:szCs w:val="22"/>
        </w:rPr>
        <w:t xml:space="preserve">that </w:t>
      </w:r>
      <w:r>
        <w:rPr>
          <w:szCs w:val="22"/>
        </w:rPr>
        <w:t>supermarkets occupy a total trading floor area of 5.5 million m</w:t>
      </w:r>
      <w:r w:rsidRPr="00BD3EB1">
        <w:rPr>
          <w:szCs w:val="22"/>
          <w:vertAlign w:val="superscript"/>
        </w:rPr>
        <w:t>2</w:t>
      </w:r>
      <w:r>
        <w:rPr>
          <w:szCs w:val="22"/>
        </w:rPr>
        <w:t xml:space="preserve"> </w:t>
      </w:r>
      <w:r w:rsidR="005D62E2">
        <w:rPr>
          <w:szCs w:val="22"/>
        </w:rPr>
        <w:t xml:space="preserve">which </w:t>
      </w:r>
      <w:r>
        <w:rPr>
          <w:szCs w:val="22"/>
        </w:rPr>
        <w:t xml:space="preserve">does not include an allowance for base building services (i.e. air conditioning) when stores are situated in shopping centres. </w:t>
      </w:r>
      <w:r w:rsidR="005D62E2">
        <w:rPr>
          <w:szCs w:val="22"/>
        </w:rPr>
        <w:t>In comparison</w:t>
      </w:r>
      <w:r>
        <w:rPr>
          <w:szCs w:val="22"/>
        </w:rPr>
        <w:t xml:space="preserve"> the CBBS report </w:t>
      </w:r>
      <w:r w:rsidRPr="00CD715A">
        <w:rPr>
          <w:szCs w:val="22"/>
        </w:rPr>
        <w:t>concluded supermarkets occupy an area of more than 8 million m</w:t>
      </w:r>
      <w:r w:rsidRPr="00BD3EB1">
        <w:rPr>
          <w:szCs w:val="22"/>
          <w:vertAlign w:val="superscript"/>
        </w:rPr>
        <w:t>2</w:t>
      </w:r>
      <w:r>
        <w:rPr>
          <w:szCs w:val="22"/>
        </w:rPr>
        <w:t>. The CHF2 definition for trading floor excludes s</w:t>
      </w:r>
      <w:r w:rsidRPr="004D46DC">
        <w:rPr>
          <w:szCs w:val="22"/>
        </w:rPr>
        <w:t>torage areas (refrigerated and non-refrigerated)</w:t>
      </w:r>
      <w:r>
        <w:rPr>
          <w:szCs w:val="22"/>
        </w:rPr>
        <w:t xml:space="preserve">; </w:t>
      </w:r>
      <w:r w:rsidRPr="004D46DC">
        <w:rPr>
          <w:szCs w:val="22"/>
        </w:rPr>
        <w:t>plant room</w:t>
      </w:r>
      <w:r>
        <w:rPr>
          <w:szCs w:val="22"/>
        </w:rPr>
        <w:t>s not accessible to the public; u</w:t>
      </w:r>
      <w:r w:rsidRPr="004D46DC">
        <w:rPr>
          <w:szCs w:val="22"/>
        </w:rPr>
        <w:t>ndercover walk-ways stairwells, atria or lobbies prior to entry or exit;</w:t>
      </w:r>
      <w:r>
        <w:rPr>
          <w:szCs w:val="22"/>
        </w:rPr>
        <w:t xml:space="preserve"> c</w:t>
      </w:r>
      <w:r w:rsidRPr="004D46DC">
        <w:rPr>
          <w:szCs w:val="22"/>
        </w:rPr>
        <w:t>ar parking areas (open or undercover);</w:t>
      </w:r>
      <w:r>
        <w:rPr>
          <w:szCs w:val="22"/>
        </w:rPr>
        <w:t xml:space="preserve"> s</w:t>
      </w:r>
      <w:r w:rsidRPr="004D46DC">
        <w:rPr>
          <w:szCs w:val="22"/>
        </w:rPr>
        <w:t xml:space="preserve">upporting functions such as kitchens and break rooms used by staff, and </w:t>
      </w:r>
      <w:r>
        <w:rPr>
          <w:szCs w:val="22"/>
        </w:rPr>
        <w:t>a</w:t>
      </w:r>
      <w:r w:rsidRPr="004D46DC">
        <w:rPr>
          <w:szCs w:val="22"/>
        </w:rPr>
        <w:t>dministration offices and areas.</w:t>
      </w:r>
    </w:p>
    <w:p w14:paraId="0705F486" w14:textId="77777777" w:rsidR="00C467A5" w:rsidRPr="004D46DC" w:rsidRDefault="00C467A5" w:rsidP="00C467A5">
      <w:pPr>
        <w:spacing w:before="240"/>
        <w:rPr>
          <w:szCs w:val="22"/>
        </w:rPr>
      </w:pPr>
      <w:r>
        <w:rPr>
          <w:szCs w:val="22"/>
        </w:rPr>
        <w:t>Interestingly, despite the large difference between the two studies calculations of total area occupied and total energy used, the electricity intensity of supermarkets as calculated by CHF2, of 3,352 MJ/m</w:t>
      </w:r>
      <w:r w:rsidRPr="004D46DC">
        <w:rPr>
          <w:szCs w:val="22"/>
          <w:vertAlign w:val="superscript"/>
        </w:rPr>
        <w:t>2</w:t>
      </w:r>
      <w:r>
        <w:rPr>
          <w:szCs w:val="22"/>
        </w:rPr>
        <w:t>/year, very closely aligns with CBBS study of 3,375 MJ/m</w:t>
      </w:r>
      <w:r w:rsidRPr="005C75E8">
        <w:rPr>
          <w:szCs w:val="22"/>
          <w:vertAlign w:val="superscript"/>
        </w:rPr>
        <w:t>2</w:t>
      </w:r>
      <w:r>
        <w:rPr>
          <w:szCs w:val="22"/>
        </w:rPr>
        <w:t xml:space="preserve">/year.  </w:t>
      </w:r>
    </w:p>
    <w:p w14:paraId="0A827048" w14:textId="77777777" w:rsidR="00C467A5" w:rsidRDefault="00C467A5" w:rsidP="00C467A5">
      <w:pPr>
        <w:rPr>
          <w:szCs w:val="22"/>
        </w:rPr>
      </w:pPr>
      <w:r>
        <w:rPr>
          <w:szCs w:val="22"/>
        </w:rPr>
        <w:t>Based on detailed individual energy audits of supermarkets, and data provided by major supermarket chains to other research conducted by the authors, CHF2 estimates that 50% of all energy used in supermarkets is consumed for refrigeration energy. Although a small proportion of stores with more dry goods than average could have a lower proportion of refrigeration energy. Conversely the authors have undertaken audits in independent supermarkets, with little or no air conditioning installed, where refrigeration accounts for as much as 75% of all energy consumed.</w:t>
      </w:r>
    </w:p>
    <w:p w14:paraId="491A2517" w14:textId="77777777" w:rsidR="00C467A5" w:rsidRPr="005D263F" w:rsidRDefault="00C467A5" w:rsidP="00C467A5">
      <w:pPr>
        <w:rPr>
          <w:szCs w:val="22"/>
        </w:rPr>
      </w:pPr>
      <w:r>
        <w:rPr>
          <w:szCs w:val="22"/>
        </w:rPr>
        <w:t xml:space="preserve">Assuming for the moment that the CHF2 value for total energy used in supermarkets is correct, and attributing 50% of all energy to refrigeration suggests that refrigeration in supermarkets in Australia consumes around 9.2 PJ of energy per annum. To put that in perspective, 9.2 PJ is equal to 17 per cent </w:t>
      </w:r>
      <w:r w:rsidRPr="005D263F">
        <w:rPr>
          <w:szCs w:val="22"/>
        </w:rPr>
        <w:t xml:space="preserve">of all the energy estimated to be consumed </w:t>
      </w:r>
      <w:r>
        <w:rPr>
          <w:szCs w:val="22"/>
        </w:rPr>
        <w:t>(for refrigeration and refrigerated transport services) in</w:t>
      </w:r>
      <w:r w:rsidRPr="005D263F">
        <w:rPr>
          <w:szCs w:val="22"/>
        </w:rPr>
        <w:t xml:space="preserve"> the entire refrigerated cold food chain</w:t>
      </w:r>
      <w:r>
        <w:rPr>
          <w:szCs w:val="22"/>
        </w:rPr>
        <w:t>,</w:t>
      </w:r>
      <w:r w:rsidRPr="005D263F">
        <w:rPr>
          <w:szCs w:val="22"/>
        </w:rPr>
        <w:t xml:space="preserve"> using the bottom up approach of the CHF2 stock model.</w:t>
      </w:r>
      <w:r>
        <w:rPr>
          <w:szCs w:val="22"/>
        </w:rPr>
        <w:t xml:space="preserve"> Given the CBBS estimate of area occupied by supermarkets and total energy use, this value could be conservative.</w:t>
      </w:r>
    </w:p>
    <w:p w14:paraId="74A330B9" w14:textId="0B0DC045" w:rsidR="002A5904" w:rsidRPr="005D263F" w:rsidRDefault="00C467A5" w:rsidP="00C467A5">
      <w:pPr>
        <w:rPr>
          <w:szCs w:val="22"/>
        </w:rPr>
      </w:pPr>
      <w:r w:rsidRPr="005D263F">
        <w:rPr>
          <w:szCs w:val="22"/>
        </w:rPr>
        <w:lastRenderedPageBreak/>
        <w:t>On this analysis, any national strategy aimed at improving overall energy efficiency in the RAC industry, and in the built environment, should have commercial refrigeration and supermarkets high on the list</w:t>
      </w:r>
      <w:r>
        <w:rPr>
          <w:szCs w:val="22"/>
        </w:rPr>
        <w:t xml:space="preserve"> or priorities</w:t>
      </w:r>
      <w:r w:rsidRPr="005D263F">
        <w:rPr>
          <w:szCs w:val="22"/>
        </w:rPr>
        <w:t>.</w:t>
      </w:r>
    </w:p>
    <w:p w14:paraId="6422A836" w14:textId="77777777" w:rsidR="00164992" w:rsidRDefault="00164992" w:rsidP="001343DE">
      <w:pPr>
        <w:spacing w:before="0"/>
        <w:jc w:val="left"/>
        <w:rPr>
          <w:szCs w:val="22"/>
        </w:rPr>
      </w:pPr>
    </w:p>
    <w:p w14:paraId="12F53E61" w14:textId="069A5A80" w:rsidR="001343DE" w:rsidRDefault="00164992" w:rsidP="007B6646">
      <w:pPr>
        <w:pStyle w:val="Heading2"/>
        <w:ind w:left="567" w:hanging="567"/>
      </w:pPr>
      <w:bookmarkStart w:id="99" w:name="_Toc233084169"/>
      <w:r w:rsidRPr="00164992">
        <w:t xml:space="preserve">Stationary </w:t>
      </w:r>
      <w:r>
        <w:t>a</w:t>
      </w:r>
      <w:r w:rsidRPr="00164992">
        <w:t xml:space="preserve">ir conditioning </w:t>
      </w:r>
      <w:r>
        <w:t>e</w:t>
      </w:r>
      <w:r w:rsidRPr="00164992">
        <w:t xml:space="preserve">mbedded in the </w:t>
      </w:r>
      <w:r>
        <w:t>a</w:t>
      </w:r>
      <w:r w:rsidRPr="00164992">
        <w:t>rchitecture</w:t>
      </w:r>
      <w:bookmarkEnd w:id="99"/>
    </w:p>
    <w:p w14:paraId="79744831" w14:textId="4D9B8408" w:rsidR="002A5904" w:rsidRPr="002A5904" w:rsidRDefault="002A5904" w:rsidP="002A5904">
      <w:r w:rsidRPr="002A5904">
        <w:t>Between 1999 and 2012 the number of individual residential size air conditioning systems (AC1, AC2, AC3 and AC4) in Australia grew from an estimated 2.6 million units to just under 11</w:t>
      </w:r>
      <w:r w:rsidR="001D7F45">
        <w:t>.5</w:t>
      </w:r>
      <w:r w:rsidRPr="002A5904">
        <w:t xml:space="preserve"> million devices, a number substantially higher than the estimated 8 million private dwellings.</w:t>
      </w:r>
    </w:p>
    <w:p w14:paraId="7D02852B" w14:textId="77777777" w:rsidR="002A5904" w:rsidRPr="002A5904" w:rsidRDefault="002A5904" w:rsidP="002A5904">
      <w:r w:rsidRPr="002A5904">
        <w:t xml:space="preserve">Driven by a massive decline in unit prices (down by 80 per cent), largely as a result of new Chinese and Thai manufacturing capacity, and a long period of strong economic growth in Australia, air conditioning in households went from being something that was relatively rare, to being common, and then an expectation. </w:t>
      </w:r>
    </w:p>
    <w:p w14:paraId="64BBCF1C" w14:textId="77777777" w:rsidR="002A5904" w:rsidRPr="002A5904" w:rsidRDefault="002A5904" w:rsidP="002A5904">
      <w:r w:rsidRPr="002A5904">
        <w:t>A proportion of these smaller refrigerated air conditioning devices have also been installed in small commercial and retail premises, although as evidenced by the late afternoon timing of the summer electricity demand peak they create across Australia’s electricity grids, the majority clearly operate in homes.</w:t>
      </w:r>
    </w:p>
    <w:p w14:paraId="14055531" w14:textId="6D762324" w:rsidR="002A5904" w:rsidRPr="002A5904" w:rsidRDefault="002A5904" w:rsidP="002A5904">
      <w:r w:rsidRPr="002A5904">
        <w:t xml:space="preserve">Stationary air conditioning as a class has become the largest consumer of electricity in the RAC sector, with the explosive growth in residential </w:t>
      </w:r>
      <w:r w:rsidR="00521F81">
        <w:t xml:space="preserve">air conditioning </w:t>
      </w:r>
      <w:r w:rsidRPr="002A5904">
        <w:t xml:space="preserve">in the last decade often being referenced as the single most important driver of peak electricity demand, and therefore of electricity prices, in Australia. </w:t>
      </w:r>
    </w:p>
    <w:p w14:paraId="2BA2017C" w14:textId="77777777" w:rsidR="002A5904" w:rsidRPr="002A5904" w:rsidRDefault="002A5904" w:rsidP="002A5904">
      <w:r w:rsidRPr="002A5904">
        <w:t xml:space="preserve">This has had a range of negative outcomes for the capacity and performance of electricity distribution systems, electricity prices and Australia’s greenhouse emissions. However this uptake of residential air conditioning is a relatively recent occurrence. </w:t>
      </w:r>
    </w:p>
    <w:p w14:paraId="011FACDF" w14:textId="72FAEC40" w:rsidR="002A5904" w:rsidRPr="002A5904" w:rsidRDefault="002A5904" w:rsidP="002A5904">
      <w:r w:rsidRPr="002A5904">
        <w:t>Over a much longer period, since at least the early 1970s in Australia, the availability of reliable, robust and effective commercial air conditioning has been steadily gaining coverage</w:t>
      </w:r>
      <w:r w:rsidR="00521F81">
        <w:t xml:space="preserve"> in non-residential buildings. </w:t>
      </w:r>
      <w:r w:rsidRPr="002A5904">
        <w:t>Today it is nearly ubiquitous in every type of public and private non-residential building in Australia.</w:t>
      </w:r>
    </w:p>
    <w:p w14:paraId="37378AAE" w14:textId="77777777" w:rsidR="002A5904" w:rsidRPr="002A5904" w:rsidRDefault="002A5904" w:rsidP="002A5904">
      <w:r w:rsidRPr="002A5904">
        <w:t xml:space="preserve">Today, there are few places in the non-residential built environment where refrigerated air conditioning and mechanical ventilation systems are not encountered, from airport terminals and exhibition halls, to offices and shops. </w:t>
      </w:r>
    </w:p>
    <w:p w14:paraId="68CFFA5E" w14:textId="1848E066" w:rsidR="002A5904" w:rsidRPr="002A5904" w:rsidRDefault="002A5904" w:rsidP="002A5904">
      <w:r w:rsidRPr="002A5904">
        <w:t xml:space="preserve">As a result of reliable air conditioning and mechanical ventilation becoming a standard feature of the built environment, it has fundamentally changed how non-residential buildings are designed and are operated. From the earliest times up to as recently as the 1960s in Australia, nearly all buildings were designed to not just allow, but in many instances to maximise natural ventilation, for instance with windows that opened in </w:t>
      </w:r>
      <w:r w:rsidR="00B30F64">
        <w:t>even</w:t>
      </w:r>
      <w:r w:rsidRPr="002A5904">
        <w:t xml:space="preserve"> the tallest buildings of the day.</w:t>
      </w:r>
    </w:p>
    <w:p w14:paraId="0DC4E68E" w14:textId="77777777" w:rsidR="002A5904" w:rsidRPr="002A5904" w:rsidRDefault="002A5904" w:rsidP="002A5904">
      <w:r w:rsidRPr="002A5904">
        <w:t xml:space="preserve">Changes in materials, particularly in glass manufacture and treatments, advances in construction techniques and in the scale of buildings, combined with rapid advances in refrigerated air conditioning and the controls of the much older technology of mechanical ventilation, have combined to allow completely different approaches to building design. </w:t>
      </w:r>
    </w:p>
    <w:p w14:paraId="55CD9978" w14:textId="60C4222D" w:rsidR="002A5904" w:rsidRPr="002A5904" w:rsidRDefault="002A5904" w:rsidP="002A5904">
      <w:r w:rsidRPr="002A5904">
        <w:t>In the latter decades of the 20</w:t>
      </w:r>
      <w:r w:rsidRPr="00521F81">
        <w:rPr>
          <w:vertAlign w:val="superscript"/>
        </w:rPr>
        <w:t>th</w:t>
      </w:r>
      <w:r w:rsidRPr="002A5904">
        <w:t xml:space="preserve"> century, the marvellous relief enjoyed on a hot day in almost any modern city when entering a well air conditioned building became an increasingly common experience, and eventually an expectation. </w:t>
      </w:r>
    </w:p>
    <w:p w14:paraId="4B858029" w14:textId="4EF64917" w:rsidR="002A5904" w:rsidRPr="002A5904" w:rsidRDefault="002A5904" w:rsidP="002A5904">
      <w:r w:rsidRPr="002A5904">
        <w:t>Now, as an example of how fundamental the change is, many modern buildings are designed to effectively eliminate ingress of air, with no opening windows and airlocks at the main doors. ‘Outside’ air is only introduced through the control of mechanical ventilation and a</w:t>
      </w:r>
      <w:r w:rsidR="00521F81">
        <w:t xml:space="preserve">ir conditioning systems in order to comply with minimum fresh air requirements for commercial buildings (e.g. </w:t>
      </w:r>
      <w:r w:rsidR="008F774B" w:rsidRPr="008F774B">
        <w:rPr>
          <w:i/>
        </w:rPr>
        <w:t>AS  1668.2</w:t>
      </w:r>
      <w:r w:rsidR="008F774B">
        <w:t xml:space="preserve"> </w:t>
      </w:r>
      <w:r w:rsidR="008F774B" w:rsidRPr="008F774B">
        <w:rPr>
          <w:i/>
        </w:rPr>
        <w:t>The use of ventilation and air</w:t>
      </w:r>
      <w:r w:rsidR="008F774B">
        <w:rPr>
          <w:i/>
        </w:rPr>
        <w:t xml:space="preserve"> </w:t>
      </w:r>
      <w:r w:rsidR="008F774B" w:rsidRPr="008F774B">
        <w:rPr>
          <w:i/>
        </w:rPr>
        <w:t>conditioning in buildings</w:t>
      </w:r>
      <w:r w:rsidR="008F774B" w:rsidRPr="008F774B">
        <w:t xml:space="preserve"> </w:t>
      </w:r>
      <w:r w:rsidR="008F774B">
        <w:t xml:space="preserve">prescribes a requirement </w:t>
      </w:r>
      <w:r w:rsidR="00521F81">
        <w:t xml:space="preserve">7.5 </w:t>
      </w:r>
      <w:r w:rsidR="008F774B">
        <w:t xml:space="preserve">to 15 </w:t>
      </w:r>
      <w:r w:rsidR="00521F81">
        <w:t xml:space="preserve">litres per second per person </w:t>
      </w:r>
      <w:r w:rsidR="008F774B">
        <w:t>depending on the types of filters, openings and other factors)</w:t>
      </w:r>
      <w:r w:rsidR="00521F81">
        <w:t>.</w:t>
      </w:r>
    </w:p>
    <w:p w14:paraId="5B92907D" w14:textId="77777777" w:rsidR="002A5904" w:rsidRPr="002A5904" w:rsidRDefault="002A5904" w:rsidP="002A5904">
      <w:r w:rsidRPr="002A5904">
        <w:t xml:space="preserve">By the last decade of the twentieth century, existing commercial, industrial and public buildings of all shapes and sizes were being retrofitted with chiller systems and advanced building controls and ventilation systems. </w:t>
      </w:r>
    </w:p>
    <w:p w14:paraId="20BE0552" w14:textId="77777777" w:rsidR="002A5904" w:rsidRPr="002A5904" w:rsidRDefault="002A5904" w:rsidP="002A5904">
      <w:r w:rsidRPr="002A5904">
        <w:lastRenderedPageBreak/>
        <w:t xml:space="preserve">While the older buildings were being substantially modified to accommodate HVAC systems, almost all new buildings were being designed and built with a total reliance on the capacity of large HVAC systems, driven by advanced programmable controls, to provide comfort conditions across very complex built environments. </w:t>
      </w:r>
    </w:p>
    <w:p w14:paraId="34DEE292" w14:textId="656BDCF1" w:rsidR="002A5904" w:rsidRPr="002A5904" w:rsidRDefault="002A5904" w:rsidP="002A5904">
      <w:r w:rsidRPr="002A5904">
        <w:t>Many of the glass walled towers in Australian city centres (designed and constructed in the last three decades) gain so much solar heat through the expanses of glass, that even on winter days the HVAC systems are operating at high capacity to extract heat from the upper floors of the buildings. On hot summer days m</w:t>
      </w:r>
      <w:r w:rsidR="00D01B87">
        <w:t>ost</w:t>
      </w:r>
      <w:r w:rsidRPr="002A5904">
        <w:t xml:space="preserve"> HVAC systems are operating at</w:t>
      </w:r>
      <w:r w:rsidR="00D01B87">
        <w:t>,</w:t>
      </w:r>
      <w:r w:rsidRPr="002A5904">
        <w:t xml:space="preserve"> or near to capacity</w:t>
      </w:r>
      <w:r w:rsidR="00D01B87">
        <w:t>,</w:t>
      </w:r>
      <w:r w:rsidRPr="002A5904">
        <w:t xml:space="preserve"> from early in the day until well after sundown. </w:t>
      </w:r>
      <w:r w:rsidR="00D01B87">
        <w:t xml:space="preserve">Many of our cities major </w:t>
      </w:r>
      <w:r w:rsidRPr="002A5904">
        <w:t>buildings quickly become uninhabitable</w:t>
      </w:r>
      <w:r w:rsidR="00D01B87">
        <w:t xml:space="preserve"> if their HVAC systems break down on a hot summers day</w:t>
      </w:r>
      <w:r w:rsidRPr="002A5904">
        <w:t>.</w:t>
      </w:r>
    </w:p>
    <w:p w14:paraId="65A6D553" w14:textId="5415B74B" w:rsidR="002A5904" w:rsidRDefault="002A5904" w:rsidP="002A5904">
      <w:r w:rsidRPr="002A5904">
        <w:t>This reliance in our city centres on the operation of HVAC systems, and the costs of failure of these systems, either as a result of power failure, or on an individual basis in important buildings, should not be underestimated. A number of effective measures to improve the overall efficiency, management and maintenance of these systems, and to reduce the risk of individual system failure were identified in the HVAC HESS published in 2007</w:t>
      </w:r>
      <w:r w:rsidR="005E27C5">
        <w:t xml:space="preserve"> (E3 2007)</w:t>
      </w:r>
      <w:r w:rsidRPr="002A5904">
        <w:t xml:space="preserve">. </w:t>
      </w:r>
      <w:r w:rsidR="005D62E2">
        <w:t>Of these measures, a number have not been implemented.</w:t>
      </w:r>
    </w:p>
    <w:p w14:paraId="73E0F8A5" w14:textId="77777777" w:rsidR="00C467A5" w:rsidRPr="002A5904" w:rsidRDefault="00C467A5" w:rsidP="002A5904"/>
    <w:p w14:paraId="5DF44AB7" w14:textId="46FE8CFE" w:rsidR="001343DE" w:rsidRDefault="00164992" w:rsidP="007B6646">
      <w:pPr>
        <w:pStyle w:val="Heading2"/>
        <w:ind w:left="567" w:hanging="567"/>
      </w:pPr>
      <w:bookmarkStart w:id="100" w:name="_Toc233084170"/>
      <w:r w:rsidRPr="00164992">
        <w:t xml:space="preserve">Cool </w:t>
      </w:r>
      <w:r>
        <w:t>c</w:t>
      </w:r>
      <w:r w:rsidRPr="00164992">
        <w:t>omputers</w:t>
      </w:r>
      <w:bookmarkEnd w:id="100"/>
    </w:p>
    <w:p w14:paraId="63D9009D" w14:textId="77777777" w:rsidR="00EC3BD0" w:rsidRPr="00EC3BD0" w:rsidRDefault="00EC3BD0" w:rsidP="00EC3BD0">
      <w:pPr>
        <w:rPr>
          <w:szCs w:val="22"/>
        </w:rPr>
      </w:pPr>
      <w:r w:rsidRPr="00EC3BD0">
        <w:rPr>
          <w:szCs w:val="22"/>
        </w:rPr>
        <w:t>Alongside the dependency on HVAC that has developed across much of our cityscapes, the rapid development in just the last 20 years, particularly since the beginning of the 21</w:t>
      </w:r>
      <w:r w:rsidRPr="00EC3BD0">
        <w:rPr>
          <w:szCs w:val="22"/>
          <w:vertAlign w:val="superscript"/>
        </w:rPr>
        <w:t>st</w:t>
      </w:r>
      <w:r w:rsidRPr="00EC3BD0">
        <w:rPr>
          <w:szCs w:val="22"/>
        </w:rPr>
        <w:t xml:space="preserve"> century, of telecommunications, computing and internet server centres, has embedded reliance on HVAC systems in the core of our modern infrastructure.</w:t>
      </w:r>
    </w:p>
    <w:p w14:paraId="16F96466" w14:textId="77777777" w:rsidR="00EC3BD0" w:rsidRPr="00EC3BD0" w:rsidRDefault="00EC3BD0" w:rsidP="00EC3BD0">
      <w:pPr>
        <w:rPr>
          <w:szCs w:val="22"/>
        </w:rPr>
      </w:pPr>
      <w:r w:rsidRPr="00EC3BD0">
        <w:rPr>
          <w:szCs w:val="22"/>
        </w:rPr>
        <w:t xml:space="preserve">All modern computing and telecommunication centres run ‘close control’ air conditioning systems (CCAC) to maintain very tightly controlled temperatures in the machinery rooms. </w:t>
      </w:r>
    </w:p>
    <w:p w14:paraId="788D5CF7" w14:textId="77777777" w:rsidR="00EC3BD0" w:rsidRPr="00EC3BD0" w:rsidRDefault="00EC3BD0" w:rsidP="00EC3BD0">
      <w:pPr>
        <w:rPr>
          <w:szCs w:val="22"/>
        </w:rPr>
      </w:pPr>
      <w:r w:rsidRPr="00EC3BD0">
        <w:rPr>
          <w:szCs w:val="22"/>
        </w:rPr>
        <w:t>These ‘server farms’ generate a lot of heat from the operation of the machinery. The computers themselves have quite tight optimal operating conditions and a lot of energy use in computers is actually used in driving internal fans to keep the semiconductors, magnetic and electronic components below maximum allowable operating temperatures.</w:t>
      </w:r>
    </w:p>
    <w:p w14:paraId="62346D9C" w14:textId="77777777" w:rsidR="00EC3BD0" w:rsidRPr="00EC3BD0" w:rsidRDefault="00EC3BD0" w:rsidP="00EC3BD0">
      <w:pPr>
        <w:rPr>
          <w:szCs w:val="22"/>
        </w:rPr>
      </w:pPr>
      <w:r w:rsidRPr="00EC3BD0">
        <w:rPr>
          <w:szCs w:val="22"/>
        </w:rPr>
        <w:t>As a result ‘close control’ air conditioning has developed rapidly as a highly specialised and energy intensive industry segment in its own right, hand in hand with the massive investments in computing and telecommunications infrastructure that have been made around the world since the beginning of the 1990s.</w:t>
      </w:r>
    </w:p>
    <w:p w14:paraId="105DD982" w14:textId="77777777" w:rsidR="00EC3BD0" w:rsidRPr="00EC3BD0" w:rsidRDefault="00EC3BD0" w:rsidP="00EC3BD0">
      <w:pPr>
        <w:rPr>
          <w:szCs w:val="22"/>
        </w:rPr>
      </w:pPr>
      <w:r w:rsidRPr="00EC3BD0">
        <w:rPr>
          <w:szCs w:val="22"/>
        </w:rPr>
        <w:t>CCACs operate under different conditions to those air conditioners providing comfort conditions for people. CCAC are a central air conditioner specifically designed for use in data processing areas, and typically maintaining an internal temperature of 22</w:t>
      </w:r>
      <w:r w:rsidRPr="00EC3BD0">
        <w:rPr>
          <w:szCs w:val="22"/>
          <w:vertAlign w:val="superscript"/>
        </w:rPr>
        <w:t>o</w:t>
      </w:r>
      <w:r w:rsidRPr="00EC3BD0">
        <w:rPr>
          <w:szCs w:val="22"/>
        </w:rPr>
        <w:t xml:space="preserve">C and a relative humidity of 52 per cent. These air conditioners are designed to cool equipment rather than people, hence they are specifically designed to </w:t>
      </w:r>
      <w:r w:rsidRPr="007C614C">
        <w:rPr>
          <w:szCs w:val="22"/>
        </w:rPr>
        <w:t>remove more sensible heat rather than latent heat from the controlled environment.</w:t>
      </w:r>
    </w:p>
    <w:p w14:paraId="7B6E0FEA" w14:textId="77777777" w:rsidR="00EC3BD0" w:rsidRPr="00EC3BD0" w:rsidRDefault="00EC3BD0" w:rsidP="00EC3BD0">
      <w:pPr>
        <w:rPr>
          <w:szCs w:val="22"/>
        </w:rPr>
      </w:pPr>
      <w:r w:rsidRPr="00EC3BD0">
        <w:rPr>
          <w:szCs w:val="22"/>
        </w:rPr>
        <w:t xml:space="preserve">It is estimated that there are about 11,500 CCACs installed in Australia ranging in output from around 10 kWr to 80 kWr with an average size of approximately 50 kWr. Two or more identical units are generally installed at each site to provide redundancy should a unit fail or require maintenance. </w:t>
      </w:r>
    </w:p>
    <w:p w14:paraId="48656CFB" w14:textId="7D51336B" w:rsidR="00EC3BD0" w:rsidRPr="00EC3BD0" w:rsidRDefault="00843CB5" w:rsidP="00EC3BD0">
      <w:pPr>
        <w:rPr>
          <w:szCs w:val="22"/>
        </w:rPr>
      </w:pPr>
      <w:r>
        <w:rPr>
          <w:szCs w:val="22"/>
        </w:rPr>
        <w:t>CACC</w:t>
      </w:r>
      <w:r w:rsidR="00EC3BD0" w:rsidRPr="00EC3BD0">
        <w:rPr>
          <w:szCs w:val="22"/>
        </w:rPr>
        <w:t xml:space="preserve"> units are rotated through an operating cycle, i.e. regularly switched on and off, to ensure a similar operating life for all units</w:t>
      </w:r>
      <w:r>
        <w:rPr>
          <w:szCs w:val="22"/>
        </w:rPr>
        <w:t xml:space="preserve"> installed at a site</w:t>
      </w:r>
      <w:r w:rsidR="00EC3BD0" w:rsidRPr="00EC3BD0">
        <w:rPr>
          <w:szCs w:val="22"/>
        </w:rPr>
        <w:t xml:space="preserve">. No units are kept solely as standby or backup units. </w:t>
      </w:r>
    </w:p>
    <w:p w14:paraId="7612C574" w14:textId="2E822449" w:rsidR="00EC3BD0" w:rsidRPr="00EC3BD0" w:rsidRDefault="00EC3BD0" w:rsidP="00EC3BD0">
      <w:pPr>
        <w:rPr>
          <w:szCs w:val="22"/>
        </w:rPr>
      </w:pPr>
      <w:r w:rsidRPr="00EC3BD0">
        <w:rPr>
          <w:szCs w:val="22"/>
        </w:rPr>
        <w:t xml:space="preserve">Though the set of CCAC units at any site generally operate 24 hours/day, all year, any given unit operates only </w:t>
      </w:r>
      <w:r>
        <w:rPr>
          <w:szCs w:val="22"/>
        </w:rPr>
        <w:t>50</w:t>
      </w:r>
      <w:r w:rsidRPr="00EC3BD0">
        <w:rPr>
          <w:szCs w:val="22"/>
        </w:rPr>
        <w:t xml:space="preserve"> per cent to 75 per cent of the time at full capacity. Nonetheless these relatively long operating hours compared to many other stationary air conditioning equipment categories means that while CCACs comprise something in the region of only 1/10th of 1 per cent of the total stock of stationary air conditioning equipment, they consume as much as 4 per cent of all electricity used by all air conditioning equipment.</w:t>
      </w:r>
    </w:p>
    <w:p w14:paraId="492DDF0A" w14:textId="77777777" w:rsidR="00EC3BD0" w:rsidRPr="00EC3BD0" w:rsidRDefault="00EC3BD0" w:rsidP="00EC3BD0">
      <w:pPr>
        <w:rPr>
          <w:szCs w:val="22"/>
        </w:rPr>
      </w:pPr>
      <w:r w:rsidRPr="00EC3BD0">
        <w:rPr>
          <w:szCs w:val="22"/>
        </w:rPr>
        <w:t>Minimum energy performance standards were introduced for CCACs in Australia as from 1 July 2009.</w:t>
      </w:r>
    </w:p>
    <w:p w14:paraId="4846C6B2" w14:textId="1C6EDB1F" w:rsidR="001343DE" w:rsidRDefault="001343DE" w:rsidP="00164992">
      <w:pPr>
        <w:rPr>
          <w:szCs w:val="22"/>
        </w:rPr>
      </w:pPr>
    </w:p>
    <w:p w14:paraId="5E416810" w14:textId="707A8C7A" w:rsidR="001343DE" w:rsidRDefault="00164992" w:rsidP="007B6646">
      <w:pPr>
        <w:pStyle w:val="Heading2"/>
        <w:ind w:left="567" w:hanging="567"/>
      </w:pPr>
      <w:bookmarkStart w:id="101" w:name="_Toc233084171"/>
      <w:r w:rsidRPr="00164992">
        <w:t xml:space="preserve">Cool and </w:t>
      </w:r>
      <w:r>
        <w:t>c</w:t>
      </w:r>
      <w:r w:rsidRPr="00164992">
        <w:t xml:space="preserve">lean - </w:t>
      </w:r>
      <w:r>
        <w:t>h</w:t>
      </w:r>
      <w:r w:rsidRPr="00164992">
        <w:t>ospitals</w:t>
      </w:r>
      <w:bookmarkEnd w:id="101"/>
    </w:p>
    <w:p w14:paraId="526DE6F4" w14:textId="77777777" w:rsidR="00EC3BD0" w:rsidRPr="00EC3BD0" w:rsidRDefault="00EC3BD0" w:rsidP="00EC3BD0">
      <w:pPr>
        <w:rPr>
          <w:szCs w:val="22"/>
        </w:rPr>
      </w:pPr>
      <w:r w:rsidRPr="00EC3BD0">
        <w:rPr>
          <w:szCs w:val="22"/>
        </w:rPr>
        <w:t>Australia has approximately 85,000 hospital beds in more than 1,300 hospitals distributed roughly in accordance with the overall population.</w:t>
      </w:r>
    </w:p>
    <w:p w14:paraId="5D41F089" w14:textId="1C69ABAE" w:rsidR="00EC3BD0" w:rsidRPr="00EC3BD0" w:rsidRDefault="00EC3BD0" w:rsidP="00EC3BD0">
      <w:pPr>
        <w:rPr>
          <w:szCs w:val="22"/>
        </w:rPr>
      </w:pPr>
      <w:r w:rsidRPr="00EC3BD0">
        <w:rPr>
          <w:szCs w:val="22"/>
        </w:rPr>
        <w:t>In terms of total built environment energy use, hospitals were assessed as the third largest consumer of energy in the CBBS study, using 19.1</w:t>
      </w:r>
      <w:r>
        <w:rPr>
          <w:szCs w:val="22"/>
        </w:rPr>
        <w:t xml:space="preserve"> </w:t>
      </w:r>
      <w:r w:rsidRPr="00EC3BD0">
        <w:rPr>
          <w:szCs w:val="22"/>
        </w:rPr>
        <w:t>PJ in 2009. However based on our assessment below of the end uses and mix of technology employed in hospitals, it is concluded that overall, while obviously of vital importance, refrigeration in hospitals is not a major end-use application relative to the total investment in non-residential refrigeration systems in Australia</w:t>
      </w:r>
      <w:r w:rsidR="00DB7A5A">
        <w:rPr>
          <w:szCs w:val="22"/>
        </w:rPr>
        <w:t xml:space="preserve"> (</w:t>
      </w:r>
      <w:r w:rsidR="00DB7A5A" w:rsidRPr="00DB7A5A">
        <w:rPr>
          <w:i/>
          <w:szCs w:val="22"/>
        </w:rPr>
        <w:t>Figure 25</w:t>
      </w:r>
      <w:r w:rsidR="00DB7A5A">
        <w:rPr>
          <w:szCs w:val="22"/>
        </w:rPr>
        <w:t>)</w:t>
      </w:r>
      <w:r w:rsidRPr="00EC3BD0">
        <w:rPr>
          <w:szCs w:val="22"/>
        </w:rPr>
        <w:t>.</w:t>
      </w:r>
      <w:r w:rsidR="00BD5B6C">
        <w:rPr>
          <w:szCs w:val="22"/>
        </w:rPr>
        <w:t xml:space="preserve"> Air conditioning on the other hand is a significant energy end use in hospitals.</w:t>
      </w:r>
    </w:p>
    <w:p w14:paraId="45B5A610" w14:textId="77777777" w:rsidR="00EC3BD0" w:rsidRPr="00EC3BD0" w:rsidRDefault="00EC3BD0" w:rsidP="00EC3BD0">
      <w:pPr>
        <w:rPr>
          <w:szCs w:val="22"/>
        </w:rPr>
      </w:pPr>
      <w:r w:rsidRPr="00EC3BD0">
        <w:rPr>
          <w:szCs w:val="22"/>
        </w:rPr>
        <w:t>Hospitals are of interest to this study because of the wide range of RAC equipment employed and the very high standards for air conditioning and refrigeration in some hospital applications.</w:t>
      </w:r>
    </w:p>
    <w:p w14:paraId="64B09C09" w14:textId="77777777" w:rsidR="00EC3BD0" w:rsidRPr="00EC3BD0" w:rsidRDefault="00EC3BD0" w:rsidP="00EC3BD0">
      <w:pPr>
        <w:rPr>
          <w:szCs w:val="22"/>
        </w:rPr>
      </w:pPr>
      <w:r w:rsidRPr="005F4840">
        <w:rPr>
          <w:i/>
          <w:szCs w:val="22"/>
        </w:rPr>
        <w:t>Figure 25</w:t>
      </w:r>
      <w:r w:rsidRPr="00EC3BD0">
        <w:rPr>
          <w:szCs w:val="22"/>
        </w:rPr>
        <w:t xml:space="preserve"> shows the electrical end-use shares for hospitals over the period 1990-2012, noting that end-use shares are based on a sample size of 41.  HVAC dominates end-use shares, accounting for 47 per cent of total electrical use.</w:t>
      </w:r>
    </w:p>
    <w:p w14:paraId="19D29950" w14:textId="77777777" w:rsidR="001343DE" w:rsidRDefault="001343DE" w:rsidP="001343DE">
      <w:pPr>
        <w:spacing w:before="0"/>
        <w:jc w:val="left"/>
        <w:rPr>
          <w:szCs w:val="22"/>
        </w:rPr>
      </w:pPr>
    </w:p>
    <w:p w14:paraId="0A8A507F" w14:textId="77777777" w:rsidR="000A62D9" w:rsidRDefault="000A62D9" w:rsidP="000A62D9"/>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0A62D9" w:rsidRPr="005D159D" w14:paraId="3E6C7F56" w14:textId="77777777" w:rsidTr="000A62D9">
        <w:tc>
          <w:tcPr>
            <w:tcW w:w="9639" w:type="dxa"/>
            <w:vAlign w:val="center"/>
          </w:tcPr>
          <w:p w14:paraId="773EC730" w14:textId="118DD202" w:rsidR="000A62D9" w:rsidRPr="005D159D" w:rsidRDefault="000A62D9" w:rsidP="000A62D9">
            <w:pPr>
              <w:spacing w:after="120"/>
              <w:jc w:val="center"/>
              <w:rPr>
                <w:b/>
                <w:sz w:val="24"/>
              </w:rPr>
            </w:pPr>
            <w:r w:rsidRPr="005D159D">
              <w:rPr>
                <w:b/>
                <w:sz w:val="24"/>
              </w:rPr>
              <w:br w:type="page"/>
            </w:r>
            <w:r>
              <w:rPr>
                <w:b/>
                <w:sz w:val="24"/>
              </w:rPr>
              <w:t>Electrical end use in hospitals</w:t>
            </w:r>
          </w:p>
        </w:tc>
      </w:tr>
      <w:tr w:rsidR="000A62D9" w:rsidRPr="00BD20BC" w14:paraId="7576A612" w14:textId="77777777" w:rsidTr="000A62D9">
        <w:tc>
          <w:tcPr>
            <w:tcW w:w="9639" w:type="dxa"/>
            <w:vAlign w:val="center"/>
          </w:tcPr>
          <w:p w14:paraId="635DECAB" w14:textId="77777777" w:rsidR="000A62D9" w:rsidRDefault="000A62D9" w:rsidP="000A62D9">
            <w:pPr>
              <w:jc w:val="center"/>
              <w:rPr>
                <w:sz w:val="16"/>
                <w:szCs w:val="16"/>
              </w:rPr>
            </w:pPr>
          </w:p>
          <w:p w14:paraId="254D4193" w14:textId="7611689C" w:rsidR="000A62D9" w:rsidRDefault="00D95B5B" w:rsidP="000A62D9">
            <w:pPr>
              <w:jc w:val="center"/>
              <w:rPr>
                <w:sz w:val="16"/>
                <w:szCs w:val="16"/>
              </w:rPr>
            </w:pPr>
            <w:r>
              <w:rPr>
                <w:rFonts w:eastAsia="Arial Narrow"/>
                <w:noProof/>
                <w:szCs w:val="20"/>
                <w:lang w:val="en-US"/>
              </w:rPr>
              <w:drawing>
                <wp:inline distT="0" distB="0" distL="0" distR="0" wp14:anchorId="14E71E89" wp14:editId="018B3CF9">
                  <wp:extent cx="4141555" cy="2802085"/>
                  <wp:effectExtent l="0" t="0" r="0" b="0"/>
                  <wp:docPr id="3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FD97BFF" w14:textId="77777777" w:rsidR="000A62D9" w:rsidRPr="00BD20BC" w:rsidRDefault="000A62D9" w:rsidP="000A62D9">
            <w:pPr>
              <w:jc w:val="center"/>
              <w:rPr>
                <w:sz w:val="16"/>
                <w:szCs w:val="16"/>
              </w:rPr>
            </w:pPr>
          </w:p>
        </w:tc>
      </w:tr>
      <w:tr w:rsidR="000A62D9" w:rsidRPr="00042727" w14:paraId="7235BCCD" w14:textId="77777777" w:rsidTr="000A62D9">
        <w:tc>
          <w:tcPr>
            <w:tcW w:w="9639" w:type="dxa"/>
            <w:vAlign w:val="center"/>
          </w:tcPr>
          <w:p w14:paraId="63CE08D5" w14:textId="4216709A" w:rsidR="000A62D9" w:rsidRPr="005D159D" w:rsidRDefault="000A62D9" w:rsidP="000A62D9">
            <w:pPr>
              <w:spacing w:before="60" w:after="60"/>
              <w:rPr>
                <w:i/>
              </w:rPr>
            </w:pPr>
            <w:bookmarkStart w:id="102" w:name="_Toc233084001"/>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25</w:t>
            </w:r>
            <w:r w:rsidRPr="005D159D">
              <w:rPr>
                <w:i/>
                <w:sz w:val="20"/>
              </w:rPr>
              <w:fldChar w:fldCharType="end"/>
            </w:r>
            <w:r w:rsidRPr="005D159D">
              <w:rPr>
                <w:i/>
                <w:sz w:val="20"/>
              </w:rPr>
              <w:t xml:space="preserve">: </w:t>
            </w:r>
            <w:r w:rsidRPr="000A62D9">
              <w:rPr>
                <w:i/>
                <w:sz w:val="20"/>
              </w:rPr>
              <w:t>Hospitals</w:t>
            </w:r>
            <w:r>
              <w:rPr>
                <w:i/>
                <w:sz w:val="20"/>
              </w:rPr>
              <w:t xml:space="preserve">: </w:t>
            </w:r>
            <w:r w:rsidRPr="000A62D9">
              <w:rPr>
                <w:i/>
                <w:sz w:val="20"/>
              </w:rPr>
              <w:t xml:space="preserve">Electrical </w:t>
            </w:r>
            <w:r>
              <w:rPr>
                <w:i/>
                <w:sz w:val="20"/>
              </w:rPr>
              <w:t>e</w:t>
            </w:r>
            <w:r w:rsidRPr="000A62D9">
              <w:rPr>
                <w:i/>
                <w:sz w:val="20"/>
              </w:rPr>
              <w:t>nd-</w:t>
            </w:r>
            <w:r>
              <w:rPr>
                <w:i/>
                <w:sz w:val="20"/>
              </w:rPr>
              <w:t>u</w:t>
            </w:r>
            <w:r w:rsidRPr="000A62D9">
              <w:rPr>
                <w:i/>
                <w:sz w:val="20"/>
              </w:rPr>
              <w:t xml:space="preserve">se </w:t>
            </w:r>
            <w:r>
              <w:rPr>
                <w:i/>
                <w:sz w:val="20"/>
              </w:rPr>
              <w:t>s</w:t>
            </w:r>
            <w:r w:rsidRPr="000A62D9">
              <w:rPr>
                <w:i/>
                <w:sz w:val="20"/>
              </w:rPr>
              <w:t>hares, 1999 – 2012</w:t>
            </w:r>
            <w:bookmarkEnd w:id="102"/>
          </w:p>
        </w:tc>
      </w:tr>
    </w:tbl>
    <w:p w14:paraId="64707B00" w14:textId="510F6DE1" w:rsidR="00EC3BD0" w:rsidRPr="000A62D9" w:rsidRDefault="000A62D9" w:rsidP="000A62D9">
      <w:pPr>
        <w:spacing w:before="0"/>
        <w:rPr>
          <w:sz w:val="20"/>
          <w:szCs w:val="20"/>
        </w:rPr>
      </w:pPr>
      <w:r w:rsidRPr="00FA5B51">
        <w:rPr>
          <w:sz w:val="20"/>
          <w:szCs w:val="20"/>
        </w:rPr>
        <w:t>(Source</w:t>
      </w:r>
      <w:r>
        <w:rPr>
          <w:sz w:val="20"/>
          <w:szCs w:val="20"/>
        </w:rPr>
        <w:t>:</w:t>
      </w:r>
      <w:r w:rsidRPr="00FA5B51">
        <w:rPr>
          <w:sz w:val="20"/>
          <w:szCs w:val="20"/>
        </w:rPr>
        <w:t xml:space="preserve"> DCCEE 2012b</w:t>
      </w:r>
      <w:r>
        <w:rPr>
          <w:sz w:val="20"/>
          <w:szCs w:val="20"/>
        </w:rPr>
        <w:t xml:space="preserve">, CBBS Volume 1, page </w:t>
      </w:r>
      <w:r w:rsidR="003353BD">
        <w:rPr>
          <w:sz w:val="20"/>
          <w:szCs w:val="20"/>
        </w:rPr>
        <w:t>76</w:t>
      </w:r>
      <w:r w:rsidRPr="00FA5B51">
        <w:rPr>
          <w:sz w:val="20"/>
          <w:szCs w:val="20"/>
        </w:rPr>
        <w:t>)</w:t>
      </w:r>
    </w:p>
    <w:p w14:paraId="0BDF5366" w14:textId="226A5487" w:rsidR="00EC3BD0" w:rsidRPr="00EC3BD0" w:rsidRDefault="00EC3BD0" w:rsidP="000A62D9">
      <w:pPr>
        <w:spacing w:before="240"/>
        <w:rPr>
          <w:szCs w:val="22"/>
        </w:rPr>
      </w:pPr>
      <w:r w:rsidRPr="00EC3BD0">
        <w:rPr>
          <w:szCs w:val="22"/>
        </w:rPr>
        <w:t xml:space="preserve">Because of the 24 hour operation of hospitals, and unlike shopping centres for instance (due to the very low levels of traffic), hospitals </w:t>
      </w:r>
      <w:r w:rsidR="004B4210">
        <w:rPr>
          <w:szCs w:val="22"/>
        </w:rPr>
        <w:t xml:space="preserve">generally </w:t>
      </w:r>
      <w:r w:rsidRPr="00EC3BD0">
        <w:rPr>
          <w:szCs w:val="22"/>
        </w:rPr>
        <w:t>require significant heating during winter months in almost all climate zones in Australia, and obviously more so in the colder population centres such as Canberra</w:t>
      </w:r>
      <w:r w:rsidR="004B4210">
        <w:rPr>
          <w:szCs w:val="22"/>
        </w:rPr>
        <w:t>,</w:t>
      </w:r>
      <w:r w:rsidRPr="00EC3BD0">
        <w:rPr>
          <w:szCs w:val="22"/>
        </w:rPr>
        <w:t xml:space="preserve"> Melbourne</w:t>
      </w:r>
      <w:r w:rsidR="004B4210">
        <w:rPr>
          <w:szCs w:val="22"/>
        </w:rPr>
        <w:t xml:space="preserve"> and Hobart</w:t>
      </w:r>
      <w:r w:rsidRPr="00EC3BD0">
        <w:rPr>
          <w:szCs w:val="22"/>
        </w:rPr>
        <w:t>.</w:t>
      </w:r>
    </w:p>
    <w:p w14:paraId="118F294E" w14:textId="4EE22DD7" w:rsidR="00EC3BD0" w:rsidRPr="00EC3BD0" w:rsidRDefault="00EC3BD0" w:rsidP="005F4840">
      <w:pPr>
        <w:rPr>
          <w:szCs w:val="22"/>
        </w:rPr>
      </w:pPr>
      <w:r w:rsidRPr="00EC3BD0">
        <w:rPr>
          <w:szCs w:val="22"/>
        </w:rPr>
        <w:t>Compounding this situation is the fact that regulation in Australia requires that the indoor temperature of any hospital has to be constantly maintained at 23</w:t>
      </w:r>
      <w:r w:rsidRPr="005F4840">
        <w:rPr>
          <w:szCs w:val="22"/>
          <w:vertAlign w:val="superscript"/>
        </w:rPr>
        <w:t>o</w:t>
      </w:r>
      <w:r w:rsidRPr="00EC3BD0">
        <w:rPr>
          <w:szCs w:val="22"/>
        </w:rPr>
        <w:t xml:space="preserve">C. Unfortunately, although </w:t>
      </w:r>
      <w:r w:rsidR="00CE7066" w:rsidRPr="00EC3BD0">
        <w:rPr>
          <w:szCs w:val="22"/>
        </w:rPr>
        <w:t>variation</w:t>
      </w:r>
      <w:r w:rsidR="00CE7066">
        <w:rPr>
          <w:szCs w:val="22"/>
        </w:rPr>
        <w:t>s</w:t>
      </w:r>
      <w:r w:rsidR="00CE7066" w:rsidRPr="00EC3BD0">
        <w:rPr>
          <w:szCs w:val="22"/>
        </w:rPr>
        <w:t xml:space="preserve"> of a degree or so are</w:t>
      </w:r>
      <w:r w:rsidRPr="00EC3BD0">
        <w:rPr>
          <w:szCs w:val="22"/>
        </w:rPr>
        <w:t xml:space="preserve"> </w:t>
      </w:r>
      <w:r w:rsidR="00D85E3A">
        <w:rPr>
          <w:szCs w:val="22"/>
        </w:rPr>
        <w:t>bare</w:t>
      </w:r>
      <w:r w:rsidRPr="00EC3BD0">
        <w:rPr>
          <w:szCs w:val="22"/>
        </w:rPr>
        <w:t xml:space="preserve">ly noticeable for patients and staff, </w:t>
      </w:r>
      <w:r w:rsidR="00D85E3A">
        <w:rPr>
          <w:szCs w:val="22"/>
        </w:rPr>
        <w:t xml:space="preserve">no </w:t>
      </w:r>
      <w:r w:rsidRPr="00EC3BD0">
        <w:rPr>
          <w:szCs w:val="22"/>
        </w:rPr>
        <w:t>flexibility in</w:t>
      </w:r>
      <w:r w:rsidR="00D85E3A">
        <w:rPr>
          <w:szCs w:val="22"/>
        </w:rPr>
        <w:t xml:space="preserve"> indoor</w:t>
      </w:r>
      <w:r w:rsidRPr="00EC3BD0">
        <w:rPr>
          <w:szCs w:val="22"/>
        </w:rPr>
        <w:t xml:space="preserve"> temperature according to seasons or </w:t>
      </w:r>
      <w:r w:rsidR="00D85E3A">
        <w:rPr>
          <w:szCs w:val="22"/>
        </w:rPr>
        <w:t xml:space="preserve">time of </w:t>
      </w:r>
      <w:r w:rsidRPr="00EC3BD0">
        <w:rPr>
          <w:szCs w:val="22"/>
        </w:rPr>
        <w:t xml:space="preserve">day </w:t>
      </w:r>
      <w:r w:rsidR="00D85E3A">
        <w:rPr>
          <w:szCs w:val="22"/>
        </w:rPr>
        <w:t xml:space="preserve">is </w:t>
      </w:r>
      <w:r w:rsidRPr="00EC3BD0">
        <w:rPr>
          <w:szCs w:val="22"/>
        </w:rPr>
        <w:t>allowed. Often the</w:t>
      </w:r>
      <w:r w:rsidR="00D85E3A">
        <w:rPr>
          <w:szCs w:val="22"/>
        </w:rPr>
        <w:t>se inflexible</w:t>
      </w:r>
      <w:r w:rsidRPr="00EC3BD0">
        <w:rPr>
          <w:szCs w:val="22"/>
        </w:rPr>
        <w:t xml:space="preserve"> temperature requirements</w:t>
      </w:r>
      <w:r w:rsidR="00D85E3A">
        <w:rPr>
          <w:szCs w:val="22"/>
        </w:rPr>
        <w:t>, combined with widely varying</w:t>
      </w:r>
      <w:r w:rsidRPr="00EC3BD0">
        <w:rPr>
          <w:szCs w:val="22"/>
        </w:rPr>
        <w:t xml:space="preserve"> </w:t>
      </w:r>
      <w:r w:rsidRPr="00EC3BD0">
        <w:rPr>
          <w:szCs w:val="22"/>
        </w:rPr>
        <w:lastRenderedPageBreak/>
        <w:t>conditions in different parts of the often large hospitals means that both chilling and heating systems can be running at quite high loads at the same time.</w:t>
      </w:r>
    </w:p>
    <w:p w14:paraId="3C30401F" w14:textId="77777777" w:rsidR="00EC3BD0" w:rsidRPr="00EC3BD0" w:rsidRDefault="00EC3BD0" w:rsidP="005F4840">
      <w:pPr>
        <w:rPr>
          <w:szCs w:val="22"/>
        </w:rPr>
      </w:pPr>
      <w:r w:rsidRPr="00EC3BD0">
        <w:rPr>
          <w:szCs w:val="22"/>
        </w:rPr>
        <w:t xml:space="preserve">As a result a large amount of energy use in hospitals is invested in maintaining this constant temperature.  </w:t>
      </w:r>
    </w:p>
    <w:p w14:paraId="2218B43D" w14:textId="18A2609A" w:rsidR="00EC3BD0" w:rsidRPr="00EC3BD0" w:rsidRDefault="00EC3BD0" w:rsidP="005F4840">
      <w:pPr>
        <w:rPr>
          <w:szCs w:val="22"/>
        </w:rPr>
      </w:pPr>
      <w:r w:rsidRPr="00EC3BD0">
        <w:rPr>
          <w:szCs w:val="22"/>
        </w:rPr>
        <w:t>Hospital ventilation systems must also provide high levels of indoor air quality for health safety reasons. This creates serious challenges for the ventilation and temperature control systems</w:t>
      </w:r>
      <w:r w:rsidR="00CE7066">
        <w:rPr>
          <w:szCs w:val="22"/>
        </w:rPr>
        <w:t xml:space="preserve"> </w:t>
      </w:r>
      <w:r w:rsidR="00D85E3A">
        <w:rPr>
          <w:szCs w:val="22"/>
        </w:rPr>
        <w:t>which</w:t>
      </w:r>
      <w:r w:rsidRPr="00EC3BD0">
        <w:rPr>
          <w:szCs w:val="22"/>
        </w:rPr>
        <w:t xml:space="preserve"> means that </w:t>
      </w:r>
      <w:r w:rsidR="005F4840" w:rsidRPr="00EC3BD0">
        <w:rPr>
          <w:szCs w:val="22"/>
        </w:rPr>
        <w:t>initiatives, such as natural ventilation are</w:t>
      </w:r>
      <w:r w:rsidRPr="00EC3BD0">
        <w:rPr>
          <w:szCs w:val="22"/>
        </w:rPr>
        <w:t xml:space="preserve"> not always </w:t>
      </w:r>
      <w:r w:rsidR="005F4840">
        <w:rPr>
          <w:szCs w:val="22"/>
        </w:rPr>
        <w:t>possible</w:t>
      </w:r>
      <w:r w:rsidRPr="00EC3BD0">
        <w:rPr>
          <w:szCs w:val="22"/>
        </w:rPr>
        <w:t xml:space="preserve"> for hospitals.</w:t>
      </w:r>
    </w:p>
    <w:p w14:paraId="28C74CDF" w14:textId="7801C0B9" w:rsidR="00EC3BD0" w:rsidRPr="00EC3BD0" w:rsidRDefault="00A52314" w:rsidP="005F4840">
      <w:pPr>
        <w:rPr>
          <w:szCs w:val="22"/>
        </w:rPr>
      </w:pPr>
      <w:r>
        <w:rPr>
          <w:szCs w:val="22"/>
        </w:rPr>
        <w:t>S</w:t>
      </w:r>
      <w:r w:rsidR="00EC3BD0" w:rsidRPr="00EC3BD0">
        <w:rPr>
          <w:szCs w:val="22"/>
        </w:rPr>
        <w:t xml:space="preserve">pace heating is </w:t>
      </w:r>
      <w:r w:rsidR="005F4840">
        <w:rPr>
          <w:szCs w:val="22"/>
        </w:rPr>
        <w:t xml:space="preserve">almost </w:t>
      </w:r>
      <w:r w:rsidR="00EC3BD0" w:rsidRPr="00EC3BD0">
        <w:rPr>
          <w:szCs w:val="22"/>
        </w:rPr>
        <w:t>always</w:t>
      </w:r>
      <w:r w:rsidR="00D85E3A">
        <w:rPr>
          <w:szCs w:val="22"/>
        </w:rPr>
        <w:t xml:space="preserve"> fuelled</w:t>
      </w:r>
      <w:r w:rsidR="00EC3BD0" w:rsidRPr="00EC3BD0">
        <w:rPr>
          <w:szCs w:val="22"/>
        </w:rPr>
        <w:t xml:space="preserve"> by gas in major hospitals</w:t>
      </w:r>
      <w:r>
        <w:rPr>
          <w:szCs w:val="22"/>
        </w:rPr>
        <w:t>.</w:t>
      </w:r>
      <w:r w:rsidR="00344E94">
        <w:rPr>
          <w:szCs w:val="22"/>
        </w:rPr>
        <w:t xml:space="preserve"> </w:t>
      </w:r>
      <w:r>
        <w:rPr>
          <w:szCs w:val="22"/>
        </w:rPr>
        <w:t>S</w:t>
      </w:r>
      <w:r w:rsidR="00EC3BD0" w:rsidRPr="00EC3BD0">
        <w:rPr>
          <w:szCs w:val="22"/>
        </w:rPr>
        <w:t xml:space="preserve">ome hospitals deliver space heating by </w:t>
      </w:r>
      <w:r>
        <w:rPr>
          <w:szCs w:val="22"/>
        </w:rPr>
        <w:t xml:space="preserve">circulating </w:t>
      </w:r>
      <w:r w:rsidR="00EC3BD0" w:rsidRPr="00EC3BD0">
        <w:rPr>
          <w:szCs w:val="22"/>
        </w:rPr>
        <w:t xml:space="preserve">hot water </w:t>
      </w:r>
      <w:r>
        <w:rPr>
          <w:szCs w:val="22"/>
        </w:rPr>
        <w:t xml:space="preserve">through </w:t>
      </w:r>
      <w:r w:rsidR="00EC3BD0" w:rsidRPr="00EC3BD0">
        <w:rPr>
          <w:szCs w:val="22"/>
        </w:rPr>
        <w:t>radiator systems</w:t>
      </w:r>
      <w:r>
        <w:rPr>
          <w:szCs w:val="22"/>
        </w:rPr>
        <w:t>.</w:t>
      </w:r>
      <w:r w:rsidR="00EC3BD0" w:rsidRPr="00EC3BD0">
        <w:rPr>
          <w:szCs w:val="22"/>
        </w:rPr>
        <w:t xml:space="preserve"> </w:t>
      </w:r>
      <w:r>
        <w:rPr>
          <w:szCs w:val="22"/>
        </w:rPr>
        <w:t xml:space="preserve">But </w:t>
      </w:r>
      <w:r w:rsidR="00EC3BD0" w:rsidRPr="00EC3BD0">
        <w:rPr>
          <w:szCs w:val="22"/>
        </w:rPr>
        <w:t>electric</w:t>
      </w:r>
      <w:r>
        <w:rPr>
          <w:szCs w:val="22"/>
        </w:rPr>
        <w:t>ity consumption</w:t>
      </w:r>
      <w:r w:rsidR="00344E94">
        <w:rPr>
          <w:szCs w:val="22"/>
        </w:rPr>
        <w:t xml:space="preserve"> </w:t>
      </w:r>
      <w:r w:rsidR="00EC3BD0" w:rsidRPr="00EC3BD0">
        <w:rPr>
          <w:szCs w:val="22"/>
        </w:rPr>
        <w:t xml:space="preserve">attributed to HVAC includes all fan energy used to drive mechanical ventilation systems that in some cases also circulate warm air for space heating. </w:t>
      </w:r>
      <w:r>
        <w:rPr>
          <w:szCs w:val="22"/>
        </w:rPr>
        <w:t xml:space="preserve">As a result </w:t>
      </w:r>
      <w:r w:rsidR="00EC3BD0" w:rsidRPr="00EC3BD0">
        <w:rPr>
          <w:szCs w:val="22"/>
        </w:rPr>
        <w:t xml:space="preserve">electricity consumed in HVAC </w:t>
      </w:r>
      <w:r>
        <w:rPr>
          <w:szCs w:val="22"/>
        </w:rPr>
        <w:t xml:space="preserve">cannot all be attributed </w:t>
      </w:r>
      <w:r w:rsidR="00EC3BD0" w:rsidRPr="00EC3BD0">
        <w:rPr>
          <w:szCs w:val="22"/>
        </w:rPr>
        <w:t xml:space="preserve">to a cooling task. </w:t>
      </w:r>
    </w:p>
    <w:p w14:paraId="00DCD025" w14:textId="2D3FDD78" w:rsidR="00EC3BD0" w:rsidRDefault="00EC3BD0" w:rsidP="005F4840">
      <w:pPr>
        <w:rPr>
          <w:szCs w:val="22"/>
        </w:rPr>
      </w:pPr>
      <w:r w:rsidRPr="005F4840">
        <w:rPr>
          <w:i/>
          <w:szCs w:val="22"/>
        </w:rPr>
        <w:t>Figure 26</w:t>
      </w:r>
      <w:r w:rsidRPr="00EC3BD0">
        <w:rPr>
          <w:szCs w:val="22"/>
        </w:rPr>
        <w:t xml:space="preserve"> shows the gas end-use shares for hospitals over the period 1990-2012. Gas end-use shares are based on a relatively small sample size of 9.  ‘Other g</w:t>
      </w:r>
      <w:r w:rsidR="005F4840">
        <w:rPr>
          <w:szCs w:val="22"/>
        </w:rPr>
        <w:t>as use’ (unresolved energy end-</w:t>
      </w:r>
      <w:r w:rsidRPr="00EC3BD0">
        <w:rPr>
          <w:szCs w:val="22"/>
        </w:rPr>
        <w:t xml:space="preserve">uses) </w:t>
      </w:r>
      <w:r w:rsidR="00344E94" w:rsidRPr="00EC3BD0">
        <w:rPr>
          <w:szCs w:val="22"/>
        </w:rPr>
        <w:t>accounts</w:t>
      </w:r>
      <w:r w:rsidRPr="00EC3BD0">
        <w:rPr>
          <w:szCs w:val="22"/>
        </w:rPr>
        <w:t xml:space="preserve"> for almost half (46 per cent), and space-heating accounts for 32 per cent of total gas use.  Of the remaining end-uses, domestic hot water (12 per cent) uses the most gas.</w:t>
      </w:r>
    </w:p>
    <w:p w14:paraId="506051A5" w14:textId="77777777" w:rsidR="000A62D9" w:rsidRPr="00EC3BD0" w:rsidRDefault="000A62D9" w:rsidP="00EC3BD0">
      <w:pPr>
        <w:rPr>
          <w:szCs w:val="22"/>
        </w:rPr>
      </w:pPr>
    </w:p>
    <w:p w14:paraId="4A2B9ECB" w14:textId="77777777" w:rsidR="00EC3BD0" w:rsidRDefault="00EC3BD0" w:rsidP="001343DE">
      <w:pPr>
        <w:spacing w:before="0"/>
        <w:jc w:val="left"/>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0A62D9" w:rsidRPr="005D159D" w14:paraId="391411F3" w14:textId="77777777" w:rsidTr="003353BD">
        <w:tc>
          <w:tcPr>
            <w:tcW w:w="9605" w:type="dxa"/>
            <w:vAlign w:val="center"/>
          </w:tcPr>
          <w:p w14:paraId="13BC479D" w14:textId="7111C041" w:rsidR="000A62D9" w:rsidRPr="005D159D" w:rsidRDefault="000A62D9" w:rsidP="000A62D9">
            <w:pPr>
              <w:spacing w:after="120"/>
              <w:jc w:val="center"/>
              <w:rPr>
                <w:b/>
                <w:sz w:val="24"/>
              </w:rPr>
            </w:pPr>
            <w:r w:rsidRPr="005D159D">
              <w:rPr>
                <w:b/>
                <w:sz w:val="24"/>
              </w:rPr>
              <w:br w:type="page"/>
            </w:r>
            <w:r>
              <w:rPr>
                <w:b/>
                <w:sz w:val="24"/>
              </w:rPr>
              <w:t>Gas end use in hospitals</w:t>
            </w:r>
          </w:p>
        </w:tc>
      </w:tr>
      <w:tr w:rsidR="000A62D9" w:rsidRPr="00BD20BC" w14:paraId="4E102AE6" w14:textId="77777777" w:rsidTr="003353BD">
        <w:tc>
          <w:tcPr>
            <w:tcW w:w="9605" w:type="dxa"/>
            <w:vAlign w:val="center"/>
          </w:tcPr>
          <w:p w14:paraId="52016ECB" w14:textId="77777777" w:rsidR="000A62D9" w:rsidRDefault="000A62D9" w:rsidP="000A62D9">
            <w:pPr>
              <w:jc w:val="center"/>
              <w:rPr>
                <w:sz w:val="16"/>
                <w:szCs w:val="16"/>
              </w:rPr>
            </w:pPr>
          </w:p>
          <w:p w14:paraId="1C044195" w14:textId="71CAB9E0" w:rsidR="000A62D9" w:rsidRDefault="00D95B5B" w:rsidP="000A62D9">
            <w:pPr>
              <w:jc w:val="center"/>
              <w:rPr>
                <w:sz w:val="16"/>
                <w:szCs w:val="16"/>
              </w:rPr>
            </w:pPr>
            <w:r>
              <w:rPr>
                <w:rFonts w:eastAsia="Arial Narrow"/>
                <w:noProof/>
                <w:szCs w:val="20"/>
                <w:lang w:val="en-US"/>
              </w:rPr>
              <w:drawing>
                <wp:inline distT="0" distB="0" distL="0" distR="0" wp14:anchorId="0949B592" wp14:editId="6BC76ACB">
                  <wp:extent cx="4142105" cy="2604135"/>
                  <wp:effectExtent l="0" t="0" r="0" b="0"/>
                  <wp:docPr id="3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A54B0D1" w14:textId="77777777" w:rsidR="000A62D9" w:rsidRPr="00BD20BC" w:rsidRDefault="000A62D9" w:rsidP="000A62D9">
            <w:pPr>
              <w:jc w:val="center"/>
              <w:rPr>
                <w:sz w:val="16"/>
                <w:szCs w:val="16"/>
              </w:rPr>
            </w:pPr>
          </w:p>
        </w:tc>
      </w:tr>
      <w:tr w:rsidR="000A62D9" w:rsidRPr="00042727" w14:paraId="13C59BAE" w14:textId="77777777" w:rsidTr="003353BD">
        <w:tc>
          <w:tcPr>
            <w:tcW w:w="9605" w:type="dxa"/>
            <w:vAlign w:val="center"/>
          </w:tcPr>
          <w:p w14:paraId="5D4AA5C0" w14:textId="413BFFBF" w:rsidR="000A62D9" w:rsidRPr="005D159D" w:rsidRDefault="000A62D9" w:rsidP="000A62D9">
            <w:pPr>
              <w:spacing w:before="60" w:after="60"/>
              <w:rPr>
                <w:i/>
              </w:rPr>
            </w:pPr>
            <w:bookmarkStart w:id="103" w:name="_Toc233084002"/>
            <w:r w:rsidRPr="005D159D">
              <w:rPr>
                <w:i/>
                <w:sz w:val="20"/>
              </w:rPr>
              <w:t xml:space="preserve">Figure </w:t>
            </w:r>
            <w:r w:rsidRPr="005D159D">
              <w:rPr>
                <w:i/>
                <w:sz w:val="20"/>
              </w:rPr>
              <w:fldChar w:fldCharType="begin"/>
            </w:r>
            <w:r w:rsidRPr="005D159D">
              <w:rPr>
                <w:i/>
                <w:sz w:val="20"/>
              </w:rPr>
              <w:instrText xml:space="preserve"> SEQ Figure \* ARABIC </w:instrText>
            </w:r>
            <w:r w:rsidRPr="005D159D">
              <w:rPr>
                <w:i/>
                <w:sz w:val="20"/>
              </w:rPr>
              <w:fldChar w:fldCharType="separate"/>
            </w:r>
            <w:r w:rsidR="00196462">
              <w:rPr>
                <w:i/>
                <w:noProof/>
                <w:sz w:val="20"/>
              </w:rPr>
              <w:t>26</w:t>
            </w:r>
            <w:r w:rsidRPr="005D159D">
              <w:rPr>
                <w:i/>
                <w:sz w:val="20"/>
              </w:rPr>
              <w:fldChar w:fldCharType="end"/>
            </w:r>
            <w:r w:rsidRPr="005D159D">
              <w:rPr>
                <w:i/>
                <w:sz w:val="20"/>
              </w:rPr>
              <w:t xml:space="preserve">: </w:t>
            </w:r>
            <w:r w:rsidRPr="000A62D9">
              <w:rPr>
                <w:i/>
                <w:sz w:val="20"/>
              </w:rPr>
              <w:t>Hospitals</w:t>
            </w:r>
            <w:r>
              <w:rPr>
                <w:i/>
                <w:sz w:val="20"/>
              </w:rPr>
              <w:t xml:space="preserve">: </w:t>
            </w:r>
            <w:r w:rsidRPr="000A62D9">
              <w:rPr>
                <w:i/>
                <w:sz w:val="20"/>
              </w:rPr>
              <w:t xml:space="preserve">Gas </w:t>
            </w:r>
            <w:r>
              <w:rPr>
                <w:i/>
                <w:sz w:val="20"/>
              </w:rPr>
              <w:t>e</w:t>
            </w:r>
            <w:r w:rsidRPr="000A62D9">
              <w:rPr>
                <w:i/>
                <w:sz w:val="20"/>
              </w:rPr>
              <w:t>nd-</w:t>
            </w:r>
            <w:r>
              <w:rPr>
                <w:i/>
                <w:sz w:val="20"/>
              </w:rPr>
              <w:t>u</w:t>
            </w:r>
            <w:r w:rsidRPr="000A62D9">
              <w:rPr>
                <w:i/>
                <w:sz w:val="20"/>
              </w:rPr>
              <w:t xml:space="preserve">se </w:t>
            </w:r>
            <w:r>
              <w:rPr>
                <w:i/>
                <w:sz w:val="20"/>
              </w:rPr>
              <w:t>s</w:t>
            </w:r>
            <w:r w:rsidRPr="000A62D9">
              <w:rPr>
                <w:i/>
                <w:sz w:val="20"/>
              </w:rPr>
              <w:t>hares, 1999 – 2012</w:t>
            </w:r>
            <w:bookmarkEnd w:id="103"/>
          </w:p>
        </w:tc>
      </w:tr>
    </w:tbl>
    <w:p w14:paraId="40DB796B" w14:textId="77777777" w:rsidR="003353BD" w:rsidRPr="000A62D9" w:rsidRDefault="003353BD" w:rsidP="003353BD">
      <w:pPr>
        <w:spacing w:before="0"/>
        <w:rPr>
          <w:sz w:val="20"/>
          <w:szCs w:val="20"/>
        </w:rPr>
      </w:pPr>
      <w:r w:rsidRPr="00FA5B51">
        <w:rPr>
          <w:sz w:val="20"/>
          <w:szCs w:val="20"/>
        </w:rPr>
        <w:t>(Source</w:t>
      </w:r>
      <w:r>
        <w:rPr>
          <w:sz w:val="20"/>
          <w:szCs w:val="20"/>
        </w:rPr>
        <w:t>:</w:t>
      </w:r>
      <w:r w:rsidRPr="00FA5B51">
        <w:rPr>
          <w:sz w:val="20"/>
          <w:szCs w:val="20"/>
        </w:rPr>
        <w:t xml:space="preserve"> DCCEE 2012b</w:t>
      </w:r>
      <w:r>
        <w:rPr>
          <w:sz w:val="20"/>
          <w:szCs w:val="20"/>
        </w:rPr>
        <w:t>, CBBS Volume 1, page 76</w:t>
      </w:r>
      <w:r w:rsidRPr="00FA5B51">
        <w:rPr>
          <w:sz w:val="20"/>
          <w:szCs w:val="20"/>
        </w:rPr>
        <w:t>)</w:t>
      </w:r>
    </w:p>
    <w:p w14:paraId="1FCCCD4F" w14:textId="17DE0E98" w:rsidR="00EC3BD0" w:rsidRPr="00EC3BD0" w:rsidRDefault="00EC3BD0" w:rsidP="000A62D9">
      <w:pPr>
        <w:spacing w:before="240"/>
        <w:rPr>
          <w:szCs w:val="22"/>
        </w:rPr>
      </w:pPr>
      <w:r w:rsidRPr="00EC3BD0">
        <w:rPr>
          <w:szCs w:val="22"/>
        </w:rPr>
        <w:t>A separate study cited by Berger and Newman in a paper on energy efficiency in hospitals reported that energy used by fans in a Melbourne and Brisbane hospital were 36 per cent and 35 per cent of the total energy respectively</w:t>
      </w:r>
      <w:r w:rsidR="005F4840">
        <w:rPr>
          <w:szCs w:val="22"/>
        </w:rPr>
        <w:t xml:space="preserve"> (CUT 2010)</w:t>
      </w:r>
      <w:r w:rsidRPr="00EC3BD0">
        <w:rPr>
          <w:szCs w:val="22"/>
        </w:rPr>
        <w:t xml:space="preserve">. Energy for chillers on the other hand was a very low 7 per cent in Melbourne and 19 per cent in Brisbane. </w:t>
      </w:r>
    </w:p>
    <w:p w14:paraId="0EED03A1" w14:textId="18F09763" w:rsidR="00EC3BD0" w:rsidRPr="00EC3BD0" w:rsidRDefault="00EC3BD0" w:rsidP="00EC3BD0">
      <w:pPr>
        <w:rPr>
          <w:szCs w:val="22"/>
        </w:rPr>
      </w:pPr>
      <w:r w:rsidRPr="00EC3BD0">
        <w:rPr>
          <w:szCs w:val="22"/>
        </w:rPr>
        <w:t>If one attributes equal portions of the fan energy used in either location to distribution of heating and cooling, then the energy invested in cooling alone in Melbourne would be 25 per cent of total energy used in the facility, and in Brisbane it would be 36 per cent. Given the climate differences between those two sites a fairer allocation of fan power to cooling would probably see those values shift towards 20 per cent in Melbourne and 40 per cent or higher in Brisbane.</w:t>
      </w:r>
      <w:r w:rsidR="00BD5B6C">
        <w:rPr>
          <w:szCs w:val="22"/>
        </w:rPr>
        <w:t xml:space="preserve"> </w:t>
      </w:r>
    </w:p>
    <w:p w14:paraId="35B0E63F" w14:textId="6E0F3F58" w:rsidR="00EC3BD0" w:rsidRPr="00EC3BD0" w:rsidRDefault="00EC3BD0" w:rsidP="00EC3BD0">
      <w:pPr>
        <w:rPr>
          <w:szCs w:val="22"/>
        </w:rPr>
      </w:pPr>
      <w:r w:rsidRPr="00EC3BD0">
        <w:rPr>
          <w:szCs w:val="22"/>
        </w:rPr>
        <w:t>There is no Australian data available that allows the calculation of energy use for refrigeration in hospitals</w:t>
      </w:r>
      <w:r w:rsidR="00A52314">
        <w:rPr>
          <w:szCs w:val="22"/>
        </w:rPr>
        <w:t>.</w:t>
      </w:r>
      <w:r w:rsidRPr="00EC3BD0">
        <w:rPr>
          <w:szCs w:val="22"/>
        </w:rPr>
        <w:t xml:space="preserve"> </w:t>
      </w:r>
      <w:r w:rsidR="00A52314">
        <w:rPr>
          <w:szCs w:val="22"/>
        </w:rPr>
        <w:t>H</w:t>
      </w:r>
      <w:r w:rsidRPr="00EC3BD0">
        <w:rPr>
          <w:szCs w:val="22"/>
        </w:rPr>
        <w:t xml:space="preserve">owever </w:t>
      </w:r>
      <w:r w:rsidR="00A52314">
        <w:rPr>
          <w:szCs w:val="22"/>
        </w:rPr>
        <w:t>American</w:t>
      </w:r>
      <w:r w:rsidRPr="00EC3BD0">
        <w:rPr>
          <w:szCs w:val="22"/>
        </w:rPr>
        <w:t xml:space="preserve"> studies have concluded that refrigeration consumed between 2 per cent and 3 per cent </w:t>
      </w:r>
      <w:r w:rsidRPr="00EC3BD0">
        <w:rPr>
          <w:szCs w:val="22"/>
        </w:rPr>
        <w:lastRenderedPageBreak/>
        <w:t>of hospital energy in the US</w:t>
      </w:r>
      <w:r w:rsidR="00A52314">
        <w:rPr>
          <w:szCs w:val="22"/>
        </w:rPr>
        <w:t>A</w:t>
      </w:r>
      <w:r w:rsidRPr="00EC3BD0">
        <w:rPr>
          <w:szCs w:val="22"/>
        </w:rPr>
        <w:t xml:space="preserve">. There is no way of comparing the refrigeration systems employed in US hospitals compared to Australia, and no basis on which to assume they would be either the same, or very different.  Although it should be noted that of the US hospitals studied, all had lower energy shares for cooling and ventilation than Australian hospitals, and all had significantly higher shares of energy for heating and hot water than Australian hospitals. </w:t>
      </w:r>
    </w:p>
    <w:p w14:paraId="5E7DBF8C" w14:textId="352B57BC" w:rsidR="00EC3BD0" w:rsidRPr="00EC3BD0" w:rsidRDefault="00EC3BD0" w:rsidP="00EC3BD0">
      <w:pPr>
        <w:rPr>
          <w:szCs w:val="22"/>
        </w:rPr>
      </w:pPr>
      <w:r w:rsidRPr="00EC3BD0">
        <w:rPr>
          <w:szCs w:val="22"/>
        </w:rPr>
        <w:t>Even so, assuming that a mix of climatic and cultural differences mean</w:t>
      </w:r>
      <w:r w:rsidR="00DB7A5A">
        <w:rPr>
          <w:szCs w:val="22"/>
        </w:rPr>
        <w:t>s</w:t>
      </w:r>
      <w:r w:rsidRPr="00EC3BD0">
        <w:rPr>
          <w:szCs w:val="22"/>
        </w:rPr>
        <w:t xml:space="preserve"> that refrigeration equipment is employed less frequently in US hospitals, it is unlikely that Australian hospitals would consume much more than </w:t>
      </w:r>
      <w:r w:rsidR="00DB7A5A">
        <w:rPr>
          <w:szCs w:val="22"/>
        </w:rPr>
        <w:t>about</w:t>
      </w:r>
      <w:r w:rsidRPr="00EC3BD0">
        <w:rPr>
          <w:szCs w:val="22"/>
        </w:rPr>
        <w:t xml:space="preserve"> 50 per cent additional energy on refrigeration than their US counterparts, giving an end-use energy share for refrigeration in Australian hospitals of between 3 per cent and 4.5 per cent. </w:t>
      </w:r>
    </w:p>
    <w:p w14:paraId="192A54B3" w14:textId="351014BE" w:rsidR="00EC3BD0" w:rsidRPr="00EC3BD0" w:rsidRDefault="00EC3BD0" w:rsidP="00EC3BD0">
      <w:pPr>
        <w:rPr>
          <w:szCs w:val="22"/>
        </w:rPr>
      </w:pPr>
      <w:r w:rsidRPr="00EC3BD0">
        <w:rPr>
          <w:szCs w:val="22"/>
        </w:rPr>
        <w:t xml:space="preserve">We conclude that, depending on the climate zones, energy in Australian hospitals required for RAC ranges from 23 per cent to 44.5 per cent, a still considerable energy consumption </w:t>
      </w:r>
      <w:r w:rsidR="00A52314">
        <w:rPr>
          <w:szCs w:val="22"/>
        </w:rPr>
        <w:t>share</w:t>
      </w:r>
      <w:r w:rsidRPr="00EC3BD0">
        <w:rPr>
          <w:szCs w:val="22"/>
        </w:rPr>
        <w:t xml:space="preserve"> and important in the energy economy overall given hospitals position as the third largest user of energy in the built environment.</w:t>
      </w:r>
      <w:r w:rsidR="00BD5B6C">
        <w:rPr>
          <w:szCs w:val="22"/>
        </w:rPr>
        <w:t xml:space="preserve"> </w:t>
      </w:r>
    </w:p>
    <w:p w14:paraId="08000DA7" w14:textId="360A5808" w:rsidR="00EC3BD0" w:rsidRPr="00EC3BD0" w:rsidRDefault="00EC3BD0" w:rsidP="00EC3BD0">
      <w:pPr>
        <w:rPr>
          <w:szCs w:val="22"/>
        </w:rPr>
      </w:pPr>
      <w:r w:rsidRPr="00EC3BD0">
        <w:rPr>
          <w:szCs w:val="22"/>
        </w:rPr>
        <w:t xml:space="preserve">While no studies were found that identified the energy end-use share of refrigeration in hospitals, a detailed survey of one hospital in Melbourne conducted for the purposes of this report did reveal an extraordinary array of refrigeration equipment employed. Uses for refrigeration in hospitals range from domestic refrigerators for snacks and drinks, to fully equipped commercial kitchens to a range of </w:t>
      </w:r>
      <w:r w:rsidR="00A52314">
        <w:rPr>
          <w:szCs w:val="22"/>
        </w:rPr>
        <w:t xml:space="preserve">close control </w:t>
      </w:r>
      <w:r w:rsidRPr="00EC3BD0">
        <w:rPr>
          <w:szCs w:val="22"/>
        </w:rPr>
        <w:t>medical and laboratory uses including the storage of blood, plasma, other organic material, pharmaceuticals and in morgues.</w:t>
      </w:r>
    </w:p>
    <w:p w14:paraId="0518831B" w14:textId="5CD1AA60" w:rsidR="00EC3BD0" w:rsidRPr="00EC3BD0" w:rsidRDefault="00A52314" w:rsidP="00EC3BD0">
      <w:pPr>
        <w:rPr>
          <w:szCs w:val="22"/>
        </w:rPr>
      </w:pPr>
      <w:r>
        <w:rPr>
          <w:szCs w:val="22"/>
        </w:rPr>
        <w:t>T</w:t>
      </w:r>
      <w:r w:rsidR="00EC3BD0" w:rsidRPr="00EC3BD0">
        <w:rPr>
          <w:szCs w:val="22"/>
        </w:rPr>
        <w:t xml:space="preserve">he total installed refrigerating capacity per hospital bed at this facility was calculated as being 0.146 kWr per bed. </w:t>
      </w:r>
      <w:r w:rsidRPr="00EC3BD0">
        <w:rPr>
          <w:szCs w:val="22"/>
        </w:rPr>
        <w:t xml:space="preserve">Assuming that </w:t>
      </w:r>
      <w:r>
        <w:rPr>
          <w:szCs w:val="22"/>
        </w:rPr>
        <w:t xml:space="preserve">the Melbourne facility studies is </w:t>
      </w:r>
      <w:r w:rsidRPr="00EC3BD0">
        <w:rPr>
          <w:szCs w:val="22"/>
        </w:rPr>
        <w:t xml:space="preserve">typical </w:t>
      </w:r>
      <w:r>
        <w:rPr>
          <w:szCs w:val="22"/>
        </w:rPr>
        <w:t xml:space="preserve">of Australian </w:t>
      </w:r>
      <w:r w:rsidRPr="00EC3BD0">
        <w:rPr>
          <w:szCs w:val="22"/>
        </w:rPr>
        <w:t>hospital</w:t>
      </w:r>
      <w:r>
        <w:rPr>
          <w:szCs w:val="22"/>
        </w:rPr>
        <w:t>s</w:t>
      </w:r>
      <w:r w:rsidRPr="00EC3BD0">
        <w:rPr>
          <w:szCs w:val="22"/>
        </w:rPr>
        <w:t xml:space="preserve">, </w:t>
      </w:r>
      <w:r>
        <w:rPr>
          <w:szCs w:val="22"/>
        </w:rPr>
        <w:t>e</w:t>
      </w:r>
      <w:r w:rsidR="00EC3BD0" w:rsidRPr="00EC3BD0">
        <w:rPr>
          <w:szCs w:val="22"/>
        </w:rPr>
        <w:t>xtrapolat</w:t>
      </w:r>
      <w:r>
        <w:rPr>
          <w:szCs w:val="22"/>
        </w:rPr>
        <w:t xml:space="preserve">ing that average </w:t>
      </w:r>
      <w:r w:rsidR="00EC3BD0" w:rsidRPr="00EC3BD0">
        <w:rPr>
          <w:szCs w:val="22"/>
        </w:rPr>
        <w:t>across the entire national population of hospital beds indicates a total refrigeration capacity in all Australian hospitals of approximately 12.4 MWr.</w:t>
      </w:r>
    </w:p>
    <w:p w14:paraId="186A6892" w14:textId="75BF0776" w:rsidR="00EC3BD0" w:rsidRPr="00EC3BD0" w:rsidRDefault="00EC3BD0" w:rsidP="00EC3BD0">
      <w:pPr>
        <w:rPr>
          <w:szCs w:val="22"/>
        </w:rPr>
      </w:pPr>
      <w:r w:rsidRPr="00EC3BD0">
        <w:rPr>
          <w:szCs w:val="22"/>
        </w:rPr>
        <w:t>This is roughly equivalent to the refrigeration capacity that would be found in around 45 medium sized supermarkets with trading floors of around 2,500 m</w:t>
      </w:r>
      <w:r w:rsidRPr="000A62D9">
        <w:rPr>
          <w:szCs w:val="22"/>
          <w:vertAlign w:val="superscript"/>
        </w:rPr>
        <w:t>2</w:t>
      </w:r>
      <w:r w:rsidRPr="00EC3BD0">
        <w:rPr>
          <w:szCs w:val="22"/>
        </w:rPr>
        <w:t xml:space="preserve">. Another way of looking at this is that all of the estimated refrigeration capacity </w:t>
      </w:r>
      <w:r w:rsidR="00A52314">
        <w:rPr>
          <w:szCs w:val="22"/>
        </w:rPr>
        <w:t>in</w:t>
      </w:r>
      <w:r w:rsidRPr="00EC3BD0">
        <w:rPr>
          <w:szCs w:val="22"/>
        </w:rPr>
        <w:t xml:space="preserve"> </w:t>
      </w:r>
      <w:r w:rsidR="00A52314">
        <w:rPr>
          <w:szCs w:val="22"/>
        </w:rPr>
        <w:t xml:space="preserve">all Australian </w:t>
      </w:r>
      <w:r w:rsidRPr="00EC3BD0">
        <w:rPr>
          <w:szCs w:val="22"/>
        </w:rPr>
        <w:t xml:space="preserve">hospitals is equivalent to adding 5 per cent to the stock of </w:t>
      </w:r>
      <w:r w:rsidR="00A52314">
        <w:rPr>
          <w:szCs w:val="22"/>
        </w:rPr>
        <w:t xml:space="preserve">the </w:t>
      </w:r>
      <w:r w:rsidRPr="00EC3BD0">
        <w:rPr>
          <w:szCs w:val="22"/>
        </w:rPr>
        <w:t>985 supermarkets with trading floors of around 2,500 m</w:t>
      </w:r>
      <w:r w:rsidRPr="000A62D9">
        <w:rPr>
          <w:szCs w:val="22"/>
          <w:vertAlign w:val="superscript"/>
        </w:rPr>
        <w:t>2</w:t>
      </w:r>
      <w:r w:rsidRPr="00EC3BD0">
        <w:rPr>
          <w:szCs w:val="22"/>
        </w:rPr>
        <w:t xml:space="preserve"> in Australia.</w:t>
      </w:r>
    </w:p>
    <w:p w14:paraId="453A60A3" w14:textId="5AD1A6D4" w:rsidR="00EC3BD0" w:rsidRPr="00EC3BD0" w:rsidRDefault="00A52314" w:rsidP="00EC3BD0">
      <w:pPr>
        <w:rPr>
          <w:szCs w:val="22"/>
        </w:rPr>
      </w:pPr>
      <w:r>
        <w:rPr>
          <w:szCs w:val="22"/>
        </w:rPr>
        <w:t>While the refrigerating capacity employed in Australian hospitals appears to be a relativel</w:t>
      </w:r>
      <w:r w:rsidR="00ED6CC8">
        <w:rPr>
          <w:szCs w:val="22"/>
        </w:rPr>
        <w:t>y</w:t>
      </w:r>
      <w:r>
        <w:rPr>
          <w:szCs w:val="22"/>
        </w:rPr>
        <w:t xml:space="preserve"> modest proportion of all commercial refrigeration</w:t>
      </w:r>
      <w:r w:rsidR="00851D30">
        <w:rPr>
          <w:szCs w:val="22"/>
        </w:rPr>
        <w:t>,</w:t>
      </w:r>
      <w:r w:rsidR="00EC3BD0" w:rsidRPr="00EC3BD0">
        <w:rPr>
          <w:szCs w:val="22"/>
        </w:rPr>
        <w:t xml:space="preserve"> the total energy consumption of hospital HVAC, as a result of having to deliver the exacting requirements for temperature and air quality control, </w:t>
      </w:r>
      <w:r w:rsidR="00ED6CC8">
        <w:rPr>
          <w:szCs w:val="22"/>
        </w:rPr>
        <w:t>indicate</w:t>
      </w:r>
      <w:r w:rsidR="00EC3BD0" w:rsidRPr="00EC3BD0">
        <w:rPr>
          <w:szCs w:val="22"/>
        </w:rPr>
        <w:t xml:space="preserve"> that stationary air conditioning in hospitals is a significant application of that class of technology in Australia.</w:t>
      </w:r>
    </w:p>
    <w:p w14:paraId="6B9A1E82" w14:textId="6FA481BE" w:rsidR="00EC3BD0" w:rsidRPr="00EC3BD0" w:rsidRDefault="00EC3BD0" w:rsidP="00EC3BD0">
      <w:pPr>
        <w:rPr>
          <w:szCs w:val="22"/>
        </w:rPr>
      </w:pPr>
      <w:r w:rsidRPr="00EC3BD0">
        <w:rPr>
          <w:szCs w:val="22"/>
        </w:rPr>
        <w:t xml:space="preserve">Other health related applications that are often thought to be major users of refrigeration were also revealed to be relatively small application areas, </w:t>
      </w:r>
      <w:r w:rsidR="00ED6CC8">
        <w:rPr>
          <w:szCs w:val="22"/>
        </w:rPr>
        <w:t>such as</w:t>
      </w:r>
      <w:r w:rsidRPr="00EC3BD0">
        <w:rPr>
          <w:szCs w:val="22"/>
        </w:rPr>
        <w:t xml:space="preserve"> in morgues, pharmaceutical</w:t>
      </w:r>
      <w:r w:rsidR="00ED6CC8">
        <w:rPr>
          <w:szCs w:val="22"/>
        </w:rPr>
        <w:t xml:space="preserve"> supply chains</w:t>
      </w:r>
      <w:r w:rsidRPr="00EC3BD0">
        <w:rPr>
          <w:szCs w:val="22"/>
        </w:rPr>
        <w:t xml:space="preserve"> and </w:t>
      </w:r>
      <w:r w:rsidR="00ED6CC8">
        <w:rPr>
          <w:szCs w:val="22"/>
        </w:rPr>
        <w:t xml:space="preserve">for </w:t>
      </w:r>
      <w:r w:rsidRPr="00EC3BD0">
        <w:rPr>
          <w:szCs w:val="22"/>
        </w:rPr>
        <w:t>the blood bank. Refrigeration is essential in these areas however in the scheme of things the total use is small.</w:t>
      </w:r>
    </w:p>
    <w:p w14:paraId="12916481" w14:textId="50A988B1" w:rsidR="00EC3BD0" w:rsidRPr="00EC3BD0" w:rsidRDefault="00EC3BD0" w:rsidP="00EC3BD0">
      <w:pPr>
        <w:rPr>
          <w:szCs w:val="22"/>
        </w:rPr>
      </w:pPr>
      <w:r w:rsidRPr="00EC3BD0">
        <w:rPr>
          <w:szCs w:val="22"/>
        </w:rPr>
        <w:t xml:space="preserve">Mortuary systems are specialised in a number of ways, particularly in terms of the racking and trolleys. It is estimated that there </w:t>
      </w:r>
      <w:r w:rsidR="00851D30">
        <w:rPr>
          <w:szCs w:val="22"/>
        </w:rPr>
        <w:t>are</w:t>
      </w:r>
      <w:r w:rsidRPr="00EC3BD0">
        <w:rPr>
          <w:szCs w:val="22"/>
        </w:rPr>
        <w:t xml:space="preserve"> around 400 mortuary ‘cool rooms’ in operation in Australia that manage approximately 128,000 corpses annually. There are both medium temperature and low temperature equipment used, depending on the length of time a corpse has to be retained. The equipment used is captured in the CHF2 database amongst the walk-in cool room equipment.</w:t>
      </w:r>
    </w:p>
    <w:p w14:paraId="136EBE89" w14:textId="03BF54E7" w:rsidR="001C331C" w:rsidRPr="001C331C" w:rsidRDefault="00EC3BD0" w:rsidP="00EC3BD0">
      <w:pPr>
        <w:rPr>
          <w:rFonts w:cs="Times New Roman"/>
          <w:color w:val="000000"/>
        </w:rPr>
      </w:pPr>
      <w:r w:rsidRPr="001C331C">
        <w:rPr>
          <w:rFonts w:cs="Times New Roman"/>
          <w:szCs w:val="22"/>
        </w:rPr>
        <w:t xml:space="preserve">Pharmacies and the pharmaceutical supply chain are another small medical use of refrigeration. </w:t>
      </w:r>
      <w:r w:rsidR="001C331C" w:rsidRPr="001C331C">
        <w:rPr>
          <w:rFonts w:cs="Times New Roman"/>
          <w:szCs w:val="22"/>
        </w:rPr>
        <w:t>These m</w:t>
      </w:r>
      <w:r w:rsidR="00ED6CC8" w:rsidRPr="001C331C">
        <w:rPr>
          <w:rFonts w:cs="Times New Roman"/>
          <w:szCs w:val="22"/>
        </w:rPr>
        <w:t>edical refrigerators</w:t>
      </w:r>
      <w:r w:rsidR="00193BD0" w:rsidRPr="001C331C">
        <w:rPr>
          <w:rFonts w:cs="Times New Roman"/>
          <w:szCs w:val="22"/>
        </w:rPr>
        <w:t xml:space="preserve"> have their own tech</w:t>
      </w:r>
      <w:r w:rsidR="001C331C" w:rsidRPr="001C331C">
        <w:rPr>
          <w:rFonts w:cs="Times New Roman"/>
          <w:szCs w:val="22"/>
        </w:rPr>
        <w:t xml:space="preserve">nical standard </w:t>
      </w:r>
      <w:r w:rsidR="001C331C" w:rsidRPr="001C331C">
        <w:rPr>
          <w:rFonts w:cs="Times New Roman"/>
          <w:i/>
          <w:szCs w:val="22"/>
        </w:rPr>
        <w:t>AS 3864, 1997, Medical refrigeration equipment - for the storage of blood and blood product</w:t>
      </w:r>
      <w:r w:rsidR="001C331C" w:rsidRPr="001C331C">
        <w:rPr>
          <w:rFonts w:cs="Times New Roman"/>
          <w:szCs w:val="22"/>
        </w:rPr>
        <w:t>s as p</w:t>
      </w:r>
      <w:r w:rsidR="00193BD0" w:rsidRPr="001C331C">
        <w:rPr>
          <w:rFonts w:cs="Times New Roman"/>
          <w:szCs w:val="22"/>
        </w:rPr>
        <w:t>harmaceutical products</w:t>
      </w:r>
      <w:r w:rsidR="00193BD0" w:rsidRPr="001C331C">
        <w:rPr>
          <w:rFonts w:cs="Times New Roman"/>
          <w:color w:val="000000"/>
        </w:rPr>
        <w:t xml:space="preserve"> that require refrigeration </w:t>
      </w:r>
      <w:r w:rsidR="001C331C" w:rsidRPr="001C331C">
        <w:rPr>
          <w:rFonts w:cs="Times New Roman"/>
          <w:color w:val="000000"/>
        </w:rPr>
        <w:t xml:space="preserve">(i.e. </w:t>
      </w:r>
      <w:r w:rsidR="00193BD0" w:rsidRPr="001C331C">
        <w:rPr>
          <w:rFonts w:cs="Times New Roman"/>
          <w:color w:val="000000"/>
        </w:rPr>
        <w:t>vaccines, whole blood, blood derivatives, HIV test kits and ARV drugs</w:t>
      </w:r>
      <w:r w:rsidR="001C331C" w:rsidRPr="001C331C">
        <w:rPr>
          <w:rFonts w:cs="Times New Roman"/>
          <w:color w:val="000000"/>
        </w:rPr>
        <w:t xml:space="preserve">) require </w:t>
      </w:r>
      <w:r w:rsidR="00193BD0" w:rsidRPr="001C331C">
        <w:rPr>
          <w:rFonts w:cs="Times New Roman"/>
          <w:color w:val="000000"/>
        </w:rPr>
        <w:t xml:space="preserve">storage between 2°C and 8°C </w:t>
      </w:r>
      <w:r w:rsidR="001C331C" w:rsidRPr="001C331C">
        <w:rPr>
          <w:rFonts w:cs="Times New Roman"/>
          <w:color w:val="000000"/>
        </w:rPr>
        <w:t xml:space="preserve">depending on the product to </w:t>
      </w:r>
      <w:r w:rsidR="00193BD0" w:rsidRPr="001C331C">
        <w:rPr>
          <w:rFonts w:cs="Times New Roman"/>
          <w:color w:val="000000"/>
        </w:rPr>
        <w:t>maintain product quality</w:t>
      </w:r>
      <w:r w:rsidR="001C331C" w:rsidRPr="001C331C">
        <w:rPr>
          <w:rFonts w:cs="Times New Roman"/>
          <w:color w:val="000000"/>
        </w:rPr>
        <w:t>.</w:t>
      </w:r>
    </w:p>
    <w:p w14:paraId="6EC96554" w14:textId="710B7FF4" w:rsidR="00EC3BD0" w:rsidRPr="00EC3BD0" w:rsidRDefault="001C331C" w:rsidP="00EC3BD0">
      <w:pPr>
        <w:rPr>
          <w:szCs w:val="22"/>
        </w:rPr>
      </w:pPr>
      <w:r>
        <w:rPr>
          <w:rFonts w:ascii="Calibri" w:hAnsi="Calibri"/>
          <w:color w:val="000000"/>
        </w:rPr>
        <w:t>T</w:t>
      </w:r>
      <w:r w:rsidR="00EC3BD0" w:rsidRPr="00EC3BD0">
        <w:rPr>
          <w:szCs w:val="22"/>
        </w:rPr>
        <w:t xml:space="preserve">here are approximately 5,200 pharmacies in Australia, each of which is required to have ‘medical’ refrigerators for any vaccines stored on the premises. There are also some 7,000 general practitioners who are thought to have 100 </w:t>
      </w:r>
      <w:r w:rsidR="000A62D9">
        <w:rPr>
          <w:szCs w:val="22"/>
        </w:rPr>
        <w:t xml:space="preserve">litre </w:t>
      </w:r>
      <w:r w:rsidR="00EC3BD0" w:rsidRPr="00EC3BD0">
        <w:rPr>
          <w:szCs w:val="22"/>
        </w:rPr>
        <w:t xml:space="preserve">to 150 </w:t>
      </w:r>
      <w:r w:rsidR="000A62D9">
        <w:rPr>
          <w:szCs w:val="22"/>
        </w:rPr>
        <w:t xml:space="preserve">litre </w:t>
      </w:r>
      <w:r w:rsidR="00EC3BD0" w:rsidRPr="00EC3BD0">
        <w:rPr>
          <w:szCs w:val="22"/>
        </w:rPr>
        <w:t xml:space="preserve">refrigerators for the same purpose. Along with an estimated 3,000 small medical refrigerators at hospitals for storage of vaccines it is estimated that there </w:t>
      </w:r>
      <w:r w:rsidR="00E90290">
        <w:rPr>
          <w:szCs w:val="22"/>
        </w:rPr>
        <w:t xml:space="preserve">are </w:t>
      </w:r>
      <w:r w:rsidR="00EC3BD0" w:rsidRPr="00EC3BD0">
        <w:rPr>
          <w:szCs w:val="22"/>
        </w:rPr>
        <w:t xml:space="preserve">some 15,000 of these small devices. The majority of pharmaceuticals do not require refrigeration, however the pharmaceutical supply chain for vaccines and other refrigerated pharmaceuticals involve less than 100 </w:t>
      </w:r>
      <w:r w:rsidR="00EC3BD0" w:rsidRPr="00EC3BD0">
        <w:rPr>
          <w:szCs w:val="22"/>
        </w:rPr>
        <w:lastRenderedPageBreak/>
        <w:t xml:space="preserve">walk-in coolrooms.  All of this equipment, which in total would employ less than 5 tonnes of refrigerant gas, is picked up in various </w:t>
      </w:r>
      <w:r w:rsidR="00DF4C15">
        <w:rPr>
          <w:szCs w:val="22"/>
        </w:rPr>
        <w:t xml:space="preserve">small refrigeration </w:t>
      </w:r>
      <w:r w:rsidR="00EC3BD0" w:rsidRPr="00EC3BD0">
        <w:rPr>
          <w:szCs w:val="22"/>
        </w:rPr>
        <w:t>equipment categories in the CHF2 database.</w:t>
      </w:r>
    </w:p>
    <w:p w14:paraId="3F4137C2" w14:textId="5796622F" w:rsidR="00EC3BD0" w:rsidRPr="00EC3BD0" w:rsidRDefault="00EC3BD0" w:rsidP="00EC3BD0">
      <w:pPr>
        <w:rPr>
          <w:szCs w:val="22"/>
        </w:rPr>
      </w:pPr>
      <w:r w:rsidRPr="00EC3BD0">
        <w:rPr>
          <w:szCs w:val="22"/>
        </w:rPr>
        <w:t xml:space="preserve">Blood collection, processing, packing, storage and distribution is a unique sector of the pharmaceutical industry that is critical in the supply of modern medical services, particularly surgical procedures. There are 8 blood banks in Australia that are operational around the clock, 365 days of the year. The Australian Red Cross administers the collection, inventory and distribution of blood in Australia employing </w:t>
      </w:r>
      <w:r w:rsidR="005F4840">
        <w:rPr>
          <w:szCs w:val="22"/>
        </w:rPr>
        <w:t xml:space="preserve">around </w:t>
      </w:r>
      <w:r w:rsidRPr="00EC3BD0">
        <w:rPr>
          <w:szCs w:val="22"/>
        </w:rPr>
        <w:t>4,</w:t>
      </w:r>
      <w:r w:rsidR="005F4840">
        <w:rPr>
          <w:szCs w:val="22"/>
        </w:rPr>
        <w:t>500</w:t>
      </w:r>
      <w:r w:rsidRPr="00EC3BD0">
        <w:rPr>
          <w:szCs w:val="22"/>
        </w:rPr>
        <w:t xml:space="preserve"> people. A government agency, the National Blood Authority (NBA) provided funds of $496 million last financial year to purchase and manage blood, and blood products.</w:t>
      </w:r>
    </w:p>
    <w:p w14:paraId="0BC05960" w14:textId="6C1DAFF8" w:rsidR="00EC3BD0" w:rsidRPr="00EC3BD0" w:rsidRDefault="00EC3BD0" w:rsidP="00EC3BD0">
      <w:pPr>
        <w:rPr>
          <w:szCs w:val="22"/>
        </w:rPr>
      </w:pPr>
      <w:r w:rsidRPr="00EC3BD0">
        <w:rPr>
          <w:szCs w:val="22"/>
        </w:rPr>
        <w:t>The blood collection and handling is spread over 80 static and 37 mobile sites. Blood donations are critical to the process and average 27,000 donations per week nationwide</w:t>
      </w:r>
      <w:r w:rsidR="00DF4C15">
        <w:rPr>
          <w:szCs w:val="22"/>
        </w:rPr>
        <w:t>,</w:t>
      </w:r>
      <w:r w:rsidRPr="00EC3BD0">
        <w:rPr>
          <w:szCs w:val="22"/>
        </w:rPr>
        <w:t xml:space="preserve"> a total of 956,000 </w:t>
      </w:r>
      <w:r w:rsidR="00DF4C15">
        <w:rPr>
          <w:szCs w:val="22"/>
        </w:rPr>
        <w:t xml:space="preserve">donations </w:t>
      </w:r>
      <w:r w:rsidRPr="00EC3BD0">
        <w:rPr>
          <w:szCs w:val="22"/>
        </w:rPr>
        <w:t>p</w:t>
      </w:r>
      <w:r w:rsidR="000A62D9">
        <w:rPr>
          <w:szCs w:val="22"/>
        </w:rPr>
        <w:t>er annum</w:t>
      </w:r>
      <w:r w:rsidRPr="00EC3BD0">
        <w:rPr>
          <w:szCs w:val="22"/>
        </w:rPr>
        <w:t>. Blood is stored at 2</w:t>
      </w:r>
      <w:r w:rsidR="005F4840" w:rsidRPr="00EC3BD0">
        <w:rPr>
          <w:szCs w:val="22"/>
        </w:rPr>
        <w:t>°C</w:t>
      </w:r>
      <w:r w:rsidR="005F4840">
        <w:rPr>
          <w:szCs w:val="22"/>
        </w:rPr>
        <w:t xml:space="preserve"> to </w:t>
      </w:r>
      <w:r w:rsidRPr="00EC3BD0">
        <w:rPr>
          <w:szCs w:val="22"/>
        </w:rPr>
        <w:t>8</w:t>
      </w:r>
      <w:r w:rsidR="005F4840" w:rsidRPr="00EC3BD0">
        <w:rPr>
          <w:szCs w:val="22"/>
        </w:rPr>
        <w:t>°C</w:t>
      </w:r>
      <w:r w:rsidRPr="00EC3BD0">
        <w:rPr>
          <w:szCs w:val="22"/>
        </w:rPr>
        <w:t xml:space="preserve"> and Plasma at -30°C.</w:t>
      </w:r>
    </w:p>
    <w:p w14:paraId="1E4052BA" w14:textId="7FFFA799" w:rsidR="00EC3BD0" w:rsidRPr="00EC3BD0" w:rsidRDefault="00EC3BD0" w:rsidP="00EC3BD0">
      <w:pPr>
        <w:rPr>
          <w:szCs w:val="22"/>
        </w:rPr>
      </w:pPr>
      <w:r w:rsidRPr="00EC3BD0">
        <w:rPr>
          <w:szCs w:val="22"/>
        </w:rPr>
        <w:t>The NBA coordinates manufacturing and distribution of 1.8 million units of blood products per annum. The product mix is made up of 40 per cent whole blood, 40 per cent plasma and 20</w:t>
      </w:r>
      <w:r w:rsidR="005F4840">
        <w:rPr>
          <w:szCs w:val="22"/>
        </w:rPr>
        <w:t xml:space="preserve"> per cent</w:t>
      </w:r>
      <w:r w:rsidRPr="00EC3BD0">
        <w:rPr>
          <w:szCs w:val="22"/>
        </w:rPr>
        <w:t xml:space="preserve"> specialized blood products. </w:t>
      </w:r>
      <w:r w:rsidR="007F7AB4">
        <w:rPr>
          <w:szCs w:val="22"/>
        </w:rPr>
        <w:t>CSL Ltd (formerly</w:t>
      </w:r>
      <w:r w:rsidR="005F4840">
        <w:rPr>
          <w:szCs w:val="22"/>
        </w:rPr>
        <w:t xml:space="preserve"> </w:t>
      </w:r>
      <w:r w:rsidRPr="00EC3BD0">
        <w:rPr>
          <w:szCs w:val="22"/>
        </w:rPr>
        <w:t>C</w:t>
      </w:r>
      <w:r w:rsidR="005F4840">
        <w:rPr>
          <w:szCs w:val="22"/>
        </w:rPr>
        <w:t xml:space="preserve">ommonwealth </w:t>
      </w:r>
      <w:r w:rsidRPr="00EC3BD0">
        <w:rPr>
          <w:szCs w:val="22"/>
        </w:rPr>
        <w:t>S</w:t>
      </w:r>
      <w:r w:rsidR="005F4840">
        <w:rPr>
          <w:szCs w:val="22"/>
        </w:rPr>
        <w:t>erum Laboratories</w:t>
      </w:r>
      <w:r w:rsidR="007F7AB4">
        <w:rPr>
          <w:szCs w:val="22"/>
        </w:rPr>
        <w:t>)</w:t>
      </w:r>
      <w:r w:rsidR="005F4840">
        <w:rPr>
          <w:szCs w:val="22"/>
        </w:rPr>
        <w:t xml:space="preserve"> </w:t>
      </w:r>
      <w:r w:rsidRPr="00EC3BD0">
        <w:rPr>
          <w:szCs w:val="22"/>
        </w:rPr>
        <w:t xml:space="preserve">takes plasma ready blood (525,000 kilograms) and infuses it in their manufacturing plant at Broadmeadows in Victoria under contract to the blood bank. </w:t>
      </w:r>
    </w:p>
    <w:p w14:paraId="6E992E20" w14:textId="54BB8A11" w:rsidR="00EC3BD0" w:rsidRPr="00EC3BD0" w:rsidRDefault="00EC3BD0" w:rsidP="00EC3BD0">
      <w:pPr>
        <w:rPr>
          <w:szCs w:val="22"/>
        </w:rPr>
      </w:pPr>
      <w:r w:rsidRPr="00EC3BD0">
        <w:rPr>
          <w:szCs w:val="22"/>
        </w:rPr>
        <w:t xml:space="preserve">The transport of </w:t>
      </w:r>
      <w:r w:rsidR="00DF4C15">
        <w:rPr>
          <w:szCs w:val="22"/>
        </w:rPr>
        <w:t xml:space="preserve">blood </w:t>
      </w:r>
      <w:r w:rsidRPr="00EC3BD0">
        <w:rPr>
          <w:szCs w:val="22"/>
        </w:rPr>
        <w:t xml:space="preserve">products is mostly done with insulated cardboard boxes operating within tight standards guideline.  The blood products supply chain uses </w:t>
      </w:r>
      <w:r w:rsidR="00DF4C15" w:rsidRPr="00EC3BD0">
        <w:rPr>
          <w:szCs w:val="22"/>
        </w:rPr>
        <w:t>around 900 kWr of</w:t>
      </w:r>
      <w:r w:rsidR="0090224B">
        <w:rPr>
          <w:szCs w:val="22"/>
        </w:rPr>
        <w:t xml:space="preserve"> </w:t>
      </w:r>
      <w:r w:rsidRPr="00EC3BD0">
        <w:rPr>
          <w:szCs w:val="22"/>
        </w:rPr>
        <w:t>refrigeration in collection, packing and distribution using, including more than 150 walk-in coolrooms (WICs) containing around 1.5</w:t>
      </w:r>
      <w:r w:rsidR="005F4840">
        <w:rPr>
          <w:szCs w:val="22"/>
        </w:rPr>
        <w:t xml:space="preserve"> tonnes </w:t>
      </w:r>
      <w:r w:rsidRPr="00EC3BD0">
        <w:rPr>
          <w:szCs w:val="22"/>
        </w:rPr>
        <w:t>(mostly HFC-404A), these are counted in the stock inventory as WICs. There are at least</w:t>
      </w:r>
      <w:r w:rsidR="00DF4C15">
        <w:rPr>
          <w:szCs w:val="22"/>
        </w:rPr>
        <w:t xml:space="preserve"> </w:t>
      </w:r>
      <w:r w:rsidR="00DF4C15" w:rsidRPr="00EC3BD0">
        <w:rPr>
          <w:szCs w:val="22"/>
        </w:rPr>
        <w:t>250</w:t>
      </w:r>
      <w:r w:rsidRPr="00EC3BD0">
        <w:rPr>
          <w:szCs w:val="22"/>
        </w:rPr>
        <w:t xml:space="preserve"> </w:t>
      </w:r>
      <w:r w:rsidR="005F4840">
        <w:rPr>
          <w:szCs w:val="22"/>
        </w:rPr>
        <w:t xml:space="preserve">specialised </w:t>
      </w:r>
      <w:r w:rsidRPr="00EC3BD0">
        <w:rPr>
          <w:szCs w:val="22"/>
        </w:rPr>
        <w:t xml:space="preserve">self-contained laboratory refrigerators </w:t>
      </w:r>
      <w:r w:rsidR="00DF4C15">
        <w:rPr>
          <w:szCs w:val="22"/>
        </w:rPr>
        <w:t xml:space="preserve">in </w:t>
      </w:r>
      <w:r w:rsidRPr="00EC3BD0">
        <w:rPr>
          <w:szCs w:val="22"/>
        </w:rPr>
        <w:t xml:space="preserve">use as well. </w:t>
      </w:r>
      <w:r w:rsidR="007C614C">
        <w:rPr>
          <w:szCs w:val="22"/>
        </w:rPr>
        <w:t xml:space="preserve">These highly specialised devices </w:t>
      </w:r>
      <w:r w:rsidR="00193BD0">
        <w:rPr>
          <w:szCs w:val="22"/>
        </w:rPr>
        <w:t xml:space="preserve">are </w:t>
      </w:r>
      <w:r w:rsidR="00193BD0" w:rsidRPr="00193BD0">
        <w:rPr>
          <w:szCs w:val="22"/>
        </w:rPr>
        <w:t>designed for storing critical materials that demand co</w:t>
      </w:r>
      <w:r w:rsidR="00193BD0">
        <w:rPr>
          <w:szCs w:val="22"/>
        </w:rPr>
        <w:t xml:space="preserve">nstant temperature and security with some refrigerators capable of storing products at ultra-low temperatures of </w:t>
      </w:r>
      <w:r w:rsidR="007C614C">
        <w:rPr>
          <w:szCs w:val="22"/>
        </w:rPr>
        <w:t>-86</w:t>
      </w:r>
      <w:r w:rsidR="007C614C" w:rsidRPr="007C614C">
        <w:rPr>
          <w:szCs w:val="22"/>
          <w:vertAlign w:val="superscript"/>
        </w:rPr>
        <w:t>o</w:t>
      </w:r>
      <w:r w:rsidR="007C614C">
        <w:rPr>
          <w:szCs w:val="22"/>
        </w:rPr>
        <w:t>C.</w:t>
      </w:r>
    </w:p>
    <w:p w14:paraId="52684620" w14:textId="77777777" w:rsidR="00EC3BD0" w:rsidRPr="00EC3BD0" w:rsidRDefault="00EC3BD0" w:rsidP="00EC3BD0">
      <w:pPr>
        <w:rPr>
          <w:szCs w:val="22"/>
        </w:rPr>
      </w:pPr>
      <w:r w:rsidRPr="00EC3BD0">
        <w:rPr>
          <w:szCs w:val="22"/>
        </w:rPr>
        <w:t>Because of the essential nature of the products to the national health and hospital system, the major storage and distribution centres are designed with uninterruptible power supplies. The Melbourne blood bank facility for instance has back up power provided by two separate diesel generators.</w:t>
      </w:r>
    </w:p>
    <w:p w14:paraId="71417AB5" w14:textId="77777777" w:rsidR="00070B76" w:rsidRDefault="00070B76">
      <w:pPr>
        <w:spacing w:before="0"/>
        <w:jc w:val="left"/>
        <w:rPr>
          <w:rFonts w:ascii="Calibri" w:eastAsia="Times New Roman" w:hAnsi="Calibri" w:cs="Times New Roman"/>
          <w:b/>
          <w:bCs/>
          <w:kern w:val="32"/>
          <w:sz w:val="32"/>
          <w:szCs w:val="32"/>
          <w:lang w:val="en-US"/>
        </w:rPr>
      </w:pPr>
      <w:r>
        <w:br w:type="page"/>
      </w:r>
    </w:p>
    <w:p w14:paraId="7475AA24" w14:textId="0C88A57E" w:rsidR="00164992" w:rsidRDefault="00164992" w:rsidP="00164992">
      <w:pPr>
        <w:pStyle w:val="Heading1"/>
      </w:pPr>
      <w:bookmarkStart w:id="104" w:name="_Toc233084172"/>
      <w:r w:rsidRPr="00164992">
        <w:lastRenderedPageBreak/>
        <w:t xml:space="preserve">CHF1 and CHF2 Comparative </w:t>
      </w:r>
      <w:r>
        <w:t>m</w:t>
      </w:r>
      <w:r w:rsidRPr="00164992">
        <w:t>easures</w:t>
      </w:r>
      <w:bookmarkEnd w:id="104"/>
    </w:p>
    <w:p w14:paraId="7B9ED9CC" w14:textId="6F97CFE0" w:rsidR="005F4840" w:rsidRPr="005F4840" w:rsidRDefault="005F4840" w:rsidP="005F4840">
      <w:pPr>
        <w:rPr>
          <w:szCs w:val="22"/>
        </w:rPr>
      </w:pPr>
      <w:r w:rsidRPr="005F4840">
        <w:rPr>
          <w:szCs w:val="22"/>
        </w:rPr>
        <w:t>Since the late 19</w:t>
      </w:r>
      <w:r w:rsidRPr="005F4840">
        <w:rPr>
          <w:szCs w:val="22"/>
          <w:vertAlign w:val="superscript"/>
        </w:rPr>
        <w:t>th</w:t>
      </w:r>
      <w:r w:rsidRPr="005F4840">
        <w:rPr>
          <w:szCs w:val="22"/>
        </w:rPr>
        <w:t xml:space="preserve"> century hi-technology pioneers of refrigeration helped establish Australia as a source of quality food exported half way around the world, the refrigeration industry has become a sizeable part of the Australian economy</w:t>
      </w:r>
      <w:r w:rsidR="00CD1C60">
        <w:rPr>
          <w:szCs w:val="22"/>
        </w:rPr>
        <w:t>.</w:t>
      </w:r>
      <w:r w:rsidRPr="005F4840">
        <w:rPr>
          <w:szCs w:val="22"/>
        </w:rPr>
        <w:t xml:space="preserve"> </w:t>
      </w:r>
      <w:r w:rsidR="00CD1C60">
        <w:rPr>
          <w:szCs w:val="22"/>
        </w:rPr>
        <w:t>T</w:t>
      </w:r>
      <w:r w:rsidRPr="005F4840">
        <w:rPr>
          <w:szCs w:val="22"/>
        </w:rPr>
        <w:t xml:space="preserve">he core </w:t>
      </w:r>
      <w:r w:rsidR="00CD1C60">
        <w:rPr>
          <w:szCs w:val="22"/>
        </w:rPr>
        <w:t xml:space="preserve">refrigeration </w:t>
      </w:r>
      <w:r w:rsidRPr="005F4840">
        <w:rPr>
          <w:szCs w:val="22"/>
        </w:rPr>
        <w:t xml:space="preserve">technology of </w:t>
      </w:r>
      <w:r w:rsidR="003C6CAB" w:rsidRPr="005F4840">
        <w:rPr>
          <w:szCs w:val="22"/>
        </w:rPr>
        <w:t>vapour</w:t>
      </w:r>
      <w:r w:rsidRPr="005F4840">
        <w:rPr>
          <w:szCs w:val="22"/>
        </w:rPr>
        <w:t xml:space="preserve"> compression has </w:t>
      </w:r>
      <w:r w:rsidR="00CD1C60">
        <w:rPr>
          <w:szCs w:val="22"/>
        </w:rPr>
        <w:t xml:space="preserve">also </w:t>
      </w:r>
      <w:r w:rsidRPr="005F4840">
        <w:rPr>
          <w:szCs w:val="22"/>
        </w:rPr>
        <w:t xml:space="preserve">become the basis of an entirely modern industry in air conditioning. How much of the economy was built on that electro-mechanical </w:t>
      </w:r>
      <w:r w:rsidR="003C6CAB" w:rsidRPr="005F4840">
        <w:rPr>
          <w:szCs w:val="22"/>
        </w:rPr>
        <w:t>vapour</w:t>
      </w:r>
      <w:r w:rsidRPr="005F4840">
        <w:rPr>
          <w:szCs w:val="22"/>
        </w:rPr>
        <w:t xml:space="preserve"> compression process was one of the central questions that underpinned the creation of CHF1.</w:t>
      </w:r>
    </w:p>
    <w:p w14:paraId="18165D0D" w14:textId="4701BEFE" w:rsidR="005F4840" w:rsidRPr="005F4840" w:rsidRDefault="005F4840" w:rsidP="005F4840">
      <w:pPr>
        <w:rPr>
          <w:szCs w:val="22"/>
        </w:rPr>
      </w:pPr>
      <w:r w:rsidRPr="005F4840">
        <w:rPr>
          <w:szCs w:val="22"/>
        </w:rPr>
        <w:t>When CHF1 was undertaken</w:t>
      </w:r>
      <w:r w:rsidR="00CD1C60">
        <w:rPr>
          <w:szCs w:val="22"/>
        </w:rPr>
        <w:t xml:space="preserve"> in 2007</w:t>
      </w:r>
      <w:r w:rsidRPr="005F4840">
        <w:rPr>
          <w:szCs w:val="22"/>
        </w:rPr>
        <w:t xml:space="preserve">, one of the challenges was the paucity of data. The relative difficulty in establishing starting points for data collection, and the characteristics of the </w:t>
      </w:r>
      <w:r w:rsidR="00CD1C60">
        <w:rPr>
          <w:szCs w:val="22"/>
        </w:rPr>
        <w:t xml:space="preserve">various categories of the </w:t>
      </w:r>
      <w:r w:rsidRPr="005F4840">
        <w:rPr>
          <w:szCs w:val="22"/>
        </w:rPr>
        <w:t>stock of equipment</w:t>
      </w:r>
      <w:r w:rsidR="00CD1C60">
        <w:rPr>
          <w:szCs w:val="22"/>
        </w:rPr>
        <w:t>,</w:t>
      </w:r>
      <w:r w:rsidRPr="005F4840">
        <w:rPr>
          <w:szCs w:val="22"/>
        </w:rPr>
        <w:t xml:space="preserve"> to some extent drove the direction of the research. </w:t>
      </w:r>
      <w:r w:rsidR="00CD1C60">
        <w:rPr>
          <w:szCs w:val="22"/>
        </w:rPr>
        <w:t>T</w:t>
      </w:r>
      <w:r w:rsidRPr="005F4840">
        <w:rPr>
          <w:szCs w:val="22"/>
        </w:rPr>
        <w:t>here was also little thought given</w:t>
      </w:r>
      <w:r w:rsidR="00CD1C60">
        <w:rPr>
          <w:szCs w:val="22"/>
        </w:rPr>
        <w:t xml:space="preserve"> at that time</w:t>
      </w:r>
      <w:r w:rsidRPr="005F4840">
        <w:rPr>
          <w:szCs w:val="22"/>
        </w:rPr>
        <w:t xml:space="preserve"> for any future study being able to draw comparisons against the conclusions drawn, or for the value of those conclusions as initial benchmarks.</w:t>
      </w:r>
    </w:p>
    <w:p w14:paraId="2CFC6B9A" w14:textId="25A1FD2E" w:rsidR="005F4840" w:rsidRPr="005F4840" w:rsidRDefault="005F4840" w:rsidP="005F4840">
      <w:pPr>
        <w:rPr>
          <w:szCs w:val="22"/>
        </w:rPr>
      </w:pPr>
      <w:r w:rsidRPr="005F4840">
        <w:rPr>
          <w:szCs w:val="22"/>
        </w:rPr>
        <w:t>Despite this, and while the resources and data available during the preparation of CHF1 were significantly less than those available in the preparation of this report, it is still worth comparing the main</w:t>
      </w:r>
      <w:r w:rsidR="00CD1C60">
        <w:rPr>
          <w:szCs w:val="22"/>
        </w:rPr>
        <w:t xml:space="preserve"> findings</w:t>
      </w:r>
      <w:r w:rsidRPr="005F4840">
        <w:rPr>
          <w:szCs w:val="22"/>
        </w:rPr>
        <w:t xml:space="preserve"> from the earlier study with results from CHF2, where they can be compared.</w:t>
      </w:r>
    </w:p>
    <w:p w14:paraId="5D5BC713" w14:textId="550088FA" w:rsidR="005F4840" w:rsidRDefault="005F4840" w:rsidP="00D67D1B">
      <w:pPr>
        <w:rPr>
          <w:szCs w:val="22"/>
        </w:rPr>
      </w:pPr>
      <w:r w:rsidRPr="005F4840">
        <w:rPr>
          <w:szCs w:val="22"/>
        </w:rPr>
        <w:t>All of the main</w:t>
      </w:r>
      <w:r>
        <w:rPr>
          <w:szCs w:val="22"/>
        </w:rPr>
        <w:t xml:space="preserve"> measures are listed in </w:t>
      </w:r>
      <w:r w:rsidRPr="005F4840">
        <w:rPr>
          <w:i/>
          <w:szCs w:val="22"/>
        </w:rPr>
        <w:t>Table 34</w:t>
      </w:r>
      <w:r w:rsidRPr="005F4840">
        <w:rPr>
          <w:szCs w:val="22"/>
        </w:rPr>
        <w:t xml:space="preserve">, and </w:t>
      </w:r>
      <w:r w:rsidR="006E228B" w:rsidRPr="005F4840">
        <w:rPr>
          <w:szCs w:val="22"/>
        </w:rPr>
        <w:t xml:space="preserve">explanatory notes accompany </w:t>
      </w:r>
      <w:r w:rsidR="006E228B">
        <w:rPr>
          <w:szCs w:val="22"/>
        </w:rPr>
        <w:t>most items</w:t>
      </w:r>
      <w:r w:rsidRPr="005F4840">
        <w:rPr>
          <w:szCs w:val="22"/>
        </w:rPr>
        <w:t>.  To provide a benchmark for future studies, in the cases where equipment categories have been redefined since 2006, the new category is displayed for 2012. These values have also been included in an aggregate value to</w:t>
      </w:r>
      <w:r w:rsidR="006E228B">
        <w:rPr>
          <w:szCs w:val="22"/>
        </w:rPr>
        <w:t xml:space="preserve"> provide a comparison with 2006. </w:t>
      </w:r>
    </w:p>
    <w:p w14:paraId="05F8ABC4" w14:textId="77777777" w:rsidR="001343DE" w:rsidRDefault="001343DE" w:rsidP="001343DE">
      <w:pPr>
        <w:spacing w:before="0"/>
        <w:jc w:val="left"/>
        <w:rPr>
          <w:szCs w:val="22"/>
        </w:rPr>
      </w:pPr>
    </w:p>
    <w:p w14:paraId="7674CEC3" w14:textId="62029779" w:rsidR="00070B76" w:rsidRPr="00D16B26" w:rsidRDefault="00070B76" w:rsidP="00070B76">
      <w:pPr>
        <w:rPr>
          <w:i/>
          <w:szCs w:val="22"/>
        </w:rPr>
      </w:pPr>
      <w:bookmarkStart w:id="105" w:name="_Toc233084079"/>
      <w:r w:rsidRPr="00D16B26">
        <w:rPr>
          <w:i/>
          <w:szCs w:val="22"/>
        </w:rPr>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35</w:t>
      </w:r>
      <w:r w:rsidRPr="00D16B26">
        <w:rPr>
          <w:i/>
          <w:szCs w:val="22"/>
        </w:rPr>
        <w:fldChar w:fldCharType="end"/>
      </w:r>
      <w:r w:rsidRPr="00D16B26">
        <w:rPr>
          <w:i/>
          <w:szCs w:val="22"/>
        </w:rPr>
        <w:t xml:space="preserve">: </w:t>
      </w:r>
      <w:r w:rsidR="00D67D1B" w:rsidRPr="00D67D1B">
        <w:rPr>
          <w:i/>
          <w:szCs w:val="22"/>
        </w:rPr>
        <w:t xml:space="preserve">CHF1 and CHF2 Comparative </w:t>
      </w:r>
      <w:r w:rsidR="00D67D1B">
        <w:rPr>
          <w:i/>
          <w:szCs w:val="22"/>
        </w:rPr>
        <w:t>m</w:t>
      </w:r>
      <w:r w:rsidR="00D67D1B" w:rsidRPr="00D67D1B">
        <w:rPr>
          <w:i/>
          <w:szCs w:val="22"/>
        </w:rPr>
        <w:t>easures</w:t>
      </w:r>
      <w:bookmarkEnd w:id="105"/>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835"/>
        <w:gridCol w:w="2976"/>
      </w:tblGrid>
      <w:tr w:rsidR="00F4734E" w:rsidRPr="00923150" w14:paraId="65DE53E8" w14:textId="77777777" w:rsidTr="001A1192">
        <w:trPr>
          <w:trHeight w:val="456"/>
        </w:trPr>
        <w:tc>
          <w:tcPr>
            <w:tcW w:w="3828" w:type="dxa"/>
            <w:tcBorders>
              <w:top w:val="single" w:sz="4" w:space="0" w:color="000000"/>
              <w:bottom w:val="single" w:sz="4" w:space="0" w:color="000000"/>
              <w:right w:val="single" w:sz="4" w:space="0" w:color="FFFFFF" w:themeColor="background1"/>
            </w:tcBorders>
            <w:shd w:val="clear" w:color="auto" w:fill="000000"/>
            <w:vAlign w:val="center"/>
          </w:tcPr>
          <w:p w14:paraId="7A2CF68A" w14:textId="1B5A947E" w:rsidR="00F4734E" w:rsidRPr="003E19E1" w:rsidRDefault="00F4734E" w:rsidP="00E7218A">
            <w:pPr>
              <w:spacing w:after="120"/>
              <w:jc w:val="left"/>
            </w:pPr>
            <w:r w:rsidRPr="00AB7C52">
              <w:t xml:space="preserve">Main </w:t>
            </w:r>
            <w:r>
              <w:t>m</w:t>
            </w:r>
            <w:r w:rsidRPr="00AB7C52">
              <w:t>easures</w:t>
            </w:r>
          </w:p>
        </w:tc>
        <w:tc>
          <w:tcPr>
            <w:tcW w:w="2835"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00000"/>
            <w:vAlign w:val="center"/>
          </w:tcPr>
          <w:p w14:paraId="29FAF4F6" w14:textId="78555601" w:rsidR="00F4734E" w:rsidRPr="003E19E1" w:rsidRDefault="00F4734E" w:rsidP="00D67D1B">
            <w:pPr>
              <w:spacing w:after="120"/>
              <w:jc w:val="center"/>
            </w:pPr>
            <w:r w:rsidRPr="00AB7C52">
              <w:t>2006</w:t>
            </w:r>
          </w:p>
        </w:tc>
        <w:tc>
          <w:tcPr>
            <w:tcW w:w="2976"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00000"/>
            <w:vAlign w:val="center"/>
          </w:tcPr>
          <w:p w14:paraId="1B943957" w14:textId="08CC77D6" w:rsidR="00F4734E" w:rsidRPr="003E19E1" w:rsidRDefault="00F4734E" w:rsidP="00D67D1B">
            <w:pPr>
              <w:spacing w:after="120"/>
              <w:jc w:val="center"/>
            </w:pPr>
            <w:r w:rsidRPr="00AB7C52">
              <w:t>2012</w:t>
            </w:r>
          </w:p>
        </w:tc>
      </w:tr>
      <w:tr w:rsidR="00217DDB" w:rsidRPr="00923150" w14:paraId="7166334F" w14:textId="77777777" w:rsidTr="001A1192">
        <w:trPr>
          <w:trHeight w:val="456"/>
        </w:trPr>
        <w:tc>
          <w:tcPr>
            <w:tcW w:w="9639" w:type="dxa"/>
            <w:gridSpan w:val="3"/>
            <w:tcBorders>
              <w:top w:val="single" w:sz="4" w:space="0" w:color="000000"/>
              <w:bottom w:val="single" w:sz="4" w:space="0" w:color="000000"/>
            </w:tcBorders>
            <w:shd w:val="clear" w:color="auto" w:fill="CCFFFF"/>
            <w:vAlign w:val="center"/>
          </w:tcPr>
          <w:p w14:paraId="67B6F873" w14:textId="017394AC" w:rsidR="00217DDB" w:rsidRDefault="00217DDB" w:rsidP="004103AA">
            <w:pPr>
              <w:spacing w:before="60" w:after="60"/>
              <w:jc w:val="center"/>
            </w:pPr>
            <w:r>
              <w:t>A</w:t>
            </w:r>
            <w:r w:rsidR="004103AA">
              <w:t>USTRALIAN ECONOMY</w:t>
            </w:r>
          </w:p>
        </w:tc>
      </w:tr>
      <w:tr w:rsidR="00F4734E" w:rsidRPr="00923150" w14:paraId="28A6599D" w14:textId="77777777" w:rsidTr="001A1192">
        <w:trPr>
          <w:trHeight w:val="456"/>
        </w:trPr>
        <w:tc>
          <w:tcPr>
            <w:tcW w:w="3828" w:type="dxa"/>
            <w:tcBorders>
              <w:top w:val="single" w:sz="4" w:space="0" w:color="000000"/>
            </w:tcBorders>
            <w:shd w:val="clear" w:color="auto" w:fill="auto"/>
            <w:vAlign w:val="center"/>
          </w:tcPr>
          <w:p w14:paraId="44733801" w14:textId="1080F21E" w:rsidR="00F4734E" w:rsidRPr="0018107A" w:rsidRDefault="00217DDB" w:rsidP="00217DDB">
            <w:pPr>
              <w:spacing w:before="60" w:after="60"/>
              <w:jc w:val="left"/>
            </w:pPr>
            <w:r>
              <w:t>Gross Domestic Product (GDP)</w:t>
            </w:r>
            <w:r w:rsidR="00F4734E">
              <w:t xml:space="preserve"> </w:t>
            </w:r>
            <w:r w:rsidR="00F4734E" w:rsidRPr="00690A68">
              <w:rPr>
                <w:sz w:val="20"/>
                <w:szCs w:val="20"/>
                <w:vertAlign w:val="superscript"/>
              </w:rPr>
              <w:t>(1)</w:t>
            </w:r>
          </w:p>
        </w:tc>
        <w:tc>
          <w:tcPr>
            <w:tcW w:w="2835" w:type="dxa"/>
            <w:tcBorders>
              <w:top w:val="single" w:sz="4" w:space="0" w:color="000000"/>
            </w:tcBorders>
            <w:shd w:val="clear" w:color="auto" w:fill="auto"/>
            <w:vAlign w:val="center"/>
          </w:tcPr>
          <w:p w14:paraId="13385416" w14:textId="7949B120" w:rsidR="00F4734E" w:rsidRPr="0018107A" w:rsidRDefault="00F4734E" w:rsidP="00D67D1B">
            <w:pPr>
              <w:spacing w:before="60" w:after="60"/>
              <w:jc w:val="center"/>
            </w:pPr>
            <w:r>
              <w:t>$316.2 Bn</w:t>
            </w:r>
          </w:p>
        </w:tc>
        <w:tc>
          <w:tcPr>
            <w:tcW w:w="2976" w:type="dxa"/>
            <w:tcBorders>
              <w:top w:val="single" w:sz="4" w:space="0" w:color="000000"/>
            </w:tcBorders>
            <w:shd w:val="clear" w:color="auto" w:fill="auto"/>
            <w:vAlign w:val="center"/>
          </w:tcPr>
          <w:p w14:paraId="72FE7BAC" w14:textId="1B1D0187" w:rsidR="00F4734E" w:rsidRPr="0018107A" w:rsidRDefault="00F4734E" w:rsidP="00D67D1B">
            <w:pPr>
              <w:spacing w:before="60" w:after="60"/>
              <w:jc w:val="center"/>
            </w:pPr>
            <w:r>
              <w:t>$371.9 Bn</w:t>
            </w:r>
          </w:p>
        </w:tc>
      </w:tr>
      <w:tr w:rsidR="00F83136" w:rsidRPr="00923150" w14:paraId="3F1B3FDC" w14:textId="77777777" w:rsidTr="001A1192">
        <w:trPr>
          <w:trHeight w:val="456"/>
        </w:trPr>
        <w:tc>
          <w:tcPr>
            <w:tcW w:w="3828" w:type="dxa"/>
            <w:tcBorders>
              <w:top w:val="single" w:sz="4" w:space="0" w:color="000000"/>
            </w:tcBorders>
            <w:shd w:val="clear" w:color="auto" w:fill="auto"/>
            <w:vAlign w:val="center"/>
          </w:tcPr>
          <w:p w14:paraId="6E479979" w14:textId="3FB4F495" w:rsidR="00F83136" w:rsidRDefault="00F83136" w:rsidP="00BD7F44">
            <w:pPr>
              <w:spacing w:before="60" w:after="60"/>
              <w:jc w:val="left"/>
            </w:pPr>
            <w:r>
              <w:t>Electricity consumption</w:t>
            </w:r>
            <w:r w:rsidR="00BD7F44">
              <w:t xml:space="preserve"> </w:t>
            </w:r>
            <w:r w:rsidR="00BD7F44" w:rsidRPr="00690A68">
              <w:rPr>
                <w:sz w:val="20"/>
                <w:szCs w:val="20"/>
                <w:vertAlign w:val="superscript"/>
              </w:rPr>
              <w:t>(</w:t>
            </w:r>
            <w:r w:rsidR="00BD7F44">
              <w:rPr>
                <w:sz w:val="20"/>
                <w:szCs w:val="20"/>
                <w:vertAlign w:val="superscript"/>
              </w:rPr>
              <w:t>2</w:t>
            </w:r>
            <w:r w:rsidR="00BD7F44" w:rsidRPr="00690A68">
              <w:rPr>
                <w:sz w:val="20"/>
                <w:szCs w:val="20"/>
                <w:vertAlign w:val="superscript"/>
              </w:rPr>
              <w:t>)</w:t>
            </w:r>
          </w:p>
        </w:tc>
        <w:tc>
          <w:tcPr>
            <w:tcW w:w="2835" w:type="dxa"/>
            <w:tcBorders>
              <w:top w:val="single" w:sz="4" w:space="0" w:color="000000"/>
            </w:tcBorders>
            <w:shd w:val="clear" w:color="auto" w:fill="auto"/>
            <w:vAlign w:val="center"/>
          </w:tcPr>
          <w:p w14:paraId="4BD79C7C" w14:textId="7A5F86C7" w:rsidR="00F83136" w:rsidRDefault="004528C3" w:rsidP="004528C3">
            <w:pPr>
              <w:spacing w:before="60" w:after="60"/>
              <w:jc w:val="center"/>
            </w:pPr>
            <w:r w:rsidRPr="004528C3">
              <w:t xml:space="preserve">194,781 </w:t>
            </w:r>
            <w:r w:rsidR="00BD7F44">
              <w:t>GWh</w:t>
            </w:r>
          </w:p>
        </w:tc>
        <w:tc>
          <w:tcPr>
            <w:tcW w:w="2976" w:type="dxa"/>
            <w:tcBorders>
              <w:top w:val="single" w:sz="4" w:space="0" w:color="000000"/>
            </w:tcBorders>
            <w:shd w:val="clear" w:color="auto" w:fill="auto"/>
            <w:vAlign w:val="center"/>
          </w:tcPr>
          <w:p w14:paraId="299B1FAF" w14:textId="60F7B896" w:rsidR="00F83136" w:rsidRDefault="00F83136" w:rsidP="00D67D1B">
            <w:pPr>
              <w:spacing w:before="60" w:after="60"/>
              <w:jc w:val="center"/>
            </w:pPr>
            <w:r>
              <w:t>265,000 GWh</w:t>
            </w:r>
          </w:p>
        </w:tc>
      </w:tr>
      <w:tr w:rsidR="00F83136" w:rsidRPr="00923150" w14:paraId="18290007" w14:textId="77777777" w:rsidTr="001A1192">
        <w:trPr>
          <w:trHeight w:val="456"/>
        </w:trPr>
        <w:tc>
          <w:tcPr>
            <w:tcW w:w="3828" w:type="dxa"/>
            <w:tcBorders>
              <w:top w:val="single" w:sz="4" w:space="0" w:color="000000"/>
              <w:bottom w:val="single" w:sz="4" w:space="0" w:color="000000"/>
            </w:tcBorders>
            <w:shd w:val="clear" w:color="auto" w:fill="auto"/>
            <w:vAlign w:val="center"/>
          </w:tcPr>
          <w:p w14:paraId="75E1B045" w14:textId="52C43C7C" w:rsidR="00F83136" w:rsidRPr="0018107A" w:rsidRDefault="00DC7347" w:rsidP="00760FDC">
            <w:pPr>
              <w:spacing w:before="60" w:after="60"/>
              <w:jc w:val="left"/>
            </w:pPr>
            <w:r w:rsidRPr="00DC7347">
              <w:t>National Greenhouse Gas Inventory</w:t>
            </w:r>
            <w:r>
              <w:t xml:space="preserve"> (NGGI)</w:t>
            </w:r>
          </w:p>
        </w:tc>
        <w:tc>
          <w:tcPr>
            <w:tcW w:w="2835" w:type="dxa"/>
            <w:tcBorders>
              <w:top w:val="single" w:sz="4" w:space="0" w:color="000000"/>
              <w:bottom w:val="single" w:sz="4" w:space="0" w:color="000000"/>
            </w:tcBorders>
            <w:shd w:val="clear" w:color="auto" w:fill="auto"/>
            <w:vAlign w:val="center"/>
          </w:tcPr>
          <w:p w14:paraId="7685706F" w14:textId="6E8E6439" w:rsidR="00DC7347" w:rsidRDefault="00DC7347" w:rsidP="00DC7347">
            <w:pPr>
              <w:spacing w:before="60" w:after="60"/>
              <w:jc w:val="center"/>
            </w:pPr>
            <w:r>
              <w:t>532.5 Mt CO</w:t>
            </w:r>
            <w:r w:rsidRPr="00F83136">
              <w:rPr>
                <w:vertAlign w:val="subscript"/>
              </w:rPr>
              <w:t>2</w:t>
            </w:r>
            <w:r>
              <w:t>-e</w:t>
            </w:r>
          </w:p>
          <w:p w14:paraId="6E342EC3" w14:textId="72F906A8" w:rsidR="00F83136" w:rsidRPr="0018107A" w:rsidRDefault="00DC7347" w:rsidP="00DC7347">
            <w:pPr>
              <w:spacing w:before="60" w:after="60"/>
              <w:jc w:val="center"/>
            </w:pPr>
            <w:r w:rsidRPr="00DC7347">
              <w:rPr>
                <w:sz w:val="16"/>
                <w:szCs w:val="16"/>
              </w:rPr>
              <w:t>(FY 20</w:t>
            </w:r>
            <w:r>
              <w:rPr>
                <w:sz w:val="16"/>
                <w:szCs w:val="16"/>
              </w:rPr>
              <w:t>05</w:t>
            </w:r>
            <w:r w:rsidRPr="00DC7347">
              <w:rPr>
                <w:sz w:val="16"/>
                <w:szCs w:val="16"/>
              </w:rPr>
              <w:t>-</w:t>
            </w:r>
            <w:r>
              <w:rPr>
                <w:sz w:val="16"/>
                <w:szCs w:val="16"/>
              </w:rPr>
              <w:t>6</w:t>
            </w:r>
            <w:r w:rsidRPr="00DC7347">
              <w:rPr>
                <w:sz w:val="16"/>
                <w:szCs w:val="16"/>
              </w:rPr>
              <w:t>)</w:t>
            </w:r>
          </w:p>
        </w:tc>
        <w:tc>
          <w:tcPr>
            <w:tcW w:w="2976" w:type="dxa"/>
            <w:tcBorders>
              <w:top w:val="single" w:sz="4" w:space="0" w:color="000000"/>
              <w:bottom w:val="single" w:sz="4" w:space="0" w:color="000000"/>
            </w:tcBorders>
            <w:shd w:val="clear" w:color="auto" w:fill="auto"/>
            <w:vAlign w:val="center"/>
          </w:tcPr>
          <w:p w14:paraId="3E9F1DCD" w14:textId="5E4B3C16" w:rsidR="00F83136" w:rsidRDefault="00DC7347" w:rsidP="00DC7347">
            <w:pPr>
              <w:spacing w:before="60" w:after="60"/>
              <w:jc w:val="center"/>
            </w:pPr>
            <w:r>
              <w:t>5</w:t>
            </w:r>
            <w:r w:rsidR="001C331C">
              <w:t>50.80</w:t>
            </w:r>
            <w:r w:rsidR="00F83136">
              <w:t xml:space="preserve"> Mt CO</w:t>
            </w:r>
            <w:r w:rsidR="00F83136" w:rsidRPr="00F83136">
              <w:rPr>
                <w:vertAlign w:val="subscript"/>
              </w:rPr>
              <w:t>2</w:t>
            </w:r>
            <w:r w:rsidR="00F83136">
              <w:t>-e</w:t>
            </w:r>
          </w:p>
          <w:p w14:paraId="62F2D02B" w14:textId="04EF0DD7" w:rsidR="00DC7347" w:rsidRPr="00DC7347" w:rsidRDefault="00DC7347" w:rsidP="00DC7347">
            <w:pPr>
              <w:spacing w:before="60" w:after="60"/>
              <w:jc w:val="center"/>
              <w:rPr>
                <w:sz w:val="16"/>
                <w:szCs w:val="16"/>
              </w:rPr>
            </w:pPr>
            <w:r w:rsidRPr="00DC7347">
              <w:rPr>
                <w:sz w:val="16"/>
                <w:szCs w:val="16"/>
              </w:rPr>
              <w:t>(FY 2011-12)</w:t>
            </w:r>
          </w:p>
        </w:tc>
      </w:tr>
      <w:tr w:rsidR="00F83136" w:rsidRPr="00923150" w14:paraId="3AB7A828" w14:textId="77777777" w:rsidTr="001A1192">
        <w:trPr>
          <w:trHeight w:val="456"/>
        </w:trPr>
        <w:tc>
          <w:tcPr>
            <w:tcW w:w="9639" w:type="dxa"/>
            <w:gridSpan w:val="3"/>
            <w:tcBorders>
              <w:top w:val="single" w:sz="4" w:space="0" w:color="000000"/>
            </w:tcBorders>
            <w:shd w:val="clear" w:color="auto" w:fill="CCFFFF"/>
            <w:vAlign w:val="center"/>
          </w:tcPr>
          <w:p w14:paraId="5F041572" w14:textId="72028747" w:rsidR="00F83136" w:rsidRPr="0018107A" w:rsidRDefault="00F83136" w:rsidP="00D67D1B">
            <w:pPr>
              <w:spacing w:before="60" w:after="60"/>
              <w:jc w:val="center"/>
            </w:pPr>
            <w:r>
              <w:t>HVAC&amp;R INDUSTRY</w:t>
            </w:r>
          </w:p>
        </w:tc>
      </w:tr>
      <w:tr w:rsidR="00F83136" w:rsidRPr="00923150" w14:paraId="34B9D065" w14:textId="77777777" w:rsidTr="001A1192">
        <w:trPr>
          <w:trHeight w:val="456"/>
        </w:trPr>
        <w:tc>
          <w:tcPr>
            <w:tcW w:w="3828" w:type="dxa"/>
            <w:tcBorders>
              <w:top w:val="single" w:sz="4" w:space="0" w:color="000000"/>
            </w:tcBorders>
            <w:vAlign w:val="center"/>
          </w:tcPr>
          <w:p w14:paraId="0FB6FC03" w14:textId="378377E8" w:rsidR="00F83136" w:rsidRPr="00481C6A" w:rsidRDefault="00F83136" w:rsidP="00074002">
            <w:pPr>
              <w:spacing w:before="60" w:after="60"/>
              <w:jc w:val="left"/>
            </w:pPr>
            <w:r w:rsidRPr="0018107A">
              <w:t xml:space="preserve">Direct </w:t>
            </w:r>
            <w:r>
              <w:t>s</w:t>
            </w:r>
            <w:r w:rsidRPr="0018107A">
              <w:t>pending</w:t>
            </w:r>
            <w:r>
              <w:t xml:space="preserve"> </w:t>
            </w:r>
            <w:r w:rsidRPr="00690A68">
              <w:rPr>
                <w:sz w:val="20"/>
                <w:szCs w:val="20"/>
                <w:vertAlign w:val="superscript"/>
              </w:rPr>
              <w:t>(</w:t>
            </w:r>
            <w:r w:rsidR="00074002">
              <w:rPr>
                <w:sz w:val="20"/>
                <w:szCs w:val="20"/>
                <w:vertAlign w:val="superscript"/>
              </w:rPr>
              <w:t>4</w:t>
            </w:r>
            <w:r w:rsidRPr="00690A68">
              <w:rPr>
                <w:sz w:val="20"/>
                <w:szCs w:val="20"/>
                <w:vertAlign w:val="superscript"/>
              </w:rPr>
              <w:t>)</w:t>
            </w:r>
          </w:p>
        </w:tc>
        <w:tc>
          <w:tcPr>
            <w:tcW w:w="2835" w:type="dxa"/>
            <w:tcBorders>
              <w:top w:val="single" w:sz="4" w:space="0" w:color="000000"/>
            </w:tcBorders>
            <w:vAlign w:val="center"/>
          </w:tcPr>
          <w:p w14:paraId="79EEB88E" w14:textId="67B3BDFE" w:rsidR="00F83136" w:rsidRPr="007A225B" w:rsidRDefault="00F83136" w:rsidP="00D67D1B">
            <w:pPr>
              <w:spacing w:before="60" w:after="60"/>
              <w:jc w:val="center"/>
            </w:pPr>
            <w:r w:rsidRPr="0018107A">
              <w:t>$15.96 Bn</w:t>
            </w:r>
          </w:p>
        </w:tc>
        <w:tc>
          <w:tcPr>
            <w:tcW w:w="2976" w:type="dxa"/>
            <w:tcBorders>
              <w:top w:val="single" w:sz="4" w:space="0" w:color="000000"/>
            </w:tcBorders>
            <w:vAlign w:val="center"/>
          </w:tcPr>
          <w:p w14:paraId="562B2C00" w14:textId="2F9AF2B0" w:rsidR="00F83136" w:rsidRPr="00D22FDF" w:rsidRDefault="00F83136" w:rsidP="00D67D1B">
            <w:pPr>
              <w:spacing w:before="60" w:after="60"/>
              <w:jc w:val="center"/>
            </w:pPr>
            <w:r w:rsidRPr="0018107A">
              <w:t xml:space="preserve">$26.235 Bn </w:t>
            </w:r>
          </w:p>
        </w:tc>
      </w:tr>
      <w:tr w:rsidR="00F83136" w:rsidRPr="00923150" w14:paraId="3A6DB9C0" w14:textId="77777777" w:rsidTr="001A1192">
        <w:trPr>
          <w:trHeight w:val="456"/>
        </w:trPr>
        <w:tc>
          <w:tcPr>
            <w:tcW w:w="3828" w:type="dxa"/>
            <w:tcBorders>
              <w:top w:val="single" w:sz="4" w:space="0" w:color="000000"/>
            </w:tcBorders>
            <w:vAlign w:val="center"/>
          </w:tcPr>
          <w:p w14:paraId="577C8F60" w14:textId="79A07A8B" w:rsidR="00F83136" w:rsidRPr="00723E9F" w:rsidRDefault="00F83136" w:rsidP="00074002">
            <w:pPr>
              <w:spacing w:before="60" w:after="60"/>
              <w:jc w:val="left"/>
            </w:pPr>
            <w:r w:rsidRPr="0018107A">
              <w:t xml:space="preserve">Total </w:t>
            </w:r>
            <w:r>
              <w:t>e</w:t>
            </w:r>
            <w:r w:rsidRPr="0018107A">
              <w:t>mployment</w:t>
            </w:r>
            <w:r>
              <w:t xml:space="preserve"> </w:t>
            </w:r>
            <w:r w:rsidRPr="00690A68">
              <w:rPr>
                <w:sz w:val="20"/>
                <w:szCs w:val="20"/>
                <w:vertAlign w:val="superscript"/>
              </w:rPr>
              <w:t>(</w:t>
            </w:r>
            <w:r w:rsidR="00074002">
              <w:rPr>
                <w:sz w:val="20"/>
                <w:szCs w:val="20"/>
                <w:vertAlign w:val="superscript"/>
              </w:rPr>
              <w:t>5</w:t>
            </w:r>
            <w:r w:rsidRPr="00690A68">
              <w:rPr>
                <w:sz w:val="20"/>
                <w:szCs w:val="20"/>
                <w:vertAlign w:val="superscript"/>
              </w:rPr>
              <w:t>)</w:t>
            </w:r>
          </w:p>
        </w:tc>
        <w:tc>
          <w:tcPr>
            <w:tcW w:w="2835" w:type="dxa"/>
            <w:tcBorders>
              <w:top w:val="single" w:sz="4" w:space="0" w:color="000000"/>
            </w:tcBorders>
            <w:vAlign w:val="center"/>
          </w:tcPr>
          <w:p w14:paraId="60954A29" w14:textId="569E2173" w:rsidR="00F83136" w:rsidRPr="00A25241" w:rsidRDefault="00F83136" w:rsidP="00D67D1B">
            <w:pPr>
              <w:spacing w:before="60" w:after="60"/>
              <w:jc w:val="center"/>
            </w:pPr>
            <w:r w:rsidRPr="0018107A">
              <w:t>163,000</w:t>
            </w:r>
          </w:p>
        </w:tc>
        <w:tc>
          <w:tcPr>
            <w:tcW w:w="2976" w:type="dxa"/>
            <w:tcBorders>
              <w:top w:val="single" w:sz="4" w:space="0" w:color="000000"/>
            </w:tcBorders>
            <w:vAlign w:val="center"/>
          </w:tcPr>
          <w:p w14:paraId="5A4B0380" w14:textId="4CDFFB9F" w:rsidR="00F83136" w:rsidRPr="00A25241" w:rsidRDefault="00F83136" w:rsidP="00D67D1B">
            <w:pPr>
              <w:spacing w:before="60" w:after="60"/>
              <w:jc w:val="center"/>
            </w:pPr>
            <w:r w:rsidRPr="0018107A">
              <w:t>173,940</w:t>
            </w:r>
          </w:p>
        </w:tc>
      </w:tr>
      <w:tr w:rsidR="00F83136" w:rsidRPr="00923150" w14:paraId="63D80D25" w14:textId="77777777" w:rsidTr="001A1192">
        <w:trPr>
          <w:trHeight w:val="456"/>
        </w:trPr>
        <w:tc>
          <w:tcPr>
            <w:tcW w:w="3828" w:type="dxa"/>
            <w:tcBorders>
              <w:top w:val="single" w:sz="4" w:space="0" w:color="000000"/>
            </w:tcBorders>
            <w:vAlign w:val="center"/>
          </w:tcPr>
          <w:p w14:paraId="1E7BDD5C" w14:textId="7BB64A4A" w:rsidR="00F83136" w:rsidRPr="00723E9F" w:rsidRDefault="00F83136" w:rsidP="00074002">
            <w:pPr>
              <w:spacing w:before="60" w:after="60"/>
              <w:jc w:val="left"/>
            </w:pPr>
            <w:r w:rsidRPr="0018107A">
              <w:t xml:space="preserve">Electricity </w:t>
            </w:r>
            <w:r>
              <w:t>c</w:t>
            </w:r>
            <w:r w:rsidRPr="0018107A">
              <w:t>onsumed</w:t>
            </w:r>
            <w:r>
              <w:t xml:space="preserve"> </w:t>
            </w:r>
            <w:r>
              <w:rPr>
                <w:sz w:val="20"/>
                <w:szCs w:val="20"/>
                <w:vertAlign w:val="superscript"/>
              </w:rPr>
              <w:t>(</w:t>
            </w:r>
            <w:r w:rsidR="00074002">
              <w:rPr>
                <w:sz w:val="20"/>
                <w:szCs w:val="20"/>
                <w:vertAlign w:val="superscript"/>
              </w:rPr>
              <w:t>6</w:t>
            </w:r>
            <w:r w:rsidRPr="00690A68">
              <w:rPr>
                <w:sz w:val="20"/>
                <w:szCs w:val="20"/>
                <w:vertAlign w:val="superscript"/>
              </w:rPr>
              <w:t>)</w:t>
            </w:r>
          </w:p>
        </w:tc>
        <w:tc>
          <w:tcPr>
            <w:tcW w:w="2835" w:type="dxa"/>
            <w:tcBorders>
              <w:top w:val="single" w:sz="4" w:space="0" w:color="000000"/>
            </w:tcBorders>
            <w:vAlign w:val="center"/>
          </w:tcPr>
          <w:p w14:paraId="10E7C766" w14:textId="55BCB65E" w:rsidR="00F83136" w:rsidRPr="00A25241" w:rsidRDefault="00F83136" w:rsidP="00D67D1B">
            <w:pPr>
              <w:spacing w:before="60" w:after="60"/>
              <w:jc w:val="center"/>
            </w:pPr>
            <w:r w:rsidRPr="0018107A">
              <w:t>45,000 GWh</w:t>
            </w:r>
          </w:p>
        </w:tc>
        <w:tc>
          <w:tcPr>
            <w:tcW w:w="2976" w:type="dxa"/>
            <w:tcBorders>
              <w:top w:val="single" w:sz="4" w:space="0" w:color="000000"/>
            </w:tcBorders>
            <w:vAlign w:val="center"/>
          </w:tcPr>
          <w:p w14:paraId="26D957A4" w14:textId="64684D44" w:rsidR="00F83136" w:rsidRPr="00A25241" w:rsidRDefault="00F83136" w:rsidP="00D67D1B">
            <w:pPr>
              <w:spacing w:before="60" w:after="60"/>
              <w:jc w:val="center"/>
            </w:pPr>
            <w:r w:rsidRPr="0018107A">
              <w:t>59,100 GWh</w:t>
            </w:r>
          </w:p>
        </w:tc>
      </w:tr>
      <w:tr w:rsidR="00F83136" w:rsidRPr="00923150" w14:paraId="098D11D0" w14:textId="77777777" w:rsidTr="001A1192">
        <w:trPr>
          <w:trHeight w:val="456"/>
        </w:trPr>
        <w:tc>
          <w:tcPr>
            <w:tcW w:w="3828" w:type="dxa"/>
            <w:tcBorders>
              <w:top w:val="single" w:sz="4" w:space="0" w:color="000000"/>
            </w:tcBorders>
            <w:vAlign w:val="center"/>
          </w:tcPr>
          <w:p w14:paraId="727D3CD9" w14:textId="7305326C" w:rsidR="00F83136" w:rsidRPr="00723E9F" w:rsidRDefault="00F83136" w:rsidP="00074002">
            <w:pPr>
              <w:spacing w:before="60" w:after="60"/>
              <w:jc w:val="left"/>
            </w:pPr>
            <w:r w:rsidRPr="0018107A">
              <w:t xml:space="preserve">Proportion of </w:t>
            </w:r>
            <w:r>
              <w:t>t</w:t>
            </w:r>
            <w:r w:rsidRPr="0018107A">
              <w:t xml:space="preserve">otal </w:t>
            </w:r>
            <w:r>
              <w:t>e</w:t>
            </w:r>
            <w:r w:rsidRPr="0018107A">
              <w:t xml:space="preserve">lectricity </w:t>
            </w:r>
            <w:r w:rsidR="002149BE">
              <w:t xml:space="preserve">     </w:t>
            </w:r>
            <w:r>
              <w:t>g</w:t>
            </w:r>
            <w:r w:rsidRPr="0018107A">
              <w:t>eneration</w:t>
            </w:r>
            <w:r>
              <w:t xml:space="preserve"> </w:t>
            </w:r>
            <w:r>
              <w:rPr>
                <w:sz w:val="20"/>
                <w:szCs w:val="20"/>
                <w:vertAlign w:val="superscript"/>
              </w:rPr>
              <w:t>(</w:t>
            </w:r>
            <w:r w:rsidR="00074002">
              <w:rPr>
                <w:sz w:val="20"/>
                <w:szCs w:val="20"/>
                <w:vertAlign w:val="superscript"/>
              </w:rPr>
              <w:t>2</w:t>
            </w:r>
            <w:r w:rsidRPr="00690A68">
              <w:rPr>
                <w:sz w:val="20"/>
                <w:szCs w:val="20"/>
                <w:vertAlign w:val="superscript"/>
              </w:rPr>
              <w:t>)</w:t>
            </w:r>
          </w:p>
        </w:tc>
        <w:tc>
          <w:tcPr>
            <w:tcW w:w="2835" w:type="dxa"/>
            <w:tcBorders>
              <w:top w:val="single" w:sz="4" w:space="0" w:color="000000"/>
            </w:tcBorders>
            <w:vAlign w:val="center"/>
          </w:tcPr>
          <w:p w14:paraId="49944D10" w14:textId="7490BEC8" w:rsidR="00F83136" w:rsidRPr="00A25241" w:rsidRDefault="00F83136" w:rsidP="00D67D1B">
            <w:pPr>
              <w:spacing w:before="60" w:after="60"/>
              <w:jc w:val="center"/>
            </w:pPr>
            <w:r w:rsidRPr="0018107A">
              <w:t>21.9%</w:t>
            </w:r>
          </w:p>
        </w:tc>
        <w:tc>
          <w:tcPr>
            <w:tcW w:w="2976" w:type="dxa"/>
            <w:tcBorders>
              <w:top w:val="single" w:sz="4" w:space="0" w:color="000000"/>
            </w:tcBorders>
            <w:vAlign w:val="center"/>
          </w:tcPr>
          <w:p w14:paraId="595D3EF2" w14:textId="7B8E31CF" w:rsidR="00F83136" w:rsidRPr="00A25241" w:rsidRDefault="00F83136" w:rsidP="00D67D1B">
            <w:pPr>
              <w:spacing w:before="60" w:after="60"/>
              <w:jc w:val="center"/>
            </w:pPr>
            <w:r w:rsidRPr="0018107A">
              <w:t>22.3%</w:t>
            </w:r>
          </w:p>
        </w:tc>
      </w:tr>
      <w:tr w:rsidR="00F83136" w:rsidRPr="00923150" w14:paraId="26B619A6" w14:textId="77777777" w:rsidTr="001A1192">
        <w:trPr>
          <w:trHeight w:val="456"/>
        </w:trPr>
        <w:tc>
          <w:tcPr>
            <w:tcW w:w="3828" w:type="dxa"/>
            <w:tcBorders>
              <w:top w:val="single" w:sz="4" w:space="0" w:color="000000"/>
            </w:tcBorders>
            <w:vAlign w:val="center"/>
          </w:tcPr>
          <w:p w14:paraId="03F11FE6" w14:textId="73404F71" w:rsidR="00F83136" w:rsidRPr="00723E9F" w:rsidRDefault="00F83136" w:rsidP="00E51DB1">
            <w:pPr>
              <w:spacing w:before="60" w:after="60"/>
              <w:jc w:val="left"/>
            </w:pPr>
            <w:r w:rsidRPr="0018107A">
              <w:t xml:space="preserve">Indirect </w:t>
            </w:r>
            <w:r>
              <w:t>e</w:t>
            </w:r>
            <w:r w:rsidRPr="0018107A">
              <w:t>missions</w:t>
            </w:r>
            <w:r>
              <w:t xml:space="preserve"> </w:t>
            </w:r>
            <w:r>
              <w:rPr>
                <w:sz w:val="20"/>
                <w:szCs w:val="20"/>
                <w:vertAlign w:val="superscript"/>
              </w:rPr>
              <w:t>(</w:t>
            </w:r>
            <w:r w:rsidR="00845EBD">
              <w:rPr>
                <w:sz w:val="20"/>
                <w:szCs w:val="20"/>
                <w:vertAlign w:val="superscript"/>
              </w:rPr>
              <w:t>7</w:t>
            </w:r>
            <w:r w:rsidRPr="00690A68">
              <w:rPr>
                <w:sz w:val="20"/>
                <w:szCs w:val="20"/>
                <w:vertAlign w:val="superscript"/>
              </w:rPr>
              <w:t>)</w:t>
            </w:r>
          </w:p>
        </w:tc>
        <w:tc>
          <w:tcPr>
            <w:tcW w:w="2835" w:type="dxa"/>
            <w:tcBorders>
              <w:top w:val="single" w:sz="4" w:space="0" w:color="000000"/>
            </w:tcBorders>
            <w:vAlign w:val="center"/>
          </w:tcPr>
          <w:p w14:paraId="54616B08" w14:textId="5F08D384" w:rsidR="00F83136" w:rsidRPr="00A25241" w:rsidRDefault="00E51DB1" w:rsidP="00D67D1B">
            <w:pPr>
              <w:spacing w:before="60" w:after="60"/>
              <w:jc w:val="center"/>
            </w:pPr>
            <w:r w:rsidRPr="00E51DB1">
              <w:t>40 Mt CO</w:t>
            </w:r>
            <w:r w:rsidRPr="00E51DB1">
              <w:rPr>
                <w:vertAlign w:val="subscript"/>
              </w:rPr>
              <w:t>2</w:t>
            </w:r>
            <w:r w:rsidRPr="00E51DB1">
              <w:t>-e</w:t>
            </w:r>
          </w:p>
        </w:tc>
        <w:tc>
          <w:tcPr>
            <w:tcW w:w="2976" w:type="dxa"/>
            <w:tcBorders>
              <w:top w:val="single" w:sz="4" w:space="0" w:color="000000"/>
            </w:tcBorders>
            <w:vAlign w:val="center"/>
          </w:tcPr>
          <w:p w14:paraId="3853FFC0" w14:textId="75744C52" w:rsidR="00F83136" w:rsidRPr="00A25241" w:rsidRDefault="00F83136" w:rsidP="00D67D1B">
            <w:pPr>
              <w:spacing w:before="60" w:after="60"/>
              <w:jc w:val="center"/>
            </w:pPr>
            <w:r w:rsidRPr="00E51DB1">
              <w:t>57.1 Mt CO</w:t>
            </w:r>
            <w:r w:rsidRPr="00E51DB1">
              <w:rPr>
                <w:vertAlign w:val="subscript"/>
              </w:rPr>
              <w:t>2</w:t>
            </w:r>
            <w:r w:rsidR="00B9700F" w:rsidRPr="00E51DB1">
              <w:t>-e</w:t>
            </w:r>
          </w:p>
        </w:tc>
      </w:tr>
      <w:tr w:rsidR="00F83136" w:rsidRPr="00923150" w14:paraId="1E6BCF8B" w14:textId="77777777" w:rsidTr="001A1192">
        <w:trPr>
          <w:trHeight w:val="456"/>
        </w:trPr>
        <w:tc>
          <w:tcPr>
            <w:tcW w:w="3828" w:type="dxa"/>
            <w:tcBorders>
              <w:top w:val="single" w:sz="4" w:space="0" w:color="000000"/>
            </w:tcBorders>
            <w:vAlign w:val="center"/>
          </w:tcPr>
          <w:p w14:paraId="3302B478" w14:textId="056BCF76" w:rsidR="00F83136" w:rsidRPr="00723E9F" w:rsidRDefault="00F83136" w:rsidP="001C331C">
            <w:pPr>
              <w:spacing w:before="60" w:after="60"/>
              <w:jc w:val="left"/>
            </w:pPr>
            <w:r w:rsidRPr="0018107A">
              <w:t xml:space="preserve">Indirect </w:t>
            </w:r>
            <w:r>
              <w:t>e</w:t>
            </w:r>
            <w:r w:rsidRPr="0018107A">
              <w:t xml:space="preserve">missions as </w:t>
            </w:r>
            <w:r>
              <w:t>p</w:t>
            </w:r>
            <w:r w:rsidRPr="0018107A">
              <w:t>roportion of NGGI</w:t>
            </w:r>
          </w:p>
        </w:tc>
        <w:tc>
          <w:tcPr>
            <w:tcW w:w="2835" w:type="dxa"/>
            <w:tcBorders>
              <w:top w:val="single" w:sz="4" w:space="0" w:color="000000"/>
            </w:tcBorders>
            <w:vAlign w:val="center"/>
          </w:tcPr>
          <w:p w14:paraId="09D23E28" w14:textId="7F2FE879" w:rsidR="00F83136" w:rsidRPr="00A25241" w:rsidRDefault="00F83136" w:rsidP="00D67D1B">
            <w:pPr>
              <w:spacing w:before="60" w:after="60"/>
              <w:jc w:val="center"/>
            </w:pPr>
            <w:r>
              <w:t>-</w:t>
            </w:r>
          </w:p>
        </w:tc>
        <w:tc>
          <w:tcPr>
            <w:tcW w:w="2976" w:type="dxa"/>
            <w:tcBorders>
              <w:top w:val="single" w:sz="4" w:space="0" w:color="000000"/>
            </w:tcBorders>
            <w:vAlign w:val="center"/>
          </w:tcPr>
          <w:p w14:paraId="61A740D9" w14:textId="5993A826" w:rsidR="00F83136" w:rsidRPr="00A25241" w:rsidRDefault="00F83136" w:rsidP="00E51DB1">
            <w:pPr>
              <w:spacing w:before="60" w:after="60"/>
              <w:jc w:val="center"/>
            </w:pPr>
            <w:r w:rsidRPr="00E51DB1">
              <w:t>10</w:t>
            </w:r>
            <w:r w:rsidR="00E51DB1" w:rsidRPr="00E51DB1">
              <w:t>.4</w:t>
            </w:r>
            <w:r w:rsidRPr="00E51DB1">
              <w:t>%</w:t>
            </w:r>
          </w:p>
        </w:tc>
      </w:tr>
      <w:tr w:rsidR="00F83136" w:rsidRPr="00923150" w14:paraId="632A187F" w14:textId="77777777" w:rsidTr="001A1192">
        <w:trPr>
          <w:trHeight w:val="456"/>
        </w:trPr>
        <w:tc>
          <w:tcPr>
            <w:tcW w:w="3828" w:type="dxa"/>
            <w:tcBorders>
              <w:top w:val="single" w:sz="4" w:space="0" w:color="000000"/>
            </w:tcBorders>
            <w:vAlign w:val="center"/>
          </w:tcPr>
          <w:p w14:paraId="2905DB91" w14:textId="34454CBB" w:rsidR="00F83136" w:rsidRPr="00723E9F" w:rsidRDefault="00F83136" w:rsidP="00E7218A">
            <w:pPr>
              <w:spacing w:before="60" w:after="60"/>
              <w:jc w:val="left"/>
            </w:pPr>
            <w:r w:rsidRPr="0018107A">
              <w:t xml:space="preserve">Bank of </w:t>
            </w:r>
            <w:r>
              <w:t>h</w:t>
            </w:r>
            <w:r w:rsidRPr="0018107A">
              <w:t xml:space="preserve">igh GWP Gases </w:t>
            </w:r>
            <w:r w:rsidR="00845EBD">
              <w:rPr>
                <w:sz w:val="20"/>
                <w:szCs w:val="20"/>
                <w:vertAlign w:val="superscript"/>
              </w:rPr>
              <w:t>(8</w:t>
            </w:r>
            <w:r w:rsidR="00845EBD" w:rsidRPr="00690A68">
              <w:rPr>
                <w:sz w:val="20"/>
                <w:szCs w:val="20"/>
                <w:vertAlign w:val="superscript"/>
              </w:rPr>
              <w:t>)</w:t>
            </w:r>
          </w:p>
        </w:tc>
        <w:tc>
          <w:tcPr>
            <w:tcW w:w="2835" w:type="dxa"/>
            <w:tcBorders>
              <w:top w:val="single" w:sz="4" w:space="0" w:color="000000"/>
            </w:tcBorders>
            <w:vAlign w:val="center"/>
          </w:tcPr>
          <w:p w14:paraId="60C51BDF" w14:textId="763A4362" w:rsidR="00F83136" w:rsidRPr="00A25241" w:rsidRDefault="00F83136" w:rsidP="00C364C9">
            <w:pPr>
              <w:spacing w:before="60" w:after="60"/>
              <w:jc w:val="center"/>
            </w:pPr>
            <w:r w:rsidRPr="0018107A">
              <w:t>30,</w:t>
            </w:r>
            <w:r w:rsidR="00C364C9">
              <w:t>200</w:t>
            </w:r>
            <w:r w:rsidRPr="0018107A">
              <w:t xml:space="preserve"> tonnes</w:t>
            </w:r>
          </w:p>
        </w:tc>
        <w:tc>
          <w:tcPr>
            <w:tcW w:w="2976" w:type="dxa"/>
            <w:tcBorders>
              <w:top w:val="single" w:sz="4" w:space="0" w:color="000000"/>
            </w:tcBorders>
            <w:vAlign w:val="center"/>
          </w:tcPr>
          <w:p w14:paraId="04CB1DD2" w14:textId="2CB6E971" w:rsidR="00F83136" w:rsidRPr="00A25241" w:rsidRDefault="00F83136" w:rsidP="005F2CFD">
            <w:pPr>
              <w:spacing w:before="60" w:after="60"/>
              <w:jc w:val="center"/>
            </w:pPr>
            <w:r w:rsidRPr="0018107A">
              <w:t>43,</w:t>
            </w:r>
            <w:r w:rsidR="005F2CFD">
              <w:t>500</w:t>
            </w:r>
            <w:r w:rsidRPr="0018107A">
              <w:t xml:space="preserve"> tonnes</w:t>
            </w:r>
          </w:p>
        </w:tc>
      </w:tr>
      <w:tr w:rsidR="00F83136" w:rsidRPr="00923150" w14:paraId="4D1F99CD" w14:textId="77777777" w:rsidTr="001A1192">
        <w:trPr>
          <w:trHeight w:val="456"/>
        </w:trPr>
        <w:tc>
          <w:tcPr>
            <w:tcW w:w="3828" w:type="dxa"/>
            <w:tcBorders>
              <w:top w:val="single" w:sz="4" w:space="0" w:color="000000"/>
            </w:tcBorders>
            <w:vAlign w:val="center"/>
          </w:tcPr>
          <w:p w14:paraId="60FA99F9" w14:textId="0D145232" w:rsidR="00F83136" w:rsidRDefault="00F83136" w:rsidP="00F4734E">
            <w:pPr>
              <w:spacing w:before="60" w:after="60"/>
              <w:jc w:val="left"/>
              <w:rPr>
                <w:sz w:val="20"/>
              </w:rPr>
            </w:pPr>
            <w:r w:rsidRPr="0018107A">
              <w:t xml:space="preserve">Bank of </w:t>
            </w:r>
            <w:r>
              <w:t>l</w:t>
            </w:r>
            <w:r w:rsidRPr="0018107A">
              <w:t>ow GWP Gases</w:t>
            </w:r>
          </w:p>
        </w:tc>
        <w:tc>
          <w:tcPr>
            <w:tcW w:w="2835" w:type="dxa"/>
            <w:tcBorders>
              <w:top w:val="single" w:sz="4" w:space="0" w:color="000000"/>
            </w:tcBorders>
            <w:vAlign w:val="center"/>
          </w:tcPr>
          <w:p w14:paraId="08F1DD7F" w14:textId="65172A8C" w:rsidR="00F83136" w:rsidRDefault="00F83136" w:rsidP="00D67D1B">
            <w:pPr>
              <w:spacing w:before="60" w:after="60"/>
              <w:jc w:val="center"/>
              <w:rPr>
                <w:sz w:val="20"/>
              </w:rPr>
            </w:pPr>
            <w:r>
              <w:t>-</w:t>
            </w:r>
          </w:p>
        </w:tc>
        <w:tc>
          <w:tcPr>
            <w:tcW w:w="2976" w:type="dxa"/>
            <w:tcBorders>
              <w:top w:val="single" w:sz="4" w:space="0" w:color="000000"/>
            </w:tcBorders>
            <w:vAlign w:val="center"/>
          </w:tcPr>
          <w:p w14:paraId="41CB042A" w14:textId="5F02FF8F" w:rsidR="00F83136" w:rsidRPr="008343EF" w:rsidRDefault="00F83136" w:rsidP="00D67D1B">
            <w:pPr>
              <w:spacing w:before="60" w:after="60"/>
              <w:jc w:val="center"/>
              <w:rPr>
                <w:sz w:val="20"/>
              </w:rPr>
            </w:pPr>
            <w:r>
              <w:t>4,800 tonnes</w:t>
            </w:r>
          </w:p>
        </w:tc>
      </w:tr>
      <w:tr w:rsidR="00E51DB1" w:rsidRPr="00923150" w14:paraId="1418D053" w14:textId="77777777" w:rsidTr="001A1192">
        <w:trPr>
          <w:trHeight w:val="456"/>
        </w:trPr>
        <w:tc>
          <w:tcPr>
            <w:tcW w:w="3828" w:type="dxa"/>
            <w:tcBorders>
              <w:top w:val="single" w:sz="4" w:space="0" w:color="000000"/>
              <w:bottom w:val="single" w:sz="4" w:space="0" w:color="000000"/>
            </w:tcBorders>
            <w:vAlign w:val="center"/>
          </w:tcPr>
          <w:p w14:paraId="5496C980" w14:textId="4DA8D471" w:rsidR="00E51DB1" w:rsidRPr="0018107A" w:rsidRDefault="00E51DB1" w:rsidP="00757D4E">
            <w:pPr>
              <w:spacing w:before="60" w:after="60"/>
              <w:jc w:val="left"/>
            </w:pPr>
            <w:r w:rsidRPr="0018107A">
              <w:t xml:space="preserve">Direct </w:t>
            </w:r>
            <w:r>
              <w:t>e</w:t>
            </w:r>
            <w:r w:rsidRPr="0018107A">
              <w:t>missions</w:t>
            </w:r>
            <w:r>
              <w:t xml:space="preserve"> (ODS) </w:t>
            </w:r>
            <w:r>
              <w:rPr>
                <w:sz w:val="20"/>
                <w:szCs w:val="20"/>
                <w:vertAlign w:val="superscript"/>
              </w:rPr>
              <w:t>(9</w:t>
            </w:r>
            <w:r w:rsidRPr="00690A68">
              <w:rPr>
                <w:sz w:val="20"/>
                <w:szCs w:val="20"/>
                <w:vertAlign w:val="superscript"/>
              </w:rPr>
              <w:t>)</w:t>
            </w:r>
          </w:p>
        </w:tc>
        <w:tc>
          <w:tcPr>
            <w:tcW w:w="2835" w:type="dxa"/>
            <w:tcBorders>
              <w:top w:val="single" w:sz="4" w:space="0" w:color="000000"/>
              <w:bottom w:val="single" w:sz="4" w:space="0" w:color="000000"/>
            </w:tcBorders>
            <w:vAlign w:val="center"/>
          </w:tcPr>
          <w:p w14:paraId="37BD09D1" w14:textId="2E75A5B3" w:rsidR="00E51DB1" w:rsidRDefault="00E51DB1" w:rsidP="00D67D1B">
            <w:pPr>
              <w:spacing w:before="60" w:after="60"/>
              <w:jc w:val="center"/>
            </w:pPr>
            <w:r>
              <w:t>_</w:t>
            </w:r>
          </w:p>
        </w:tc>
        <w:tc>
          <w:tcPr>
            <w:tcW w:w="2976" w:type="dxa"/>
            <w:tcBorders>
              <w:top w:val="single" w:sz="4" w:space="0" w:color="000000"/>
              <w:bottom w:val="single" w:sz="4" w:space="0" w:color="000000"/>
            </w:tcBorders>
            <w:vAlign w:val="center"/>
          </w:tcPr>
          <w:p w14:paraId="6A2E7A5A" w14:textId="437D5415" w:rsidR="00E51DB1" w:rsidRPr="0018107A" w:rsidRDefault="00F22973" w:rsidP="00F22973">
            <w:pPr>
              <w:spacing w:before="60" w:after="60"/>
              <w:jc w:val="center"/>
            </w:pPr>
            <w:r>
              <w:t>1.3</w:t>
            </w:r>
            <w:r w:rsidRPr="0018107A">
              <w:t xml:space="preserve"> Mt CO</w:t>
            </w:r>
            <w:r w:rsidRPr="00B9700F">
              <w:rPr>
                <w:vertAlign w:val="subscript"/>
              </w:rPr>
              <w:t>2</w:t>
            </w:r>
            <w:r w:rsidRPr="0018107A">
              <w:t>-e</w:t>
            </w:r>
          </w:p>
        </w:tc>
      </w:tr>
      <w:tr w:rsidR="00821A4E" w:rsidRPr="00923150" w14:paraId="27B13623" w14:textId="77777777" w:rsidTr="001A1192">
        <w:trPr>
          <w:trHeight w:val="456"/>
        </w:trPr>
        <w:tc>
          <w:tcPr>
            <w:tcW w:w="3828" w:type="dxa"/>
            <w:tcBorders>
              <w:top w:val="single" w:sz="4" w:space="0" w:color="000000"/>
              <w:bottom w:val="single" w:sz="4" w:space="0" w:color="000000"/>
            </w:tcBorders>
            <w:vAlign w:val="center"/>
          </w:tcPr>
          <w:p w14:paraId="1C245790" w14:textId="48A5B9F6" w:rsidR="00821A4E" w:rsidRPr="0018107A" w:rsidRDefault="00821A4E" w:rsidP="00E51DB1">
            <w:pPr>
              <w:spacing w:before="60" w:after="60"/>
              <w:jc w:val="left"/>
            </w:pPr>
            <w:r w:rsidRPr="0018107A">
              <w:lastRenderedPageBreak/>
              <w:t xml:space="preserve">Direct </w:t>
            </w:r>
            <w:r>
              <w:t>e</w:t>
            </w:r>
            <w:r w:rsidRPr="0018107A">
              <w:t>missions</w:t>
            </w:r>
            <w:r>
              <w:t xml:space="preserve"> (SGG) </w:t>
            </w:r>
          </w:p>
        </w:tc>
        <w:tc>
          <w:tcPr>
            <w:tcW w:w="2835" w:type="dxa"/>
            <w:tcBorders>
              <w:top w:val="single" w:sz="4" w:space="0" w:color="000000"/>
              <w:bottom w:val="single" w:sz="4" w:space="0" w:color="000000"/>
            </w:tcBorders>
            <w:vAlign w:val="center"/>
          </w:tcPr>
          <w:p w14:paraId="393FEBEE" w14:textId="18DBFB92" w:rsidR="00821A4E" w:rsidRDefault="00821A4E" w:rsidP="00D67D1B">
            <w:pPr>
              <w:spacing w:before="60" w:after="60"/>
              <w:jc w:val="center"/>
            </w:pPr>
            <w:r>
              <w:t>-</w:t>
            </w:r>
            <w:r w:rsidRPr="0018107A">
              <w:t xml:space="preserve"> </w:t>
            </w:r>
          </w:p>
        </w:tc>
        <w:tc>
          <w:tcPr>
            <w:tcW w:w="2976" w:type="dxa"/>
            <w:tcBorders>
              <w:top w:val="single" w:sz="4" w:space="0" w:color="000000"/>
              <w:bottom w:val="single" w:sz="4" w:space="0" w:color="000000"/>
            </w:tcBorders>
            <w:vAlign w:val="center"/>
          </w:tcPr>
          <w:p w14:paraId="644AE146" w14:textId="4A4EC46A" w:rsidR="00821A4E" w:rsidRPr="0018107A" w:rsidRDefault="00821A4E" w:rsidP="00F22973">
            <w:pPr>
              <w:spacing w:before="60" w:after="60"/>
              <w:jc w:val="center"/>
            </w:pPr>
            <w:r w:rsidRPr="0018107A">
              <w:t xml:space="preserve"> </w:t>
            </w:r>
            <w:r>
              <w:t>4.1</w:t>
            </w:r>
            <w:r w:rsidRPr="0018107A">
              <w:t xml:space="preserve"> Mt CO</w:t>
            </w:r>
            <w:r w:rsidRPr="00B9700F">
              <w:rPr>
                <w:vertAlign w:val="subscript"/>
              </w:rPr>
              <w:t>2</w:t>
            </w:r>
            <w:r w:rsidRPr="0018107A">
              <w:t xml:space="preserve">-e </w:t>
            </w:r>
          </w:p>
        </w:tc>
      </w:tr>
      <w:tr w:rsidR="00821A4E" w:rsidRPr="00821A4E" w14:paraId="1725F3C0" w14:textId="77777777" w:rsidTr="001A1192">
        <w:trPr>
          <w:trHeight w:val="456"/>
        </w:trPr>
        <w:tc>
          <w:tcPr>
            <w:tcW w:w="3828" w:type="dxa"/>
            <w:tcBorders>
              <w:top w:val="single" w:sz="4" w:space="0" w:color="000000"/>
              <w:bottom w:val="single" w:sz="4" w:space="0" w:color="000000"/>
            </w:tcBorders>
            <w:vAlign w:val="center"/>
          </w:tcPr>
          <w:p w14:paraId="505C1973" w14:textId="01BC16C3" w:rsidR="00821A4E" w:rsidRPr="00821A4E" w:rsidRDefault="000228ED" w:rsidP="000228ED">
            <w:pPr>
              <w:spacing w:before="60" w:after="60"/>
              <w:jc w:val="left"/>
              <w:rPr>
                <w:szCs w:val="22"/>
              </w:rPr>
            </w:pPr>
            <w:r>
              <w:rPr>
                <w:szCs w:val="22"/>
              </w:rPr>
              <w:t>RAC</w:t>
            </w:r>
            <w:r w:rsidR="00821A4E" w:rsidRPr="00821A4E">
              <w:rPr>
                <w:szCs w:val="22"/>
              </w:rPr>
              <w:t xml:space="preserve"> emissions as proportion of NGGI</w:t>
            </w:r>
          </w:p>
        </w:tc>
        <w:tc>
          <w:tcPr>
            <w:tcW w:w="2835" w:type="dxa"/>
            <w:tcBorders>
              <w:top w:val="single" w:sz="4" w:space="0" w:color="000000"/>
              <w:bottom w:val="single" w:sz="4" w:space="0" w:color="000000"/>
            </w:tcBorders>
            <w:vAlign w:val="center"/>
          </w:tcPr>
          <w:p w14:paraId="784931A8" w14:textId="4FD5EF9C" w:rsidR="00821A4E" w:rsidRPr="00821A4E" w:rsidRDefault="00821A4E" w:rsidP="00D67D1B">
            <w:pPr>
              <w:spacing w:before="60" w:after="60"/>
              <w:jc w:val="center"/>
              <w:rPr>
                <w:szCs w:val="22"/>
              </w:rPr>
            </w:pPr>
            <w:r>
              <w:rPr>
                <w:szCs w:val="22"/>
              </w:rPr>
              <w:t>-</w:t>
            </w:r>
          </w:p>
        </w:tc>
        <w:tc>
          <w:tcPr>
            <w:tcW w:w="2976" w:type="dxa"/>
            <w:tcBorders>
              <w:top w:val="single" w:sz="4" w:space="0" w:color="000000"/>
              <w:bottom w:val="single" w:sz="4" w:space="0" w:color="000000"/>
            </w:tcBorders>
            <w:vAlign w:val="center"/>
          </w:tcPr>
          <w:p w14:paraId="2B02F4EA" w14:textId="5D5621E4" w:rsidR="00821A4E" w:rsidRPr="00821A4E" w:rsidRDefault="00821A4E" w:rsidP="00F22973">
            <w:pPr>
              <w:spacing w:before="60" w:after="60"/>
              <w:jc w:val="center"/>
              <w:rPr>
                <w:szCs w:val="22"/>
              </w:rPr>
            </w:pPr>
            <w:r>
              <w:rPr>
                <w:szCs w:val="22"/>
              </w:rPr>
              <w:t>11.1%</w:t>
            </w:r>
          </w:p>
        </w:tc>
      </w:tr>
      <w:tr w:rsidR="00821A4E" w:rsidRPr="00923150" w14:paraId="276C1FAE" w14:textId="77777777" w:rsidTr="001A1192">
        <w:trPr>
          <w:trHeight w:val="456"/>
        </w:trPr>
        <w:tc>
          <w:tcPr>
            <w:tcW w:w="9639" w:type="dxa"/>
            <w:gridSpan w:val="3"/>
            <w:tcBorders>
              <w:top w:val="single" w:sz="4" w:space="0" w:color="000000"/>
            </w:tcBorders>
            <w:shd w:val="clear" w:color="auto" w:fill="CCFFFF"/>
            <w:vAlign w:val="center"/>
          </w:tcPr>
          <w:p w14:paraId="50DF73D9" w14:textId="3279C410" w:rsidR="00821A4E" w:rsidRPr="00F6372D" w:rsidRDefault="00821A4E" w:rsidP="00D67D1B">
            <w:pPr>
              <w:spacing w:before="60" w:after="60"/>
              <w:jc w:val="center"/>
            </w:pPr>
            <w:r>
              <w:t>STOCK OF EQUIPMENT</w:t>
            </w:r>
          </w:p>
        </w:tc>
      </w:tr>
      <w:tr w:rsidR="00821A4E" w:rsidRPr="00923150" w14:paraId="597402DA" w14:textId="77777777" w:rsidTr="001A1192">
        <w:trPr>
          <w:trHeight w:val="456"/>
        </w:trPr>
        <w:tc>
          <w:tcPr>
            <w:tcW w:w="3828" w:type="dxa"/>
            <w:tcBorders>
              <w:top w:val="single" w:sz="4" w:space="0" w:color="000000"/>
            </w:tcBorders>
            <w:vAlign w:val="center"/>
          </w:tcPr>
          <w:p w14:paraId="780D8BA4" w14:textId="30043C9A" w:rsidR="00821A4E" w:rsidRDefault="00821A4E" w:rsidP="004A03C3">
            <w:pPr>
              <w:spacing w:before="60" w:after="60"/>
              <w:jc w:val="left"/>
              <w:rPr>
                <w:sz w:val="20"/>
              </w:rPr>
            </w:pPr>
            <w:r w:rsidRPr="00F6372D">
              <w:t xml:space="preserve">Domestic </w:t>
            </w:r>
            <w:r>
              <w:t>r</w:t>
            </w:r>
            <w:r w:rsidRPr="00F6372D">
              <w:t xml:space="preserve">efrigerators and </w:t>
            </w:r>
            <w:r>
              <w:t>f</w:t>
            </w:r>
            <w:r w:rsidRPr="00F6372D">
              <w:t>reezers</w:t>
            </w:r>
            <w:r>
              <w:t xml:space="preserve"> </w:t>
            </w:r>
            <w:r>
              <w:rPr>
                <w:sz w:val="20"/>
                <w:szCs w:val="20"/>
                <w:vertAlign w:val="superscript"/>
              </w:rPr>
              <w:t>(10</w:t>
            </w:r>
            <w:r w:rsidRPr="00690A68">
              <w:rPr>
                <w:sz w:val="20"/>
                <w:szCs w:val="20"/>
                <w:vertAlign w:val="superscript"/>
              </w:rPr>
              <w:t>)</w:t>
            </w:r>
          </w:p>
        </w:tc>
        <w:tc>
          <w:tcPr>
            <w:tcW w:w="2835" w:type="dxa"/>
            <w:tcBorders>
              <w:top w:val="single" w:sz="4" w:space="0" w:color="000000"/>
            </w:tcBorders>
            <w:vAlign w:val="center"/>
          </w:tcPr>
          <w:p w14:paraId="3AB31C26" w14:textId="222CCB62" w:rsidR="00821A4E" w:rsidRDefault="00821A4E" w:rsidP="00D67D1B">
            <w:pPr>
              <w:spacing w:before="60" w:after="60"/>
              <w:jc w:val="center"/>
              <w:rPr>
                <w:sz w:val="20"/>
              </w:rPr>
            </w:pPr>
            <w:r w:rsidRPr="00F6372D">
              <w:t>13,000,000</w:t>
            </w:r>
          </w:p>
        </w:tc>
        <w:tc>
          <w:tcPr>
            <w:tcW w:w="2976" w:type="dxa"/>
            <w:tcBorders>
              <w:top w:val="single" w:sz="4" w:space="0" w:color="000000"/>
            </w:tcBorders>
            <w:vAlign w:val="center"/>
          </w:tcPr>
          <w:p w14:paraId="044BA42B" w14:textId="2B83405A" w:rsidR="00821A4E" w:rsidRPr="008343EF" w:rsidRDefault="00821A4E" w:rsidP="00D67D1B">
            <w:pPr>
              <w:spacing w:before="60" w:after="60"/>
              <w:jc w:val="center"/>
              <w:rPr>
                <w:sz w:val="20"/>
              </w:rPr>
            </w:pPr>
            <w:r w:rsidRPr="00F6372D">
              <w:t xml:space="preserve"> 17,149,000</w:t>
            </w:r>
          </w:p>
        </w:tc>
      </w:tr>
      <w:tr w:rsidR="00821A4E" w:rsidRPr="00923150" w14:paraId="2E0AE642" w14:textId="77777777" w:rsidTr="001A1192">
        <w:trPr>
          <w:trHeight w:val="456"/>
        </w:trPr>
        <w:tc>
          <w:tcPr>
            <w:tcW w:w="3828" w:type="dxa"/>
            <w:tcBorders>
              <w:top w:val="single" w:sz="4" w:space="0" w:color="000000"/>
            </w:tcBorders>
            <w:vAlign w:val="center"/>
          </w:tcPr>
          <w:p w14:paraId="3317CCFB" w14:textId="5FEED4C4" w:rsidR="00821A4E" w:rsidRDefault="00821A4E" w:rsidP="00217DDB">
            <w:pPr>
              <w:spacing w:before="60" w:after="60"/>
              <w:jc w:val="left"/>
              <w:rPr>
                <w:sz w:val="20"/>
              </w:rPr>
            </w:pPr>
            <w:r w:rsidRPr="00F6372D">
              <w:t>Domestic</w:t>
            </w:r>
            <w:r>
              <w:t xml:space="preserve"> and l</w:t>
            </w:r>
            <w:r w:rsidRPr="00F6372D">
              <w:t xml:space="preserve">ight </w:t>
            </w:r>
            <w:r>
              <w:t>c</w:t>
            </w:r>
            <w:r w:rsidRPr="00F6372D">
              <w:t xml:space="preserve">ommercial </w:t>
            </w:r>
            <w:r>
              <w:t>ai</w:t>
            </w:r>
            <w:r w:rsidRPr="00F6372D">
              <w:t>r conditioning</w:t>
            </w:r>
            <w:r>
              <w:t xml:space="preserve"> </w:t>
            </w:r>
            <w:r>
              <w:rPr>
                <w:sz w:val="20"/>
                <w:szCs w:val="20"/>
                <w:vertAlign w:val="superscript"/>
              </w:rPr>
              <w:t>(11</w:t>
            </w:r>
            <w:r w:rsidRPr="00690A68">
              <w:rPr>
                <w:sz w:val="20"/>
                <w:szCs w:val="20"/>
                <w:vertAlign w:val="superscript"/>
              </w:rPr>
              <w:t>)</w:t>
            </w:r>
          </w:p>
        </w:tc>
        <w:tc>
          <w:tcPr>
            <w:tcW w:w="2835" w:type="dxa"/>
            <w:tcBorders>
              <w:top w:val="single" w:sz="4" w:space="0" w:color="000000"/>
            </w:tcBorders>
            <w:vAlign w:val="center"/>
          </w:tcPr>
          <w:p w14:paraId="331F9160" w14:textId="5D4717E8" w:rsidR="00821A4E" w:rsidRDefault="00821A4E" w:rsidP="00D67D1B">
            <w:pPr>
              <w:spacing w:before="60" w:after="60"/>
              <w:jc w:val="center"/>
              <w:rPr>
                <w:sz w:val="20"/>
              </w:rPr>
            </w:pPr>
            <w:r w:rsidRPr="00F6372D">
              <w:t>5,638,669</w:t>
            </w:r>
          </w:p>
        </w:tc>
        <w:tc>
          <w:tcPr>
            <w:tcW w:w="2976" w:type="dxa"/>
            <w:tcBorders>
              <w:top w:val="single" w:sz="4" w:space="0" w:color="000000"/>
            </w:tcBorders>
            <w:vAlign w:val="center"/>
          </w:tcPr>
          <w:p w14:paraId="5D18E1B2" w14:textId="5C5BDD33" w:rsidR="00100E4D" w:rsidRPr="00100E4D" w:rsidRDefault="00821A4E" w:rsidP="00100E4D">
            <w:pPr>
              <w:spacing w:before="60" w:after="60"/>
              <w:jc w:val="center"/>
            </w:pPr>
            <w:r w:rsidRPr="00F6372D">
              <w:t xml:space="preserve"> 11,5</w:t>
            </w:r>
            <w:r w:rsidR="00100E4D">
              <w:t>26</w:t>
            </w:r>
            <w:r w:rsidRPr="00F6372D">
              <w:t>,</w:t>
            </w:r>
            <w:r w:rsidR="00100E4D">
              <w:t>500</w:t>
            </w:r>
          </w:p>
        </w:tc>
      </w:tr>
      <w:tr w:rsidR="00821A4E" w:rsidRPr="00923150" w14:paraId="506EF06E" w14:textId="77777777" w:rsidTr="001A1192">
        <w:trPr>
          <w:trHeight w:val="456"/>
        </w:trPr>
        <w:tc>
          <w:tcPr>
            <w:tcW w:w="3828" w:type="dxa"/>
            <w:tcBorders>
              <w:top w:val="single" w:sz="4" w:space="0" w:color="000000"/>
            </w:tcBorders>
            <w:vAlign w:val="center"/>
          </w:tcPr>
          <w:p w14:paraId="66BB015B" w14:textId="0F67DAB9" w:rsidR="00821A4E" w:rsidRDefault="00821A4E" w:rsidP="00D67D1B">
            <w:pPr>
              <w:spacing w:before="60" w:after="60"/>
              <w:jc w:val="left"/>
              <w:rPr>
                <w:sz w:val="20"/>
              </w:rPr>
            </w:pPr>
            <w:r w:rsidRPr="00F6372D">
              <w:t>Chillers</w:t>
            </w:r>
            <w:r>
              <w:t xml:space="preserve"> </w:t>
            </w:r>
            <w:r>
              <w:rPr>
                <w:sz w:val="20"/>
                <w:szCs w:val="20"/>
                <w:vertAlign w:val="superscript"/>
              </w:rPr>
              <w:t>(12</w:t>
            </w:r>
            <w:r w:rsidRPr="00690A68">
              <w:rPr>
                <w:sz w:val="20"/>
                <w:szCs w:val="20"/>
                <w:vertAlign w:val="superscript"/>
              </w:rPr>
              <w:t>)</w:t>
            </w:r>
          </w:p>
        </w:tc>
        <w:tc>
          <w:tcPr>
            <w:tcW w:w="2835" w:type="dxa"/>
            <w:tcBorders>
              <w:top w:val="single" w:sz="4" w:space="0" w:color="000000"/>
            </w:tcBorders>
            <w:vAlign w:val="center"/>
          </w:tcPr>
          <w:p w14:paraId="2F2FF8B2" w14:textId="15F30A0F" w:rsidR="00821A4E" w:rsidRDefault="00821A4E" w:rsidP="00D67D1B">
            <w:pPr>
              <w:spacing w:before="60" w:after="60"/>
              <w:jc w:val="center"/>
              <w:rPr>
                <w:sz w:val="20"/>
              </w:rPr>
            </w:pPr>
            <w:r w:rsidRPr="00F6372D">
              <w:t>22,450</w:t>
            </w:r>
          </w:p>
        </w:tc>
        <w:tc>
          <w:tcPr>
            <w:tcW w:w="2976" w:type="dxa"/>
            <w:tcBorders>
              <w:top w:val="single" w:sz="4" w:space="0" w:color="000000"/>
            </w:tcBorders>
            <w:vAlign w:val="center"/>
          </w:tcPr>
          <w:p w14:paraId="5E648912" w14:textId="27D59933" w:rsidR="00821A4E" w:rsidRPr="008343EF" w:rsidRDefault="00821A4E" w:rsidP="00D67D1B">
            <w:pPr>
              <w:spacing w:before="60" w:after="60"/>
              <w:jc w:val="center"/>
              <w:rPr>
                <w:sz w:val="20"/>
              </w:rPr>
            </w:pPr>
            <w:r w:rsidRPr="00F6372D">
              <w:t xml:space="preserve">28,440 </w:t>
            </w:r>
          </w:p>
        </w:tc>
      </w:tr>
      <w:tr w:rsidR="00821A4E" w:rsidRPr="00923150" w14:paraId="66FEAD8F" w14:textId="77777777" w:rsidTr="001A1192">
        <w:trPr>
          <w:trHeight w:val="456"/>
        </w:trPr>
        <w:tc>
          <w:tcPr>
            <w:tcW w:w="3828" w:type="dxa"/>
            <w:tcBorders>
              <w:top w:val="single" w:sz="4" w:space="0" w:color="000000"/>
            </w:tcBorders>
            <w:vAlign w:val="center"/>
          </w:tcPr>
          <w:p w14:paraId="39A457EF" w14:textId="639F6E24" w:rsidR="00821A4E" w:rsidRDefault="00821A4E" w:rsidP="004A03C3">
            <w:pPr>
              <w:spacing w:before="60" w:after="60"/>
              <w:jc w:val="left"/>
              <w:rPr>
                <w:sz w:val="20"/>
              </w:rPr>
            </w:pPr>
            <w:r>
              <w:t xml:space="preserve">Volume of cold storage </w:t>
            </w:r>
            <w:r>
              <w:rPr>
                <w:sz w:val="20"/>
                <w:szCs w:val="20"/>
                <w:vertAlign w:val="superscript"/>
              </w:rPr>
              <w:t>(13</w:t>
            </w:r>
            <w:r w:rsidRPr="00690A68">
              <w:rPr>
                <w:sz w:val="20"/>
                <w:szCs w:val="20"/>
                <w:vertAlign w:val="superscript"/>
              </w:rPr>
              <w:t>)</w:t>
            </w:r>
          </w:p>
        </w:tc>
        <w:tc>
          <w:tcPr>
            <w:tcW w:w="2835" w:type="dxa"/>
            <w:tcBorders>
              <w:top w:val="single" w:sz="4" w:space="0" w:color="000000"/>
            </w:tcBorders>
            <w:vAlign w:val="center"/>
          </w:tcPr>
          <w:p w14:paraId="70CE3BEB" w14:textId="110727CA" w:rsidR="00821A4E" w:rsidRDefault="00821A4E" w:rsidP="00D67D1B">
            <w:pPr>
              <w:spacing w:before="60" w:after="60"/>
              <w:jc w:val="center"/>
              <w:rPr>
                <w:sz w:val="20"/>
              </w:rPr>
            </w:pPr>
            <w:r w:rsidRPr="00F6372D">
              <w:t>9,460,000 m</w:t>
            </w:r>
            <w:r w:rsidRPr="00845EBD">
              <w:rPr>
                <w:vertAlign w:val="superscript"/>
              </w:rPr>
              <w:t>3</w:t>
            </w:r>
          </w:p>
        </w:tc>
        <w:tc>
          <w:tcPr>
            <w:tcW w:w="2976" w:type="dxa"/>
            <w:tcBorders>
              <w:top w:val="single" w:sz="4" w:space="0" w:color="000000"/>
            </w:tcBorders>
            <w:vAlign w:val="center"/>
          </w:tcPr>
          <w:p w14:paraId="32DDAD3E" w14:textId="5A8E3338" w:rsidR="00821A4E" w:rsidRPr="008343EF" w:rsidRDefault="00821A4E" w:rsidP="00D67D1B">
            <w:pPr>
              <w:spacing w:before="60" w:after="60"/>
              <w:jc w:val="center"/>
              <w:rPr>
                <w:sz w:val="20"/>
              </w:rPr>
            </w:pPr>
            <w:r w:rsidRPr="00F6372D">
              <w:t>13,050,000 m</w:t>
            </w:r>
            <w:r w:rsidRPr="00845EBD">
              <w:rPr>
                <w:vertAlign w:val="superscript"/>
              </w:rPr>
              <w:t xml:space="preserve">3 </w:t>
            </w:r>
          </w:p>
        </w:tc>
      </w:tr>
      <w:tr w:rsidR="00821A4E" w:rsidRPr="00923150" w14:paraId="562C12B2" w14:textId="77777777" w:rsidTr="001A1192">
        <w:trPr>
          <w:trHeight w:val="456"/>
        </w:trPr>
        <w:tc>
          <w:tcPr>
            <w:tcW w:w="3828" w:type="dxa"/>
            <w:tcBorders>
              <w:top w:val="single" w:sz="4" w:space="0" w:color="000000"/>
            </w:tcBorders>
            <w:vAlign w:val="center"/>
          </w:tcPr>
          <w:p w14:paraId="0566CCFB" w14:textId="26C391E3" w:rsidR="00821A4E" w:rsidRDefault="00821A4E" w:rsidP="004A03C3">
            <w:pPr>
              <w:spacing w:before="60" w:after="60"/>
              <w:jc w:val="left"/>
              <w:rPr>
                <w:sz w:val="20"/>
              </w:rPr>
            </w:pPr>
            <w:r>
              <w:t xml:space="preserve">Supermarket chain stores </w:t>
            </w:r>
            <w:r>
              <w:rPr>
                <w:sz w:val="20"/>
                <w:szCs w:val="20"/>
                <w:vertAlign w:val="superscript"/>
              </w:rPr>
              <w:t>(14</w:t>
            </w:r>
            <w:r w:rsidRPr="00690A68">
              <w:rPr>
                <w:sz w:val="20"/>
                <w:szCs w:val="20"/>
                <w:vertAlign w:val="superscript"/>
              </w:rPr>
              <w:t>)</w:t>
            </w:r>
          </w:p>
        </w:tc>
        <w:tc>
          <w:tcPr>
            <w:tcW w:w="2835" w:type="dxa"/>
            <w:tcBorders>
              <w:top w:val="single" w:sz="4" w:space="0" w:color="000000"/>
            </w:tcBorders>
            <w:vAlign w:val="center"/>
          </w:tcPr>
          <w:p w14:paraId="53D26C95" w14:textId="29680877" w:rsidR="00821A4E" w:rsidRDefault="00821A4E" w:rsidP="00D67D1B">
            <w:pPr>
              <w:spacing w:before="60" w:after="60"/>
              <w:jc w:val="center"/>
              <w:rPr>
                <w:sz w:val="20"/>
              </w:rPr>
            </w:pPr>
            <w:r w:rsidRPr="00F6372D">
              <w:t>3,675</w:t>
            </w:r>
          </w:p>
        </w:tc>
        <w:tc>
          <w:tcPr>
            <w:tcW w:w="2976" w:type="dxa"/>
            <w:tcBorders>
              <w:top w:val="single" w:sz="4" w:space="0" w:color="000000"/>
            </w:tcBorders>
            <w:vAlign w:val="center"/>
          </w:tcPr>
          <w:p w14:paraId="4A9C8132" w14:textId="17198FF4" w:rsidR="00821A4E" w:rsidRPr="008343EF" w:rsidRDefault="00821A4E" w:rsidP="00D67D1B">
            <w:pPr>
              <w:spacing w:before="60" w:after="60"/>
              <w:jc w:val="center"/>
              <w:rPr>
                <w:sz w:val="20"/>
              </w:rPr>
            </w:pPr>
            <w:r w:rsidRPr="00F6372D">
              <w:t xml:space="preserve"> 3,336</w:t>
            </w:r>
          </w:p>
        </w:tc>
      </w:tr>
      <w:tr w:rsidR="00821A4E" w:rsidRPr="00923150" w14:paraId="071968C2" w14:textId="77777777" w:rsidTr="001A1192">
        <w:trPr>
          <w:trHeight w:val="456"/>
        </w:trPr>
        <w:tc>
          <w:tcPr>
            <w:tcW w:w="3828" w:type="dxa"/>
            <w:tcBorders>
              <w:top w:val="single" w:sz="4" w:space="0" w:color="000000"/>
            </w:tcBorders>
            <w:vAlign w:val="center"/>
          </w:tcPr>
          <w:p w14:paraId="7E47138D" w14:textId="01C12866" w:rsidR="00821A4E" w:rsidRDefault="00821A4E" w:rsidP="00D67D1B">
            <w:pPr>
              <w:spacing w:before="60" w:after="60"/>
              <w:jc w:val="left"/>
              <w:rPr>
                <w:sz w:val="20"/>
              </w:rPr>
            </w:pPr>
            <w:r w:rsidRPr="00F6372D">
              <w:t>Small independent stores</w:t>
            </w:r>
          </w:p>
        </w:tc>
        <w:tc>
          <w:tcPr>
            <w:tcW w:w="2835" w:type="dxa"/>
            <w:tcBorders>
              <w:top w:val="single" w:sz="4" w:space="0" w:color="000000"/>
            </w:tcBorders>
            <w:vAlign w:val="center"/>
          </w:tcPr>
          <w:p w14:paraId="07C5F95E" w14:textId="45994554" w:rsidR="00821A4E" w:rsidRDefault="00821A4E" w:rsidP="00D67D1B">
            <w:pPr>
              <w:spacing w:before="60" w:after="60"/>
              <w:jc w:val="center"/>
              <w:rPr>
                <w:sz w:val="20"/>
              </w:rPr>
            </w:pPr>
            <w:r>
              <w:t>-</w:t>
            </w:r>
          </w:p>
        </w:tc>
        <w:tc>
          <w:tcPr>
            <w:tcW w:w="2976" w:type="dxa"/>
            <w:tcBorders>
              <w:top w:val="single" w:sz="4" w:space="0" w:color="000000"/>
            </w:tcBorders>
            <w:vAlign w:val="center"/>
          </w:tcPr>
          <w:p w14:paraId="50FC496A" w14:textId="6D90F657" w:rsidR="00821A4E" w:rsidRPr="008343EF" w:rsidRDefault="00821A4E" w:rsidP="00D67D1B">
            <w:pPr>
              <w:spacing w:before="60" w:after="60"/>
              <w:jc w:val="center"/>
              <w:rPr>
                <w:sz w:val="20"/>
              </w:rPr>
            </w:pPr>
            <w:r w:rsidRPr="00F6372D">
              <w:t>840</w:t>
            </w:r>
          </w:p>
        </w:tc>
      </w:tr>
      <w:tr w:rsidR="00821A4E" w:rsidRPr="00923150" w14:paraId="4A243BDF" w14:textId="77777777" w:rsidTr="001A1192">
        <w:trPr>
          <w:trHeight w:val="456"/>
        </w:trPr>
        <w:tc>
          <w:tcPr>
            <w:tcW w:w="3828" w:type="dxa"/>
            <w:tcBorders>
              <w:top w:val="single" w:sz="4" w:space="0" w:color="000000"/>
            </w:tcBorders>
            <w:vAlign w:val="center"/>
          </w:tcPr>
          <w:p w14:paraId="38E71B30" w14:textId="6D474B8F" w:rsidR="00821A4E" w:rsidRDefault="00821A4E" w:rsidP="00D67D1B">
            <w:pPr>
              <w:spacing w:before="60" w:after="60"/>
              <w:jc w:val="left"/>
              <w:rPr>
                <w:sz w:val="20"/>
              </w:rPr>
            </w:pPr>
            <w:r w:rsidRPr="00F6372D">
              <w:t>Convenience stores</w:t>
            </w:r>
          </w:p>
        </w:tc>
        <w:tc>
          <w:tcPr>
            <w:tcW w:w="2835" w:type="dxa"/>
            <w:tcBorders>
              <w:top w:val="single" w:sz="4" w:space="0" w:color="000000"/>
            </w:tcBorders>
            <w:vAlign w:val="center"/>
          </w:tcPr>
          <w:p w14:paraId="150AE1FF" w14:textId="01BC17AF" w:rsidR="00821A4E" w:rsidRDefault="00821A4E" w:rsidP="00D67D1B">
            <w:pPr>
              <w:spacing w:before="60" w:after="60"/>
              <w:jc w:val="center"/>
              <w:rPr>
                <w:sz w:val="20"/>
              </w:rPr>
            </w:pPr>
            <w:r>
              <w:t>-</w:t>
            </w:r>
          </w:p>
        </w:tc>
        <w:tc>
          <w:tcPr>
            <w:tcW w:w="2976" w:type="dxa"/>
            <w:tcBorders>
              <w:top w:val="single" w:sz="4" w:space="0" w:color="000000"/>
            </w:tcBorders>
            <w:vAlign w:val="center"/>
          </w:tcPr>
          <w:p w14:paraId="5D8CBA25" w14:textId="734DB06F" w:rsidR="00821A4E" w:rsidRPr="008343EF" w:rsidRDefault="00821A4E" w:rsidP="00D67D1B">
            <w:pPr>
              <w:spacing w:before="60" w:after="60"/>
              <w:jc w:val="center"/>
              <w:rPr>
                <w:sz w:val="20"/>
              </w:rPr>
            </w:pPr>
            <w:r w:rsidRPr="00F6372D">
              <w:t>5,817</w:t>
            </w:r>
          </w:p>
        </w:tc>
      </w:tr>
      <w:tr w:rsidR="00821A4E" w:rsidRPr="00923150" w14:paraId="19EFA68F" w14:textId="77777777" w:rsidTr="001A1192">
        <w:trPr>
          <w:trHeight w:val="456"/>
        </w:trPr>
        <w:tc>
          <w:tcPr>
            <w:tcW w:w="3828" w:type="dxa"/>
            <w:tcBorders>
              <w:top w:val="single" w:sz="4" w:space="0" w:color="000000"/>
            </w:tcBorders>
            <w:vAlign w:val="center"/>
          </w:tcPr>
          <w:p w14:paraId="59F757C1" w14:textId="0DC63808" w:rsidR="00821A4E" w:rsidRDefault="00821A4E" w:rsidP="00D67D1B">
            <w:pPr>
              <w:spacing w:before="60" w:after="60"/>
              <w:jc w:val="left"/>
              <w:rPr>
                <w:sz w:val="20"/>
              </w:rPr>
            </w:pPr>
            <w:r w:rsidRPr="00F6372D">
              <w:t>Walk-in coolrooms (also included below for purpose of comparison with 2006)</w:t>
            </w:r>
          </w:p>
        </w:tc>
        <w:tc>
          <w:tcPr>
            <w:tcW w:w="2835" w:type="dxa"/>
            <w:tcBorders>
              <w:top w:val="single" w:sz="4" w:space="0" w:color="000000"/>
            </w:tcBorders>
            <w:vAlign w:val="center"/>
          </w:tcPr>
          <w:p w14:paraId="00EE5F02" w14:textId="08604A99" w:rsidR="00821A4E" w:rsidRDefault="00821A4E" w:rsidP="00D67D1B">
            <w:pPr>
              <w:spacing w:before="60" w:after="60"/>
              <w:jc w:val="center"/>
              <w:rPr>
                <w:sz w:val="20"/>
              </w:rPr>
            </w:pPr>
            <w:r w:rsidRPr="00F6372D">
              <w:t>22,853</w:t>
            </w:r>
          </w:p>
        </w:tc>
        <w:tc>
          <w:tcPr>
            <w:tcW w:w="2976" w:type="dxa"/>
            <w:tcBorders>
              <w:top w:val="single" w:sz="4" w:space="0" w:color="000000"/>
            </w:tcBorders>
            <w:vAlign w:val="center"/>
          </w:tcPr>
          <w:p w14:paraId="53BF85AD" w14:textId="40C8D363" w:rsidR="00821A4E" w:rsidRPr="008343EF" w:rsidRDefault="00821A4E" w:rsidP="00100E4D">
            <w:pPr>
              <w:spacing w:before="60" w:after="60"/>
              <w:jc w:val="center"/>
              <w:rPr>
                <w:sz w:val="20"/>
              </w:rPr>
            </w:pPr>
            <w:r w:rsidRPr="00F6372D">
              <w:t>98,1</w:t>
            </w:r>
            <w:r w:rsidR="00100E4D">
              <w:t>00</w:t>
            </w:r>
            <w:r w:rsidRPr="00F6372D">
              <w:t xml:space="preserve"> </w:t>
            </w:r>
          </w:p>
        </w:tc>
      </w:tr>
      <w:tr w:rsidR="00821A4E" w:rsidRPr="00923150" w14:paraId="27713F0A" w14:textId="77777777" w:rsidTr="001A1192">
        <w:trPr>
          <w:trHeight w:val="456"/>
        </w:trPr>
        <w:tc>
          <w:tcPr>
            <w:tcW w:w="3828" w:type="dxa"/>
            <w:tcBorders>
              <w:top w:val="single" w:sz="4" w:space="0" w:color="000000"/>
            </w:tcBorders>
            <w:vAlign w:val="center"/>
          </w:tcPr>
          <w:p w14:paraId="4472A47B" w14:textId="6D65A6C5" w:rsidR="00821A4E" w:rsidRDefault="00821A4E" w:rsidP="004A03C3">
            <w:pPr>
              <w:spacing w:before="60" w:after="60"/>
              <w:jc w:val="left"/>
              <w:rPr>
                <w:sz w:val="20"/>
              </w:rPr>
            </w:pPr>
            <w:r w:rsidRPr="00F6372D">
              <w:t>Walk-in coolrooms and self-contained non-domestic refrigeration equipment</w:t>
            </w:r>
            <w:r>
              <w:t xml:space="preserve"> </w:t>
            </w:r>
            <w:r>
              <w:rPr>
                <w:sz w:val="20"/>
                <w:szCs w:val="20"/>
                <w:vertAlign w:val="superscript"/>
              </w:rPr>
              <w:t>(15</w:t>
            </w:r>
            <w:r w:rsidRPr="00690A68">
              <w:rPr>
                <w:sz w:val="20"/>
                <w:szCs w:val="20"/>
                <w:vertAlign w:val="superscript"/>
              </w:rPr>
              <w:t>)</w:t>
            </w:r>
          </w:p>
        </w:tc>
        <w:tc>
          <w:tcPr>
            <w:tcW w:w="2835" w:type="dxa"/>
            <w:tcBorders>
              <w:top w:val="single" w:sz="4" w:space="0" w:color="000000"/>
            </w:tcBorders>
            <w:vAlign w:val="center"/>
          </w:tcPr>
          <w:p w14:paraId="7D1CDFAB" w14:textId="15A9CBDB" w:rsidR="00821A4E" w:rsidRDefault="00821A4E" w:rsidP="00D67D1B">
            <w:pPr>
              <w:spacing w:before="60" w:after="60"/>
              <w:jc w:val="center"/>
              <w:rPr>
                <w:sz w:val="20"/>
              </w:rPr>
            </w:pPr>
            <w:r w:rsidRPr="00F6372D">
              <w:t>821,500</w:t>
            </w:r>
          </w:p>
        </w:tc>
        <w:tc>
          <w:tcPr>
            <w:tcW w:w="2976" w:type="dxa"/>
            <w:tcBorders>
              <w:top w:val="single" w:sz="4" w:space="0" w:color="000000"/>
            </w:tcBorders>
            <w:vAlign w:val="center"/>
          </w:tcPr>
          <w:p w14:paraId="57BDA3EC" w14:textId="6FB23798" w:rsidR="00821A4E" w:rsidRPr="008343EF" w:rsidRDefault="00821A4E" w:rsidP="00FF2E8B">
            <w:pPr>
              <w:spacing w:before="60" w:after="60"/>
              <w:jc w:val="center"/>
              <w:rPr>
                <w:sz w:val="20"/>
              </w:rPr>
            </w:pPr>
            <w:r w:rsidRPr="00F6372D">
              <w:t xml:space="preserve"> 1,05</w:t>
            </w:r>
            <w:r w:rsidR="00FF2E8B">
              <w:t>5</w:t>
            </w:r>
            <w:r w:rsidRPr="00F6372D">
              <w:t>,</w:t>
            </w:r>
            <w:r w:rsidR="00FF2E8B">
              <w:t>000</w:t>
            </w:r>
          </w:p>
        </w:tc>
      </w:tr>
      <w:tr w:rsidR="00821A4E" w:rsidRPr="00923150" w14:paraId="08CE3529" w14:textId="77777777" w:rsidTr="001A1192">
        <w:trPr>
          <w:trHeight w:val="456"/>
        </w:trPr>
        <w:tc>
          <w:tcPr>
            <w:tcW w:w="3828" w:type="dxa"/>
            <w:tcBorders>
              <w:top w:val="single" w:sz="4" w:space="0" w:color="000000"/>
            </w:tcBorders>
            <w:vAlign w:val="center"/>
          </w:tcPr>
          <w:p w14:paraId="1B9E41B3" w14:textId="100368FE" w:rsidR="00821A4E" w:rsidRDefault="00821A4E" w:rsidP="004A03C3">
            <w:pPr>
              <w:spacing w:before="60" w:after="60"/>
              <w:jc w:val="left"/>
              <w:rPr>
                <w:sz w:val="20"/>
              </w:rPr>
            </w:pPr>
            <w:r w:rsidRPr="00F6372D">
              <w:t>Remote non-domestic refrigeration (also included above for purposes of comparison with 2006)</w:t>
            </w:r>
            <w:r>
              <w:t xml:space="preserve"> </w:t>
            </w:r>
            <w:r>
              <w:rPr>
                <w:sz w:val="20"/>
                <w:szCs w:val="20"/>
                <w:vertAlign w:val="superscript"/>
              </w:rPr>
              <w:t>(15</w:t>
            </w:r>
            <w:r w:rsidRPr="00690A68">
              <w:rPr>
                <w:sz w:val="20"/>
                <w:szCs w:val="20"/>
                <w:vertAlign w:val="superscript"/>
              </w:rPr>
              <w:t>)</w:t>
            </w:r>
          </w:p>
        </w:tc>
        <w:tc>
          <w:tcPr>
            <w:tcW w:w="2835" w:type="dxa"/>
            <w:tcBorders>
              <w:top w:val="single" w:sz="4" w:space="0" w:color="000000"/>
            </w:tcBorders>
            <w:vAlign w:val="center"/>
          </w:tcPr>
          <w:p w14:paraId="214B2F58" w14:textId="495FFCDA" w:rsidR="00821A4E" w:rsidRDefault="00821A4E" w:rsidP="000B0DBC">
            <w:pPr>
              <w:spacing w:before="60" w:after="60"/>
              <w:jc w:val="center"/>
              <w:rPr>
                <w:sz w:val="20"/>
              </w:rPr>
            </w:pPr>
            <w:r>
              <w:t>-</w:t>
            </w:r>
          </w:p>
        </w:tc>
        <w:tc>
          <w:tcPr>
            <w:tcW w:w="2976" w:type="dxa"/>
            <w:tcBorders>
              <w:top w:val="single" w:sz="4" w:space="0" w:color="000000"/>
            </w:tcBorders>
            <w:vAlign w:val="center"/>
          </w:tcPr>
          <w:p w14:paraId="5C64091A" w14:textId="0C8DF96B" w:rsidR="00821A4E" w:rsidRPr="008343EF" w:rsidRDefault="00821A4E" w:rsidP="004A1E1A">
            <w:pPr>
              <w:spacing w:before="60" w:after="60"/>
              <w:jc w:val="center"/>
              <w:rPr>
                <w:sz w:val="20"/>
              </w:rPr>
            </w:pPr>
            <w:r w:rsidRPr="00F6372D">
              <w:t>16</w:t>
            </w:r>
            <w:r w:rsidR="004A1E1A">
              <w:t>7</w:t>
            </w:r>
            <w:r w:rsidRPr="00F6372D">
              <w:t>,</w:t>
            </w:r>
            <w:r w:rsidR="004A1E1A">
              <w:t>000</w:t>
            </w:r>
          </w:p>
        </w:tc>
      </w:tr>
      <w:tr w:rsidR="00821A4E" w:rsidRPr="00923150" w14:paraId="7B744982" w14:textId="77777777" w:rsidTr="001A1192">
        <w:trPr>
          <w:trHeight w:val="456"/>
        </w:trPr>
        <w:tc>
          <w:tcPr>
            <w:tcW w:w="3828" w:type="dxa"/>
            <w:tcBorders>
              <w:top w:val="single" w:sz="4" w:space="0" w:color="000000"/>
            </w:tcBorders>
            <w:vAlign w:val="center"/>
          </w:tcPr>
          <w:p w14:paraId="4F35A3A9" w14:textId="37932D4C" w:rsidR="00821A4E" w:rsidRDefault="00821A4E" w:rsidP="004A03C3">
            <w:pPr>
              <w:spacing w:before="60" w:after="60"/>
              <w:jc w:val="left"/>
              <w:rPr>
                <w:sz w:val="20"/>
              </w:rPr>
            </w:pPr>
            <w:r w:rsidRPr="00F6372D">
              <w:t>Refrigerated Vehi</w:t>
            </w:r>
            <w:r>
              <w:t xml:space="preserve">cles </w:t>
            </w:r>
            <w:r>
              <w:rPr>
                <w:sz w:val="20"/>
                <w:szCs w:val="20"/>
                <w:vertAlign w:val="superscript"/>
              </w:rPr>
              <w:t>(16</w:t>
            </w:r>
            <w:r w:rsidRPr="00690A68">
              <w:rPr>
                <w:sz w:val="20"/>
                <w:szCs w:val="20"/>
                <w:vertAlign w:val="superscript"/>
              </w:rPr>
              <w:t>)</w:t>
            </w:r>
          </w:p>
        </w:tc>
        <w:tc>
          <w:tcPr>
            <w:tcW w:w="2835" w:type="dxa"/>
            <w:tcBorders>
              <w:top w:val="single" w:sz="4" w:space="0" w:color="000000"/>
            </w:tcBorders>
            <w:vAlign w:val="center"/>
          </w:tcPr>
          <w:p w14:paraId="57D46D60" w14:textId="353B52DA" w:rsidR="00821A4E" w:rsidRDefault="00821A4E" w:rsidP="00D67D1B">
            <w:pPr>
              <w:spacing w:before="60" w:after="60"/>
              <w:jc w:val="center"/>
              <w:rPr>
                <w:sz w:val="20"/>
              </w:rPr>
            </w:pPr>
            <w:r w:rsidRPr="00F6372D">
              <w:t>16,418</w:t>
            </w:r>
          </w:p>
        </w:tc>
        <w:tc>
          <w:tcPr>
            <w:tcW w:w="2976" w:type="dxa"/>
            <w:tcBorders>
              <w:top w:val="single" w:sz="4" w:space="0" w:color="000000"/>
            </w:tcBorders>
            <w:vAlign w:val="center"/>
          </w:tcPr>
          <w:p w14:paraId="0B74D3B2" w14:textId="4BAAFE6F" w:rsidR="00821A4E" w:rsidRPr="008343EF" w:rsidRDefault="00821A4E" w:rsidP="00D67D1B">
            <w:pPr>
              <w:spacing w:before="60" w:after="60"/>
              <w:jc w:val="center"/>
              <w:rPr>
                <w:sz w:val="20"/>
              </w:rPr>
            </w:pPr>
            <w:r w:rsidRPr="00F6372D">
              <w:t xml:space="preserve"> 28,90</w:t>
            </w:r>
            <w:r w:rsidR="00100E4D">
              <w:t>0</w:t>
            </w:r>
          </w:p>
        </w:tc>
      </w:tr>
      <w:tr w:rsidR="00821A4E" w:rsidRPr="00923150" w14:paraId="249DE255" w14:textId="77777777" w:rsidTr="001A1192">
        <w:trPr>
          <w:trHeight w:val="456"/>
        </w:trPr>
        <w:tc>
          <w:tcPr>
            <w:tcW w:w="3828" w:type="dxa"/>
            <w:tcBorders>
              <w:top w:val="single" w:sz="4" w:space="0" w:color="000000"/>
            </w:tcBorders>
            <w:vAlign w:val="center"/>
          </w:tcPr>
          <w:p w14:paraId="02F9C894" w14:textId="3EB3FBC1" w:rsidR="00821A4E" w:rsidRDefault="00821A4E" w:rsidP="004A03C3">
            <w:pPr>
              <w:spacing w:before="60" w:after="60"/>
              <w:jc w:val="left"/>
              <w:rPr>
                <w:sz w:val="20"/>
              </w:rPr>
            </w:pPr>
            <w:r w:rsidRPr="00F6372D">
              <w:t>Passenger</w:t>
            </w:r>
            <w:r>
              <w:t xml:space="preserve"> vehicles with                          air conditioning </w:t>
            </w:r>
            <w:r>
              <w:rPr>
                <w:sz w:val="20"/>
                <w:szCs w:val="20"/>
                <w:vertAlign w:val="superscript"/>
              </w:rPr>
              <w:t>(17</w:t>
            </w:r>
            <w:r w:rsidRPr="00690A68">
              <w:rPr>
                <w:sz w:val="20"/>
                <w:szCs w:val="20"/>
                <w:vertAlign w:val="superscript"/>
              </w:rPr>
              <w:t>)</w:t>
            </w:r>
          </w:p>
        </w:tc>
        <w:tc>
          <w:tcPr>
            <w:tcW w:w="2835" w:type="dxa"/>
            <w:tcBorders>
              <w:top w:val="single" w:sz="4" w:space="0" w:color="000000"/>
            </w:tcBorders>
            <w:vAlign w:val="center"/>
          </w:tcPr>
          <w:p w14:paraId="43908F3C" w14:textId="18BA0020" w:rsidR="00821A4E" w:rsidRDefault="00821A4E" w:rsidP="00D67D1B">
            <w:pPr>
              <w:spacing w:before="60" w:after="60"/>
              <w:jc w:val="center"/>
              <w:rPr>
                <w:sz w:val="20"/>
              </w:rPr>
            </w:pPr>
            <w:r w:rsidRPr="00F6372D">
              <w:t>10,293,770</w:t>
            </w:r>
          </w:p>
        </w:tc>
        <w:tc>
          <w:tcPr>
            <w:tcW w:w="2976" w:type="dxa"/>
            <w:tcBorders>
              <w:top w:val="single" w:sz="4" w:space="0" w:color="000000"/>
            </w:tcBorders>
            <w:vAlign w:val="center"/>
          </w:tcPr>
          <w:p w14:paraId="1BD3D6DB" w14:textId="3FBFE24B" w:rsidR="00821A4E" w:rsidRPr="008343EF" w:rsidRDefault="00821A4E" w:rsidP="00100E4D">
            <w:pPr>
              <w:spacing w:before="60" w:after="60"/>
              <w:jc w:val="center"/>
              <w:rPr>
                <w:sz w:val="20"/>
              </w:rPr>
            </w:pPr>
            <w:r w:rsidRPr="00F6372D">
              <w:t xml:space="preserve"> 12,07</w:t>
            </w:r>
            <w:r w:rsidR="00100E4D">
              <w:t>9</w:t>
            </w:r>
            <w:r w:rsidRPr="00F6372D">
              <w:t>,</w:t>
            </w:r>
            <w:r w:rsidR="00100E4D">
              <w:t>0</w:t>
            </w:r>
            <w:r w:rsidRPr="00F6372D">
              <w:t>00</w:t>
            </w:r>
          </w:p>
        </w:tc>
      </w:tr>
    </w:tbl>
    <w:p w14:paraId="44C83A70" w14:textId="3CA4578D" w:rsidR="00F4734E" w:rsidRDefault="00D65088" w:rsidP="00D05A74">
      <w:pPr>
        <w:pStyle w:val="ListParagraph"/>
        <w:numPr>
          <w:ilvl w:val="0"/>
          <w:numId w:val="15"/>
        </w:numPr>
        <w:spacing w:before="60" w:after="0" w:line="240" w:lineRule="auto"/>
        <w:contextualSpacing w:val="0"/>
        <w:jc w:val="both"/>
        <w:rPr>
          <w:rFonts w:ascii="Times New Roman" w:hAnsi="Times New Roman"/>
          <w:sz w:val="20"/>
          <w:szCs w:val="20"/>
        </w:rPr>
      </w:pPr>
      <w:r w:rsidRPr="00760FDC">
        <w:rPr>
          <w:rFonts w:ascii="Times New Roman" w:hAnsi="Times New Roman"/>
          <w:sz w:val="20"/>
          <w:szCs w:val="20"/>
        </w:rPr>
        <w:t xml:space="preserve">GDP can be derived by three broad approaches: the income approach, the expenditure approach and the production approach. The values cited </w:t>
      </w:r>
      <w:r w:rsidR="00811C28">
        <w:rPr>
          <w:rFonts w:ascii="Times New Roman" w:hAnsi="Times New Roman"/>
          <w:sz w:val="20"/>
          <w:szCs w:val="20"/>
        </w:rPr>
        <w:t xml:space="preserve">in this table </w:t>
      </w:r>
      <w:r w:rsidRPr="00760FDC">
        <w:rPr>
          <w:rFonts w:ascii="Times New Roman" w:hAnsi="Times New Roman"/>
          <w:sz w:val="20"/>
          <w:szCs w:val="20"/>
        </w:rPr>
        <w:t xml:space="preserve">are chain volume GDPs, which is derived by averaging the chain volume estimates obtained from each of the three independent approaches. </w:t>
      </w:r>
      <w:r w:rsidR="00811C28">
        <w:rPr>
          <w:rFonts w:ascii="Times New Roman" w:hAnsi="Times New Roman"/>
          <w:sz w:val="20"/>
          <w:szCs w:val="20"/>
        </w:rPr>
        <w:t xml:space="preserve">The chain value </w:t>
      </w:r>
      <w:r w:rsidRPr="00760FDC">
        <w:rPr>
          <w:rFonts w:ascii="Times New Roman" w:hAnsi="Times New Roman"/>
          <w:sz w:val="20"/>
          <w:szCs w:val="20"/>
        </w:rPr>
        <w:t xml:space="preserve">GDP grew by </w:t>
      </w:r>
      <w:r w:rsidR="006035EC" w:rsidRPr="00760FDC">
        <w:rPr>
          <w:rFonts w:ascii="Times New Roman" w:hAnsi="Times New Roman"/>
          <w:sz w:val="20"/>
          <w:szCs w:val="20"/>
        </w:rPr>
        <w:t>$55.74 Billion or 17.6</w:t>
      </w:r>
      <w:r w:rsidR="00C13671" w:rsidRPr="00760FDC">
        <w:rPr>
          <w:rFonts w:ascii="Times New Roman" w:hAnsi="Times New Roman"/>
          <w:sz w:val="20"/>
          <w:szCs w:val="20"/>
        </w:rPr>
        <w:t xml:space="preserve"> per cent over the six years f</w:t>
      </w:r>
      <w:r w:rsidRPr="00760FDC">
        <w:rPr>
          <w:rFonts w:ascii="Times New Roman" w:hAnsi="Times New Roman"/>
          <w:sz w:val="20"/>
          <w:szCs w:val="20"/>
        </w:rPr>
        <w:t>rom 2006 to 2012</w:t>
      </w:r>
      <w:r w:rsidR="00C13671" w:rsidRPr="00760FDC">
        <w:rPr>
          <w:rFonts w:ascii="Times New Roman" w:hAnsi="Times New Roman"/>
          <w:sz w:val="20"/>
          <w:szCs w:val="20"/>
        </w:rPr>
        <w:t xml:space="preserve">, which equates to an average annual compound growth </w:t>
      </w:r>
      <w:r w:rsidR="00697F52" w:rsidRPr="00760FDC">
        <w:rPr>
          <w:rFonts w:ascii="Times New Roman" w:hAnsi="Times New Roman"/>
          <w:sz w:val="20"/>
          <w:szCs w:val="20"/>
        </w:rPr>
        <w:t xml:space="preserve">rate </w:t>
      </w:r>
      <w:r w:rsidR="00C13671" w:rsidRPr="00760FDC">
        <w:rPr>
          <w:rFonts w:ascii="Times New Roman" w:hAnsi="Times New Roman"/>
          <w:sz w:val="20"/>
          <w:szCs w:val="20"/>
        </w:rPr>
        <w:t xml:space="preserve">of </w:t>
      </w:r>
      <w:r w:rsidR="00697F52" w:rsidRPr="00760FDC">
        <w:rPr>
          <w:rFonts w:ascii="Times New Roman" w:hAnsi="Times New Roman"/>
          <w:sz w:val="20"/>
          <w:szCs w:val="20"/>
        </w:rPr>
        <w:t xml:space="preserve">2.8% </w:t>
      </w:r>
      <w:r w:rsidR="00C13671" w:rsidRPr="00760FDC">
        <w:rPr>
          <w:rFonts w:ascii="Times New Roman" w:hAnsi="Times New Roman"/>
          <w:sz w:val="20"/>
          <w:szCs w:val="20"/>
        </w:rPr>
        <w:t>per cent over that period</w:t>
      </w:r>
      <w:r w:rsidR="00811C28">
        <w:rPr>
          <w:rFonts w:ascii="Times New Roman" w:hAnsi="Times New Roman"/>
          <w:sz w:val="20"/>
          <w:szCs w:val="20"/>
        </w:rPr>
        <w:t xml:space="preserve"> (</w:t>
      </w:r>
      <w:r w:rsidR="00811C28" w:rsidRPr="00811C28">
        <w:rPr>
          <w:rFonts w:ascii="Times New Roman" w:hAnsi="Times New Roman"/>
          <w:sz w:val="20"/>
          <w:szCs w:val="20"/>
        </w:rPr>
        <w:t>ABS 5206.0 2012</w:t>
      </w:r>
      <w:r w:rsidR="00811C28">
        <w:rPr>
          <w:rFonts w:ascii="Times New Roman" w:hAnsi="Times New Roman"/>
          <w:sz w:val="20"/>
          <w:szCs w:val="20"/>
        </w:rPr>
        <w:t>)</w:t>
      </w:r>
      <w:r w:rsidR="00C13671" w:rsidRPr="00760FDC">
        <w:rPr>
          <w:rFonts w:ascii="Times New Roman" w:hAnsi="Times New Roman"/>
          <w:sz w:val="20"/>
          <w:szCs w:val="20"/>
        </w:rPr>
        <w:t>.</w:t>
      </w:r>
      <w:r w:rsidR="00811C28">
        <w:rPr>
          <w:rFonts w:ascii="Times New Roman" w:hAnsi="Times New Roman"/>
          <w:sz w:val="20"/>
          <w:szCs w:val="20"/>
        </w:rPr>
        <w:t xml:space="preserve"> This growth rate is generally consistent with the growth rates used in this stud</w:t>
      </w:r>
      <w:r w:rsidR="00BD7F44">
        <w:rPr>
          <w:rFonts w:ascii="Times New Roman" w:hAnsi="Times New Roman"/>
          <w:sz w:val="20"/>
          <w:szCs w:val="20"/>
        </w:rPr>
        <w:t>y of mature product categories.</w:t>
      </w:r>
    </w:p>
    <w:p w14:paraId="4F7FC8F5" w14:textId="0902A9F8" w:rsidR="00811C28" w:rsidRDefault="00BD7F44" w:rsidP="00D05A74">
      <w:pPr>
        <w:pStyle w:val="ListParagraph"/>
        <w:numPr>
          <w:ilvl w:val="0"/>
          <w:numId w:val="15"/>
        </w:numPr>
        <w:spacing w:before="60" w:after="0" w:line="240" w:lineRule="auto"/>
        <w:contextualSpacing w:val="0"/>
        <w:jc w:val="both"/>
        <w:rPr>
          <w:rFonts w:ascii="Times New Roman" w:hAnsi="Times New Roman"/>
          <w:sz w:val="20"/>
          <w:szCs w:val="20"/>
        </w:rPr>
      </w:pPr>
      <w:r>
        <w:rPr>
          <w:rFonts w:ascii="Times New Roman" w:hAnsi="Times New Roman"/>
          <w:sz w:val="20"/>
          <w:szCs w:val="20"/>
        </w:rPr>
        <w:t>The definitions of total electricity generation or sent ou</w:t>
      </w:r>
      <w:r w:rsidR="00811B92">
        <w:rPr>
          <w:rFonts w:ascii="Times New Roman" w:hAnsi="Times New Roman"/>
          <w:sz w:val="20"/>
          <w:szCs w:val="20"/>
        </w:rPr>
        <w:t>t</w:t>
      </w:r>
      <w:r>
        <w:rPr>
          <w:rFonts w:ascii="Times New Roman" w:hAnsi="Times New Roman"/>
          <w:sz w:val="20"/>
          <w:szCs w:val="20"/>
        </w:rPr>
        <w:t xml:space="preserve"> have evolved over this period, as has the grid which now includes a higher percentage of devices supplied by renewable electricity sources. </w:t>
      </w:r>
      <w:r w:rsidR="002E0504">
        <w:rPr>
          <w:rFonts w:ascii="Times New Roman" w:hAnsi="Times New Roman"/>
          <w:sz w:val="20"/>
          <w:szCs w:val="20"/>
        </w:rPr>
        <w:t>CHF1 used the value cited by</w:t>
      </w:r>
      <w:r w:rsidR="004528C3">
        <w:rPr>
          <w:rFonts w:ascii="Times New Roman" w:hAnsi="Times New Roman"/>
          <w:sz w:val="20"/>
          <w:szCs w:val="20"/>
        </w:rPr>
        <w:t xml:space="preserve"> </w:t>
      </w:r>
      <w:r w:rsidR="002E0504" w:rsidRPr="004528C3">
        <w:rPr>
          <w:rFonts w:ascii="Times New Roman" w:hAnsi="Times New Roman"/>
          <w:sz w:val="20"/>
          <w:szCs w:val="20"/>
        </w:rPr>
        <w:t xml:space="preserve">NEMMCO </w:t>
      </w:r>
      <w:r w:rsidR="004528C3" w:rsidRPr="004528C3">
        <w:rPr>
          <w:rFonts w:ascii="Times New Roman" w:hAnsi="Times New Roman"/>
          <w:sz w:val="20"/>
          <w:szCs w:val="20"/>
        </w:rPr>
        <w:t>in their 2005/</w:t>
      </w:r>
      <w:r w:rsidR="002E0504" w:rsidRPr="004528C3">
        <w:rPr>
          <w:rFonts w:ascii="Times New Roman" w:hAnsi="Times New Roman"/>
          <w:sz w:val="20"/>
          <w:szCs w:val="20"/>
        </w:rPr>
        <w:t>6 Annual Report</w:t>
      </w:r>
      <w:r w:rsidR="004528C3" w:rsidRPr="004528C3">
        <w:rPr>
          <w:rFonts w:ascii="Times New Roman" w:hAnsi="Times New Roman"/>
          <w:sz w:val="20"/>
          <w:szCs w:val="20"/>
        </w:rPr>
        <w:t>, and NEMMCO's roles and responsibilities have since transitioned to the Australian Energy Market Operator</w:t>
      </w:r>
      <w:r w:rsidR="004528C3">
        <w:rPr>
          <w:rFonts w:ascii="Times New Roman" w:hAnsi="Times New Roman"/>
          <w:sz w:val="20"/>
          <w:szCs w:val="20"/>
        </w:rPr>
        <w:t xml:space="preserve">. </w:t>
      </w:r>
      <w:r>
        <w:rPr>
          <w:rFonts w:ascii="Times New Roman" w:hAnsi="Times New Roman"/>
          <w:sz w:val="20"/>
          <w:szCs w:val="20"/>
        </w:rPr>
        <w:t xml:space="preserve">The value used in CHF2 is total electricity and renewable consumption as quoted by </w:t>
      </w:r>
      <w:r w:rsidRPr="00BD7F44">
        <w:rPr>
          <w:rFonts w:ascii="Times New Roman" w:hAnsi="Times New Roman"/>
          <w:sz w:val="20"/>
          <w:szCs w:val="20"/>
        </w:rPr>
        <w:t xml:space="preserve">Bureau of Resources and Energy Economics </w:t>
      </w:r>
      <w:r>
        <w:rPr>
          <w:rFonts w:ascii="Times New Roman" w:hAnsi="Times New Roman"/>
          <w:sz w:val="20"/>
          <w:szCs w:val="20"/>
        </w:rPr>
        <w:t>(BREE 2012).</w:t>
      </w:r>
    </w:p>
    <w:p w14:paraId="07BF9577" w14:textId="7591CD0B" w:rsidR="00BD7F44" w:rsidRDefault="00BD7F44" w:rsidP="00D05A74">
      <w:pPr>
        <w:pStyle w:val="ListParagraph"/>
        <w:numPr>
          <w:ilvl w:val="0"/>
          <w:numId w:val="15"/>
        </w:numPr>
        <w:spacing w:before="60" w:after="0" w:line="240" w:lineRule="auto"/>
        <w:contextualSpacing w:val="0"/>
        <w:jc w:val="both"/>
        <w:rPr>
          <w:rFonts w:ascii="Times New Roman" w:hAnsi="Times New Roman"/>
          <w:sz w:val="20"/>
          <w:szCs w:val="20"/>
        </w:rPr>
      </w:pPr>
      <w:r>
        <w:rPr>
          <w:rFonts w:ascii="Times New Roman" w:hAnsi="Times New Roman"/>
          <w:sz w:val="20"/>
          <w:szCs w:val="20"/>
        </w:rPr>
        <w:t xml:space="preserve">The NGGI values used in this study are for a slightly different period to other measures, for example CHF2 measures are based on calendar year and the NGGI values are </w:t>
      </w:r>
      <w:r w:rsidR="00FA5B51">
        <w:rPr>
          <w:rFonts w:ascii="Times New Roman" w:hAnsi="Times New Roman"/>
          <w:sz w:val="20"/>
          <w:szCs w:val="20"/>
        </w:rPr>
        <w:t>for the previous financial year (DCCEE 2012a).</w:t>
      </w:r>
    </w:p>
    <w:p w14:paraId="78CEAC22" w14:textId="521E5368" w:rsidR="00A145CF" w:rsidRDefault="00A145CF" w:rsidP="00D05A74">
      <w:pPr>
        <w:pStyle w:val="ListParagraph"/>
        <w:numPr>
          <w:ilvl w:val="0"/>
          <w:numId w:val="15"/>
        </w:numPr>
        <w:spacing w:before="60" w:after="0" w:line="240" w:lineRule="auto"/>
        <w:contextualSpacing w:val="0"/>
        <w:jc w:val="both"/>
        <w:rPr>
          <w:rFonts w:ascii="Times New Roman" w:hAnsi="Times New Roman"/>
          <w:sz w:val="20"/>
          <w:szCs w:val="20"/>
        </w:rPr>
      </w:pPr>
      <w:r>
        <w:rPr>
          <w:rFonts w:ascii="Times New Roman" w:hAnsi="Times New Roman"/>
          <w:sz w:val="20"/>
          <w:szCs w:val="20"/>
        </w:rPr>
        <w:t>The scope and methodology for calculating direct spending has changed from CHF1 to CHF2, and these two values should not be compared.</w:t>
      </w:r>
      <w:r w:rsidR="00F4734E" w:rsidRPr="00F4734E">
        <w:rPr>
          <w:rFonts w:ascii="Times New Roman" w:hAnsi="Times New Roman"/>
          <w:sz w:val="20"/>
          <w:szCs w:val="20"/>
        </w:rPr>
        <w:t xml:space="preserve"> </w:t>
      </w:r>
      <w:r>
        <w:rPr>
          <w:rFonts w:ascii="Times New Roman" w:hAnsi="Times New Roman"/>
          <w:sz w:val="20"/>
          <w:szCs w:val="20"/>
        </w:rPr>
        <w:t>CHF2 include</w:t>
      </w:r>
      <w:r w:rsidR="004036A5">
        <w:rPr>
          <w:rFonts w:ascii="Times New Roman" w:hAnsi="Times New Roman"/>
          <w:sz w:val="20"/>
          <w:szCs w:val="20"/>
        </w:rPr>
        <w:t>s</w:t>
      </w:r>
      <w:r>
        <w:rPr>
          <w:rFonts w:ascii="Times New Roman" w:hAnsi="Times New Roman"/>
          <w:sz w:val="20"/>
          <w:szCs w:val="20"/>
        </w:rPr>
        <w:t xml:space="preserve"> an expanded range of equipment types</w:t>
      </w:r>
      <w:r w:rsidR="004036A5">
        <w:rPr>
          <w:rFonts w:ascii="Times New Roman" w:hAnsi="Times New Roman"/>
          <w:sz w:val="20"/>
          <w:szCs w:val="20"/>
        </w:rPr>
        <w:t>;</w:t>
      </w:r>
      <w:r>
        <w:rPr>
          <w:rFonts w:ascii="Times New Roman" w:hAnsi="Times New Roman"/>
          <w:sz w:val="20"/>
          <w:szCs w:val="20"/>
        </w:rPr>
        <w:t xml:space="preserve"> the </w:t>
      </w:r>
      <w:r w:rsidRPr="00F4734E">
        <w:rPr>
          <w:rFonts w:ascii="Times New Roman" w:hAnsi="Times New Roman"/>
          <w:sz w:val="20"/>
          <w:szCs w:val="20"/>
        </w:rPr>
        <w:t>cost of liquid fuel consumed in mobile equipment</w:t>
      </w:r>
      <w:r w:rsidR="004036A5">
        <w:rPr>
          <w:rFonts w:ascii="Times New Roman" w:hAnsi="Times New Roman"/>
          <w:sz w:val="20"/>
          <w:szCs w:val="20"/>
        </w:rPr>
        <w:t>;</w:t>
      </w:r>
      <w:r w:rsidRPr="00F4734E">
        <w:rPr>
          <w:rFonts w:ascii="Times New Roman" w:hAnsi="Times New Roman"/>
          <w:sz w:val="20"/>
          <w:szCs w:val="20"/>
        </w:rPr>
        <w:t xml:space="preserve"> </w:t>
      </w:r>
      <w:r w:rsidR="004036A5">
        <w:rPr>
          <w:rFonts w:ascii="Times New Roman" w:hAnsi="Times New Roman"/>
          <w:sz w:val="20"/>
          <w:szCs w:val="20"/>
        </w:rPr>
        <w:t xml:space="preserve">service costs and </w:t>
      </w:r>
      <w:r w:rsidRPr="00F4734E">
        <w:rPr>
          <w:rFonts w:ascii="Times New Roman" w:hAnsi="Times New Roman"/>
          <w:sz w:val="20"/>
          <w:szCs w:val="20"/>
        </w:rPr>
        <w:t>the cost of refrigerant gas</w:t>
      </w:r>
      <w:r>
        <w:rPr>
          <w:rFonts w:ascii="Times New Roman" w:hAnsi="Times New Roman"/>
          <w:sz w:val="20"/>
          <w:szCs w:val="20"/>
        </w:rPr>
        <w:t xml:space="preserve"> </w:t>
      </w:r>
      <w:r w:rsidR="004036A5">
        <w:rPr>
          <w:rFonts w:ascii="Times New Roman" w:hAnsi="Times New Roman"/>
          <w:sz w:val="20"/>
          <w:szCs w:val="20"/>
        </w:rPr>
        <w:t>based on current market prices (i.e. including carbon levy)</w:t>
      </w:r>
      <w:r>
        <w:rPr>
          <w:rFonts w:ascii="Times New Roman" w:hAnsi="Times New Roman"/>
          <w:sz w:val="20"/>
          <w:szCs w:val="20"/>
        </w:rPr>
        <w:t xml:space="preserve">. In addition, the level of confidence </w:t>
      </w:r>
      <w:r w:rsidR="004036A5">
        <w:rPr>
          <w:rFonts w:ascii="Times New Roman" w:hAnsi="Times New Roman"/>
          <w:sz w:val="20"/>
          <w:szCs w:val="20"/>
        </w:rPr>
        <w:t>of this measure could be improved with further work on the total equipment installed spend by taking larger equipment samples, and undertaking more detailed market research on the cost of installation for each product category.</w:t>
      </w:r>
      <w:r w:rsidR="00B86B5B">
        <w:rPr>
          <w:rFonts w:ascii="Times New Roman" w:hAnsi="Times New Roman"/>
          <w:sz w:val="20"/>
          <w:szCs w:val="20"/>
        </w:rPr>
        <w:t xml:space="preserve"> Further details on the methodology can be found in </w:t>
      </w:r>
      <w:r w:rsidR="00297430">
        <w:rPr>
          <w:rFonts w:ascii="Times New Roman" w:hAnsi="Times New Roman"/>
          <w:i/>
          <w:sz w:val="20"/>
          <w:szCs w:val="20"/>
        </w:rPr>
        <w:t>Chapter</w:t>
      </w:r>
      <w:r w:rsidR="00B86B5B" w:rsidRPr="00B86B5B">
        <w:rPr>
          <w:rFonts w:ascii="Times New Roman" w:hAnsi="Times New Roman"/>
          <w:i/>
          <w:sz w:val="20"/>
          <w:szCs w:val="20"/>
        </w:rPr>
        <w:t xml:space="preserve"> </w:t>
      </w:r>
      <w:r w:rsidR="006E228B">
        <w:rPr>
          <w:rFonts w:ascii="Times New Roman" w:hAnsi="Times New Roman"/>
          <w:i/>
          <w:sz w:val="20"/>
          <w:szCs w:val="20"/>
        </w:rPr>
        <w:t>7.3</w:t>
      </w:r>
      <w:r w:rsidR="00B86B5B" w:rsidRPr="00B86B5B">
        <w:rPr>
          <w:rFonts w:ascii="Times New Roman" w:hAnsi="Times New Roman"/>
          <w:i/>
          <w:sz w:val="20"/>
          <w:szCs w:val="20"/>
        </w:rPr>
        <w:t xml:space="preserve">: </w:t>
      </w:r>
      <w:r w:rsidR="006E228B">
        <w:rPr>
          <w:rFonts w:ascii="Times New Roman" w:hAnsi="Times New Roman"/>
          <w:i/>
          <w:sz w:val="20"/>
          <w:szCs w:val="20"/>
        </w:rPr>
        <w:t>Indicators of value</w:t>
      </w:r>
      <w:r w:rsidR="00B86B5B">
        <w:rPr>
          <w:rFonts w:ascii="Times New Roman" w:hAnsi="Times New Roman"/>
          <w:sz w:val="20"/>
          <w:szCs w:val="20"/>
        </w:rPr>
        <w:t>.</w:t>
      </w:r>
    </w:p>
    <w:p w14:paraId="3B008154" w14:textId="68005593" w:rsidR="00B86B5B" w:rsidRDefault="00B86B5B" w:rsidP="00D05A74">
      <w:pPr>
        <w:pStyle w:val="ListParagraph"/>
        <w:numPr>
          <w:ilvl w:val="0"/>
          <w:numId w:val="15"/>
        </w:numPr>
        <w:spacing w:before="60" w:after="0" w:line="240" w:lineRule="auto"/>
        <w:contextualSpacing w:val="0"/>
        <w:jc w:val="both"/>
        <w:rPr>
          <w:rFonts w:ascii="Times New Roman" w:hAnsi="Times New Roman"/>
          <w:sz w:val="20"/>
          <w:szCs w:val="20"/>
        </w:rPr>
      </w:pPr>
      <w:r w:rsidRPr="00B86B5B">
        <w:rPr>
          <w:rFonts w:ascii="Times New Roman" w:hAnsi="Times New Roman"/>
          <w:sz w:val="20"/>
          <w:szCs w:val="20"/>
        </w:rPr>
        <w:t>The basis on which the</w:t>
      </w:r>
      <w:r>
        <w:rPr>
          <w:rFonts w:ascii="Times New Roman" w:hAnsi="Times New Roman"/>
          <w:sz w:val="20"/>
          <w:szCs w:val="20"/>
        </w:rPr>
        <w:t xml:space="preserve"> total employment </w:t>
      </w:r>
      <w:r w:rsidRPr="00B86B5B">
        <w:rPr>
          <w:rFonts w:ascii="Times New Roman" w:hAnsi="Times New Roman"/>
          <w:sz w:val="20"/>
          <w:szCs w:val="20"/>
        </w:rPr>
        <w:t xml:space="preserve">numbers were arrived at </w:t>
      </w:r>
      <w:r w:rsidR="00845EBD" w:rsidRPr="00B86B5B">
        <w:rPr>
          <w:rFonts w:ascii="Times New Roman" w:hAnsi="Times New Roman"/>
          <w:sz w:val="20"/>
          <w:szCs w:val="20"/>
        </w:rPr>
        <w:t>is</w:t>
      </w:r>
      <w:r w:rsidRPr="00B86B5B">
        <w:rPr>
          <w:rFonts w:ascii="Times New Roman" w:hAnsi="Times New Roman"/>
          <w:sz w:val="20"/>
          <w:szCs w:val="20"/>
        </w:rPr>
        <w:t xml:space="preserve"> quite different</w:t>
      </w:r>
      <w:r>
        <w:rPr>
          <w:rFonts w:ascii="Times New Roman" w:hAnsi="Times New Roman"/>
          <w:sz w:val="20"/>
          <w:szCs w:val="20"/>
        </w:rPr>
        <w:t>,</w:t>
      </w:r>
      <w:r w:rsidRPr="00B86B5B">
        <w:rPr>
          <w:rFonts w:ascii="Times New Roman" w:hAnsi="Times New Roman"/>
          <w:sz w:val="20"/>
          <w:szCs w:val="20"/>
        </w:rPr>
        <w:t xml:space="preserve"> and </w:t>
      </w:r>
      <w:r w:rsidR="00845EBD" w:rsidRPr="00B86B5B">
        <w:rPr>
          <w:rFonts w:ascii="Times New Roman" w:hAnsi="Times New Roman"/>
          <w:sz w:val="20"/>
          <w:szCs w:val="20"/>
        </w:rPr>
        <w:t>is</w:t>
      </w:r>
      <w:r w:rsidRPr="00B86B5B">
        <w:rPr>
          <w:rFonts w:ascii="Times New Roman" w:hAnsi="Times New Roman"/>
          <w:sz w:val="20"/>
          <w:szCs w:val="20"/>
        </w:rPr>
        <w:t xml:space="preserve"> discussed in more detail in </w:t>
      </w:r>
      <w:r w:rsidR="00297430">
        <w:rPr>
          <w:rFonts w:ascii="Times New Roman" w:hAnsi="Times New Roman"/>
          <w:i/>
          <w:sz w:val="20"/>
          <w:szCs w:val="20"/>
        </w:rPr>
        <w:t>Chapter</w:t>
      </w:r>
      <w:r w:rsidR="006E228B" w:rsidRPr="00B86B5B">
        <w:rPr>
          <w:rFonts w:ascii="Times New Roman" w:hAnsi="Times New Roman"/>
          <w:i/>
          <w:sz w:val="20"/>
          <w:szCs w:val="20"/>
        </w:rPr>
        <w:t xml:space="preserve"> </w:t>
      </w:r>
      <w:r w:rsidR="006E228B">
        <w:rPr>
          <w:rFonts w:ascii="Times New Roman" w:hAnsi="Times New Roman"/>
          <w:i/>
          <w:sz w:val="20"/>
          <w:szCs w:val="20"/>
        </w:rPr>
        <w:t>7.3</w:t>
      </w:r>
      <w:r w:rsidR="006E228B" w:rsidRPr="00B86B5B">
        <w:rPr>
          <w:rFonts w:ascii="Times New Roman" w:hAnsi="Times New Roman"/>
          <w:i/>
          <w:sz w:val="20"/>
          <w:szCs w:val="20"/>
        </w:rPr>
        <w:t xml:space="preserve">: </w:t>
      </w:r>
      <w:r w:rsidR="006E228B">
        <w:rPr>
          <w:rFonts w:ascii="Times New Roman" w:hAnsi="Times New Roman"/>
          <w:i/>
          <w:sz w:val="20"/>
          <w:szCs w:val="20"/>
        </w:rPr>
        <w:t>Indicators of value</w:t>
      </w:r>
      <w:r w:rsidR="006E228B">
        <w:rPr>
          <w:rFonts w:ascii="Times New Roman" w:hAnsi="Times New Roman"/>
          <w:sz w:val="20"/>
          <w:szCs w:val="20"/>
        </w:rPr>
        <w:t>.</w:t>
      </w:r>
    </w:p>
    <w:p w14:paraId="5072464F" w14:textId="5B563FA9" w:rsidR="00074002" w:rsidRDefault="00BC72D4" w:rsidP="00D05A74">
      <w:pPr>
        <w:pStyle w:val="ListParagraph"/>
        <w:numPr>
          <w:ilvl w:val="0"/>
          <w:numId w:val="15"/>
        </w:numPr>
        <w:spacing w:before="60" w:after="0" w:line="240" w:lineRule="auto"/>
        <w:contextualSpacing w:val="0"/>
        <w:jc w:val="both"/>
        <w:rPr>
          <w:rFonts w:ascii="Times New Roman" w:hAnsi="Times New Roman"/>
          <w:sz w:val="20"/>
          <w:szCs w:val="20"/>
        </w:rPr>
      </w:pPr>
      <w:r>
        <w:rPr>
          <w:rFonts w:ascii="Times New Roman" w:hAnsi="Times New Roman"/>
          <w:sz w:val="20"/>
          <w:szCs w:val="20"/>
        </w:rPr>
        <w:lastRenderedPageBreak/>
        <w:t>The in principal methodology used to calculate electricity consumption was the same in both studies, however the knowledge</w:t>
      </w:r>
      <w:r w:rsidR="00845EBD">
        <w:rPr>
          <w:rFonts w:ascii="Times New Roman" w:hAnsi="Times New Roman"/>
          <w:sz w:val="20"/>
          <w:szCs w:val="20"/>
        </w:rPr>
        <w:t xml:space="preserve"> and </w:t>
      </w:r>
      <w:r>
        <w:rPr>
          <w:rFonts w:ascii="Times New Roman" w:hAnsi="Times New Roman"/>
          <w:sz w:val="20"/>
          <w:szCs w:val="20"/>
        </w:rPr>
        <w:t>available research material (i.e. Australian government regulators and international agencies) has improved the co</w:t>
      </w:r>
      <w:r w:rsidR="00845EBD">
        <w:rPr>
          <w:rFonts w:ascii="Times New Roman" w:hAnsi="Times New Roman"/>
          <w:sz w:val="20"/>
          <w:szCs w:val="20"/>
        </w:rPr>
        <w:t>nfidence level of this measure and expanded product scope.</w:t>
      </w:r>
    </w:p>
    <w:p w14:paraId="6BE6766B" w14:textId="46D522A2" w:rsidR="00B86B5B" w:rsidRDefault="00845EBD" w:rsidP="00D05A74">
      <w:pPr>
        <w:pStyle w:val="ListParagraph"/>
        <w:numPr>
          <w:ilvl w:val="0"/>
          <w:numId w:val="15"/>
        </w:numPr>
        <w:spacing w:before="60" w:after="0" w:line="240" w:lineRule="auto"/>
        <w:contextualSpacing w:val="0"/>
        <w:jc w:val="both"/>
        <w:rPr>
          <w:rFonts w:ascii="Times New Roman" w:hAnsi="Times New Roman"/>
          <w:sz w:val="20"/>
          <w:szCs w:val="20"/>
        </w:rPr>
      </w:pPr>
      <w:r>
        <w:rPr>
          <w:rFonts w:ascii="Times New Roman" w:hAnsi="Times New Roman"/>
          <w:sz w:val="20"/>
          <w:szCs w:val="20"/>
        </w:rPr>
        <w:t xml:space="preserve">The indirect emission factors for the two studies were different in that CHF1 used </w:t>
      </w:r>
      <w:r w:rsidR="00074002" w:rsidRPr="00074002">
        <w:rPr>
          <w:rFonts w:ascii="Times New Roman" w:hAnsi="Times New Roman"/>
          <w:sz w:val="20"/>
          <w:szCs w:val="20"/>
        </w:rPr>
        <w:t>a generous emissions factor of 0.893 kg CO</w:t>
      </w:r>
      <w:r w:rsidR="00074002" w:rsidRPr="00845EBD">
        <w:rPr>
          <w:rFonts w:ascii="Times New Roman" w:hAnsi="Times New Roman"/>
          <w:sz w:val="20"/>
          <w:szCs w:val="20"/>
          <w:vertAlign w:val="subscript"/>
        </w:rPr>
        <w:t>2</w:t>
      </w:r>
      <w:r w:rsidR="00074002" w:rsidRPr="00074002">
        <w:rPr>
          <w:rFonts w:ascii="Times New Roman" w:hAnsi="Times New Roman"/>
          <w:sz w:val="20"/>
          <w:szCs w:val="20"/>
        </w:rPr>
        <w:t>-e/kWh, which was the value for NSW whereas CHF2 uses 0.914 kg CO</w:t>
      </w:r>
      <w:r w:rsidR="00074002" w:rsidRPr="00845EBD">
        <w:rPr>
          <w:rFonts w:ascii="Times New Roman" w:hAnsi="Times New Roman"/>
          <w:sz w:val="20"/>
          <w:szCs w:val="20"/>
          <w:vertAlign w:val="subscript"/>
        </w:rPr>
        <w:t>2</w:t>
      </w:r>
      <w:r w:rsidR="00074002" w:rsidRPr="00074002">
        <w:rPr>
          <w:rFonts w:ascii="Times New Roman" w:hAnsi="Times New Roman"/>
          <w:sz w:val="20"/>
          <w:szCs w:val="20"/>
        </w:rPr>
        <w:t>-e/kWh which is a population based weighted average of scope 2 emission factors for electricity consumption purchased from the grid. Reported in CHF1 merely as ‘Emissions’, it was based only on the indirect emissions that would result from the calculated electricity consumption. As a result the CHF2 value used for comparison here is only the indirect emissions as a result of electricity consumption and does not include calculated direct emissions from the working bank, or EOL emissions.</w:t>
      </w:r>
    </w:p>
    <w:p w14:paraId="0AAA0B58" w14:textId="7E21D75D" w:rsidR="00757D4E" w:rsidRDefault="00757D4E" w:rsidP="00D05A74">
      <w:pPr>
        <w:pStyle w:val="ListParagraph"/>
        <w:numPr>
          <w:ilvl w:val="0"/>
          <w:numId w:val="15"/>
        </w:numPr>
        <w:spacing w:before="60" w:after="0" w:line="240" w:lineRule="auto"/>
        <w:contextualSpacing w:val="0"/>
        <w:jc w:val="both"/>
        <w:rPr>
          <w:rFonts w:ascii="Times New Roman" w:hAnsi="Times New Roman"/>
          <w:sz w:val="20"/>
          <w:szCs w:val="20"/>
        </w:rPr>
      </w:pPr>
      <w:r w:rsidRPr="00757D4E">
        <w:rPr>
          <w:rFonts w:ascii="Times New Roman" w:hAnsi="Times New Roman"/>
          <w:sz w:val="20"/>
          <w:szCs w:val="20"/>
        </w:rPr>
        <w:t>Whil</w:t>
      </w:r>
      <w:r w:rsidR="003D10FF">
        <w:rPr>
          <w:rFonts w:ascii="Times New Roman" w:hAnsi="Times New Roman"/>
          <w:sz w:val="20"/>
          <w:szCs w:val="20"/>
        </w:rPr>
        <w:t>e</w:t>
      </w:r>
      <w:r w:rsidRPr="00757D4E">
        <w:rPr>
          <w:rFonts w:ascii="Times New Roman" w:hAnsi="Times New Roman"/>
          <w:sz w:val="20"/>
          <w:szCs w:val="20"/>
        </w:rPr>
        <w:t xml:space="preserve"> it is interesting to compare the </w:t>
      </w:r>
      <w:r>
        <w:rPr>
          <w:rFonts w:ascii="Times New Roman" w:hAnsi="Times New Roman"/>
          <w:sz w:val="20"/>
          <w:szCs w:val="20"/>
        </w:rPr>
        <w:t xml:space="preserve">sizes of the refrigerant bank </w:t>
      </w:r>
      <w:r w:rsidRPr="00757D4E">
        <w:rPr>
          <w:rFonts w:ascii="Times New Roman" w:hAnsi="Times New Roman"/>
          <w:sz w:val="20"/>
          <w:szCs w:val="20"/>
        </w:rPr>
        <w:t xml:space="preserve">from CHF1 to CHF2, caution should be taken when comparing a percentage change between the two studies </w:t>
      </w:r>
      <w:r>
        <w:rPr>
          <w:rFonts w:ascii="Times New Roman" w:hAnsi="Times New Roman"/>
          <w:sz w:val="20"/>
          <w:szCs w:val="20"/>
        </w:rPr>
        <w:t xml:space="preserve">as the scope of product categories and stock estimates have been significantly refined over the last six years. </w:t>
      </w:r>
    </w:p>
    <w:p w14:paraId="17E57AC6" w14:textId="3AEE3E45" w:rsidR="002C099A" w:rsidRPr="00757D4E" w:rsidRDefault="002C099A" w:rsidP="00D05A74">
      <w:pPr>
        <w:pStyle w:val="ListParagraph"/>
        <w:numPr>
          <w:ilvl w:val="0"/>
          <w:numId w:val="15"/>
        </w:numPr>
        <w:spacing w:before="60" w:after="0" w:line="240" w:lineRule="auto"/>
        <w:contextualSpacing w:val="0"/>
        <w:jc w:val="both"/>
        <w:rPr>
          <w:rFonts w:ascii="Times New Roman" w:hAnsi="Times New Roman"/>
          <w:sz w:val="20"/>
          <w:szCs w:val="20"/>
        </w:rPr>
      </w:pPr>
      <w:r w:rsidRPr="00757D4E">
        <w:rPr>
          <w:rFonts w:ascii="Times New Roman" w:hAnsi="Times New Roman"/>
          <w:sz w:val="20"/>
          <w:szCs w:val="20"/>
        </w:rPr>
        <w:t xml:space="preserve">Direct emissions </w:t>
      </w:r>
      <w:r w:rsidR="00757D4E" w:rsidRPr="00757D4E">
        <w:rPr>
          <w:rFonts w:ascii="Times New Roman" w:hAnsi="Times New Roman"/>
          <w:sz w:val="20"/>
          <w:szCs w:val="20"/>
        </w:rPr>
        <w:t>were not calculated or quoted as not part of CHF1. Direct emissions were calculated based on CHF1 inventories in a later study by the authors of this study (ES 2007). This study used the same methodology and direct emission factors as used in CHF2.</w:t>
      </w:r>
    </w:p>
    <w:p w14:paraId="78F72E84" w14:textId="46619EEE" w:rsidR="00786419" w:rsidRPr="00272E7C" w:rsidRDefault="00EF293B" w:rsidP="00D05A74">
      <w:pPr>
        <w:pStyle w:val="ListParagraph"/>
        <w:numPr>
          <w:ilvl w:val="0"/>
          <w:numId w:val="15"/>
        </w:numPr>
        <w:spacing w:before="60" w:after="0" w:line="240" w:lineRule="auto"/>
        <w:contextualSpacing w:val="0"/>
        <w:jc w:val="both"/>
        <w:rPr>
          <w:rFonts w:ascii="Times New Roman" w:hAnsi="Times New Roman"/>
          <w:sz w:val="20"/>
          <w:szCs w:val="20"/>
        </w:rPr>
      </w:pPr>
      <w:r w:rsidRPr="00EF293B">
        <w:rPr>
          <w:rFonts w:ascii="Times New Roman" w:hAnsi="Times New Roman"/>
          <w:sz w:val="20"/>
          <w:szCs w:val="20"/>
        </w:rPr>
        <w:t xml:space="preserve">Domestic </w:t>
      </w:r>
      <w:r>
        <w:rPr>
          <w:rFonts w:ascii="Times New Roman" w:hAnsi="Times New Roman"/>
          <w:sz w:val="20"/>
          <w:szCs w:val="20"/>
        </w:rPr>
        <w:t>r</w:t>
      </w:r>
      <w:r w:rsidRPr="00EF293B">
        <w:rPr>
          <w:rFonts w:ascii="Times New Roman" w:hAnsi="Times New Roman"/>
          <w:sz w:val="20"/>
          <w:szCs w:val="20"/>
        </w:rPr>
        <w:t xml:space="preserve">efrigerators and </w:t>
      </w:r>
      <w:r>
        <w:rPr>
          <w:rFonts w:ascii="Times New Roman" w:hAnsi="Times New Roman"/>
          <w:sz w:val="20"/>
          <w:szCs w:val="20"/>
        </w:rPr>
        <w:t>f</w:t>
      </w:r>
      <w:r w:rsidRPr="00EF293B">
        <w:rPr>
          <w:rFonts w:ascii="Times New Roman" w:hAnsi="Times New Roman"/>
          <w:sz w:val="20"/>
          <w:szCs w:val="20"/>
        </w:rPr>
        <w:t xml:space="preserve">reezers </w:t>
      </w:r>
      <w:r>
        <w:rPr>
          <w:rFonts w:ascii="Times New Roman" w:hAnsi="Times New Roman"/>
          <w:sz w:val="20"/>
          <w:szCs w:val="20"/>
        </w:rPr>
        <w:t xml:space="preserve">stock growth </w:t>
      </w:r>
      <w:r w:rsidRPr="00EF293B">
        <w:rPr>
          <w:rFonts w:ascii="Times New Roman" w:hAnsi="Times New Roman"/>
          <w:sz w:val="20"/>
          <w:szCs w:val="20"/>
        </w:rPr>
        <w:t xml:space="preserve">equates to an annualised growth rate of around </w:t>
      </w:r>
      <w:r>
        <w:rPr>
          <w:rFonts w:ascii="Times New Roman" w:hAnsi="Times New Roman"/>
          <w:sz w:val="20"/>
          <w:szCs w:val="20"/>
        </w:rPr>
        <w:t>4.5 per cent, which is higher than GDP growth. The historical data in this product segments is very sound, and variations in total stock value will mostly depend on assumptions about mean and standard deviation lifespans</w:t>
      </w:r>
      <w:r w:rsidR="00272E7C">
        <w:rPr>
          <w:rFonts w:ascii="Times New Roman" w:hAnsi="Times New Roman"/>
          <w:sz w:val="20"/>
          <w:szCs w:val="20"/>
        </w:rPr>
        <w:t xml:space="preserve"> (</w:t>
      </w:r>
      <w:r w:rsidR="00D84277" w:rsidRPr="00D84277">
        <w:rPr>
          <w:rFonts w:ascii="Times New Roman" w:hAnsi="Times New Roman"/>
          <w:sz w:val="20"/>
          <w:szCs w:val="20"/>
        </w:rPr>
        <w:t>DSEWPaC 2013b</w:t>
      </w:r>
      <w:r w:rsidR="00D84277">
        <w:rPr>
          <w:rFonts w:ascii="Times New Roman" w:hAnsi="Times New Roman"/>
          <w:sz w:val="20"/>
          <w:szCs w:val="20"/>
        </w:rPr>
        <w:t>,</w:t>
      </w:r>
      <w:r w:rsidR="00D84277" w:rsidRPr="00D84277">
        <w:rPr>
          <w:rFonts w:ascii="Times New Roman" w:hAnsi="Times New Roman"/>
          <w:sz w:val="20"/>
          <w:szCs w:val="20"/>
        </w:rPr>
        <w:t xml:space="preserve"> </w:t>
      </w:r>
      <w:r w:rsidR="00272E7C" w:rsidRPr="00272E7C">
        <w:rPr>
          <w:rFonts w:ascii="Times New Roman" w:hAnsi="Times New Roman"/>
          <w:sz w:val="20"/>
          <w:szCs w:val="20"/>
        </w:rPr>
        <w:t>E3 2011</w:t>
      </w:r>
      <w:r w:rsidR="00272E7C">
        <w:rPr>
          <w:rFonts w:ascii="Times New Roman" w:hAnsi="Times New Roman"/>
          <w:sz w:val="20"/>
          <w:szCs w:val="20"/>
        </w:rPr>
        <w:t xml:space="preserve">, </w:t>
      </w:r>
      <w:r w:rsidR="00D84277" w:rsidRPr="00D84277">
        <w:rPr>
          <w:rFonts w:ascii="Times New Roman" w:hAnsi="Times New Roman"/>
          <w:sz w:val="20"/>
          <w:szCs w:val="20"/>
        </w:rPr>
        <w:t>DSEWPaC 2011</w:t>
      </w:r>
      <w:r w:rsidR="00D84277">
        <w:rPr>
          <w:rFonts w:ascii="Times New Roman" w:hAnsi="Times New Roman"/>
          <w:sz w:val="20"/>
          <w:szCs w:val="20"/>
        </w:rPr>
        <w:t xml:space="preserve">, </w:t>
      </w:r>
      <w:r w:rsidR="00272E7C" w:rsidRPr="00272E7C">
        <w:rPr>
          <w:rFonts w:ascii="Times New Roman" w:hAnsi="Times New Roman"/>
          <w:sz w:val="20"/>
          <w:szCs w:val="20"/>
        </w:rPr>
        <w:t>E3 2010b</w:t>
      </w:r>
      <w:r w:rsidR="00CF7E35">
        <w:rPr>
          <w:rFonts w:ascii="Times New Roman" w:hAnsi="Times New Roman"/>
          <w:sz w:val="20"/>
          <w:szCs w:val="20"/>
        </w:rPr>
        <w:t xml:space="preserve">, </w:t>
      </w:r>
      <w:r w:rsidR="00272E7C">
        <w:rPr>
          <w:rFonts w:ascii="Times New Roman" w:hAnsi="Times New Roman"/>
          <w:sz w:val="20"/>
          <w:szCs w:val="20"/>
        </w:rPr>
        <w:t>E3 2010c</w:t>
      </w:r>
      <w:r w:rsidR="00CF7E35">
        <w:rPr>
          <w:rFonts w:ascii="Times New Roman" w:hAnsi="Times New Roman"/>
          <w:sz w:val="20"/>
          <w:szCs w:val="20"/>
        </w:rPr>
        <w:t xml:space="preserve"> and E3 2008d</w:t>
      </w:r>
      <w:r w:rsidR="00272E7C">
        <w:rPr>
          <w:rFonts w:ascii="Times New Roman" w:hAnsi="Times New Roman"/>
          <w:sz w:val="20"/>
          <w:szCs w:val="20"/>
        </w:rPr>
        <w:t>)</w:t>
      </w:r>
      <w:r>
        <w:rPr>
          <w:rFonts w:ascii="Times New Roman" w:hAnsi="Times New Roman"/>
          <w:sz w:val="20"/>
          <w:szCs w:val="20"/>
        </w:rPr>
        <w:t xml:space="preserve">. The growth rate higher than GDP can be explained by several factors; domestic refrigerators often migrate into the garage as a second refrigerator rather than being </w:t>
      </w:r>
      <w:r w:rsidR="00786419">
        <w:rPr>
          <w:rFonts w:ascii="Times New Roman" w:hAnsi="Times New Roman"/>
          <w:sz w:val="20"/>
          <w:szCs w:val="20"/>
        </w:rPr>
        <w:t xml:space="preserve">retired; </w:t>
      </w:r>
      <w:r>
        <w:rPr>
          <w:rFonts w:ascii="Times New Roman" w:hAnsi="Times New Roman"/>
          <w:sz w:val="20"/>
          <w:szCs w:val="20"/>
        </w:rPr>
        <w:t xml:space="preserve">the emergence of portable refrigerators and the inclusion </w:t>
      </w:r>
      <w:r w:rsidR="00786419">
        <w:rPr>
          <w:rFonts w:ascii="Times New Roman" w:hAnsi="Times New Roman"/>
          <w:sz w:val="20"/>
          <w:szCs w:val="20"/>
        </w:rPr>
        <w:t>of these devices in this product category and lower consumer prices</w:t>
      </w:r>
      <w:r w:rsidR="00272E7C">
        <w:rPr>
          <w:rFonts w:ascii="Times New Roman" w:hAnsi="Times New Roman"/>
          <w:sz w:val="20"/>
          <w:szCs w:val="20"/>
        </w:rPr>
        <w:t xml:space="preserve">. </w:t>
      </w:r>
    </w:p>
    <w:p w14:paraId="036983BA" w14:textId="6CFEC01B" w:rsidR="00532907" w:rsidRDefault="00532907" w:rsidP="00D05A74">
      <w:pPr>
        <w:pStyle w:val="ListParagraph"/>
        <w:numPr>
          <w:ilvl w:val="0"/>
          <w:numId w:val="15"/>
        </w:numPr>
        <w:spacing w:before="60" w:after="0" w:line="240" w:lineRule="auto"/>
        <w:contextualSpacing w:val="0"/>
        <w:jc w:val="both"/>
        <w:rPr>
          <w:rFonts w:ascii="Times New Roman" w:hAnsi="Times New Roman"/>
          <w:sz w:val="20"/>
          <w:szCs w:val="20"/>
        </w:rPr>
      </w:pPr>
      <w:r>
        <w:rPr>
          <w:rFonts w:ascii="Times New Roman" w:hAnsi="Times New Roman"/>
          <w:sz w:val="20"/>
          <w:szCs w:val="20"/>
        </w:rPr>
        <w:t>The d</w:t>
      </w:r>
      <w:r w:rsidRPr="00532907">
        <w:rPr>
          <w:rFonts w:ascii="Times New Roman" w:hAnsi="Times New Roman"/>
          <w:sz w:val="20"/>
          <w:szCs w:val="20"/>
        </w:rPr>
        <w:t xml:space="preserve">omestic and </w:t>
      </w:r>
      <w:r>
        <w:rPr>
          <w:rFonts w:ascii="Times New Roman" w:hAnsi="Times New Roman"/>
          <w:sz w:val="20"/>
          <w:szCs w:val="20"/>
        </w:rPr>
        <w:t>light c</w:t>
      </w:r>
      <w:r w:rsidRPr="00532907">
        <w:rPr>
          <w:rFonts w:ascii="Times New Roman" w:hAnsi="Times New Roman"/>
          <w:sz w:val="20"/>
          <w:szCs w:val="20"/>
        </w:rPr>
        <w:t xml:space="preserve">ommercial </w:t>
      </w:r>
      <w:r>
        <w:rPr>
          <w:rFonts w:ascii="Times New Roman" w:hAnsi="Times New Roman"/>
          <w:sz w:val="20"/>
          <w:szCs w:val="20"/>
        </w:rPr>
        <w:t>a</w:t>
      </w:r>
      <w:r w:rsidRPr="00532907">
        <w:rPr>
          <w:rFonts w:ascii="Times New Roman" w:hAnsi="Times New Roman"/>
          <w:sz w:val="20"/>
          <w:szCs w:val="20"/>
        </w:rPr>
        <w:t>ir conditioning</w:t>
      </w:r>
      <w:r>
        <w:rPr>
          <w:rFonts w:ascii="Times New Roman" w:hAnsi="Times New Roman"/>
          <w:sz w:val="20"/>
          <w:szCs w:val="20"/>
        </w:rPr>
        <w:t xml:space="preserve"> product categories for </w:t>
      </w:r>
      <w:r w:rsidRPr="00532907">
        <w:rPr>
          <w:rFonts w:ascii="Times New Roman" w:hAnsi="Times New Roman"/>
          <w:sz w:val="20"/>
          <w:szCs w:val="20"/>
        </w:rPr>
        <w:t xml:space="preserve">CHF1 and the CHF2 calculation are </w:t>
      </w:r>
      <w:r>
        <w:rPr>
          <w:rFonts w:ascii="Times New Roman" w:hAnsi="Times New Roman"/>
          <w:sz w:val="20"/>
          <w:szCs w:val="20"/>
        </w:rPr>
        <w:t xml:space="preserve">essentially </w:t>
      </w:r>
      <w:r w:rsidRPr="00532907">
        <w:rPr>
          <w:rFonts w:ascii="Times New Roman" w:hAnsi="Times New Roman"/>
          <w:sz w:val="20"/>
          <w:szCs w:val="20"/>
        </w:rPr>
        <w:t>based on the same components, which includes AC1, AC2, AC3 and AC6. However one change to the underlying assumptions has inflated the 2012 number by 782,000 units. In calculating retirement rates the average life of equipment in product categories AC1 and AC2 has been increased to from 10 years to 12 years. This change reflects industry reports and experience with these product categories. Even with the change to retirements, given the known imports and sales data, the doubling of the installed base of these equipment categories in the past 6 years is primarily due to new equipment and is a very robust figure. Notably the CHF2 stock model includes more than a million devices that use refrigerant gases that were only just emerging onto the market in 2006 and had insignificant volumes at that time. These include portable air conditioning 0-10kWr (AC4, 606,000 units in 2012), light commercial ‘variable refrigerant volume’ multi head systems (AC6-2, 276,000 units in 2012), light commercial hot water heat pump units (AC6-4, 1000 units) light commercial pool heat pumps (AC6-5, 28,000 units) domestic hot water heat pump systems (AC7, 170,000 units)</w:t>
      </w:r>
      <w:r w:rsidR="00CF7E35">
        <w:rPr>
          <w:rFonts w:ascii="Times New Roman" w:hAnsi="Times New Roman"/>
          <w:sz w:val="20"/>
          <w:szCs w:val="20"/>
        </w:rPr>
        <w:t>,</w:t>
      </w:r>
      <w:r w:rsidR="00272E7C">
        <w:rPr>
          <w:rFonts w:ascii="Times New Roman" w:hAnsi="Times New Roman"/>
          <w:sz w:val="20"/>
          <w:szCs w:val="20"/>
        </w:rPr>
        <w:t xml:space="preserve"> (</w:t>
      </w:r>
      <w:r w:rsidR="00D84277" w:rsidRPr="00D84277">
        <w:rPr>
          <w:rFonts w:ascii="Times New Roman" w:hAnsi="Times New Roman"/>
          <w:sz w:val="20"/>
          <w:szCs w:val="20"/>
        </w:rPr>
        <w:t>DSEWPaC 2013b</w:t>
      </w:r>
      <w:r w:rsidR="00D84277">
        <w:rPr>
          <w:rFonts w:ascii="Times New Roman" w:hAnsi="Times New Roman"/>
          <w:sz w:val="20"/>
          <w:szCs w:val="20"/>
        </w:rPr>
        <w:t>,</w:t>
      </w:r>
      <w:r w:rsidR="00D84277" w:rsidRPr="00D84277">
        <w:rPr>
          <w:rFonts w:ascii="Times New Roman" w:hAnsi="Times New Roman"/>
          <w:sz w:val="20"/>
          <w:szCs w:val="20"/>
        </w:rPr>
        <w:t xml:space="preserve"> </w:t>
      </w:r>
      <w:r w:rsidR="00CF7E35">
        <w:rPr>
          <w:rFonts w:ascii="Times New Roman" w:hAnsi="Times New Roman"/>
          <w:sz w:val="20"/>
          <w:szCs w:val="20"/>
        </w:rPr>
        <w:t xml:space="preserve">E3 2012, </w:t>
      </w:r>
      <w:r w:rsidR="00D84277" w:rsidRPr="00D84277">
        <w:rPr>
          <w:rFonts w:ascii="Times New Roman" w:hAnsi="Times New Roman"/>
          <w:sz w:val="20"/>
          <w:szCs w:val="20"/>
        </w:rPr>
        <w:t>DSEWPaC 2011</w:t>
      </w:r>
      <w:r w:rsidR="00D84277">
        <w:rPr>
          <w:rFonts w:ascii="Times New Roman" w:hAnsi="Times New Roman"/>
          <w:sz w:val="20"/>
          <w:szCs w:val="20"/>
        </w:rPr>
        <w:t xml:space="preserve">, </w:t>
      </w:r>
      <w:r w:rsidR="00D84277" w:rsidRPr="00D84277">
        <w:rPr>
          <w:rFonts w:ascii="Times New Roman" w:hAnsi="Times New Roman"/>
          <w:sz w:val="20"/>
          <w:szCs w:val="20"/>
        </w:rPr>
        <w:t>IEA 2011</w:t>
      </w:r>
      <w:r w:rsidR="00D84277">
        <w:rPr>
          <w:rFonts w:ascii="Times New Roman" w:hAnsi="Times New Roman"/>
          <w:sz w:val="20"/>
          <w:szCs w:val="20"/>
        </w:rPr>
        <w:t xml:space="preserve">, </w:t>
      </w:r>
      <w:r w:rsidR="00CF7E35">
        <w:rPr>
          <w:rFonts w:ascii="Times New Roman" w:hAnsi="Times New Roman"/>
          <w:sz w:val="20"/>
          <w:szCs w:val="20"/>
        </w:rPr>
        <w:t>E3 2009b and E3 2008a).</w:t>
      </w:r>
    </w:p>
    <w:p w14:paraId="00A15AC9" w14:textId="653C45C5" w:rsidR="00532907" w:rsidRDefault="00532907" w:rsidP="00D05A74">
      <w:pPr>
        <w:pStyle w:val="ListParagraph"/>
        <w:numPr>
          <w:ilvl w:val="0"/>
          <w:numId w:val="15"/>
        </w:numPr>
        <w:spacing w:before="60" w:after="0" w:line="240" w:lineRule="auto"/>
        <w:contextualSpacing w:val="0"/>
        <w:jc w:val="both"/>
        <w:rPr>
          <w:rFonts w:ascii="Times New Roman" w:hAnsi="Times New Roman"/>
          <w:sz w:val="20"/>
          <w:szCs w:val="20"/>
        </w:rPr>
      </w:pPr>
      <w:r w:rsidRPr="00532907">
        <w:rPr>
          <w:rFonts w:ascii="Times New Roman" w:hAnsi="Times New Roman"/>
          <w:sz w:val="20"/>
          <w:szCs w:val="20"/>
        </w:rPr>
        <w:t xml:space="preserve">Chillers used for space air conditioning equates to an annualised growth of </w:t>
      </w:r>
      <w:r w:rsidR="00272E7C">
        <w:rPr>
          <w:rFonts w:ascii="Times New Roman" w:hAnsi="Times New Roman"/>
          <w:sz w:val="20"/>
          <w:szCs w:val="20"/>
        </w:rPr>
        <w:t xml:space="preserve">around </w:t>
      </w:r>
      <w:r w:rsidRPr="00532907">
        <w:rPr>
          <w:rFonts w:ascii="Times New Roman" w:hAnsi="Times New Roman"/>
          <w:sz w:val="20"/>
          <w:szCs w:val="20"/>
        </w:rPr>
        <w:t>4%</w:t>
      </w:r>
      <w:r w:rsidR="00272E7C">
        <w:rPr>
          <w:rFonts w:ascii="Times New Roman" w:hAnsi="Times New Roman"/>
          <w:sz w:val="20"/>
          <w:szCs w:val="20"/>
        </w:rPr>
        <w:t>. This is higher than expected in this sector, however the confidence levels in the data in this sector has improved since 2006 as a result of the introduction of MEPs in several capacity categories. CHF2 methodology and stock values are generally consistent with the regulatory impact statements and associated research undertaken in this product category (</w:t>
      </w:r>
      <w:r w:rsidR="00D84277" w:rsidRPr="00D84277">
        <w:rPr>
          <w:rFonts w:ascii="Times New Roman" w:hAnsi="Times New Roman"/>
          <w:sz w:val="20"/>
          <w:szCs w:val="20"/>
        </w:rPr>
        <w:t>DSEWPaC 2011</w:t>
      </w:r>
      <w:r w:rsidR="00D84277">
        <w:rPr>
          <w:rFonts w:ascii="Times New Roman" w:hAnsi="Times New Roman"/>
          <w:sz w:val="20"/>
          <w:szCs w:val="20"/>
        </w:rPr>
        <w:t xml:space="preserve">, </w:t>
      </w:r>
      <w:r w:rsidR="00D84277" w:rsidRPr="00D84277">
        <w:rPr>
          <w:rFonts w:ascii="Times New Roman" w:hAnsi="Times New Roman"/>
          <w:sz w:val="20"/>
          <w:szCs w:val="20"/>
        </w:rPr>
        <w:t>IEA 2011</w:t>
      </w:r>
      <w:r w:rsidR="00D84277">
        <w:rPr>
          <w:rFonts w:ascii="Times New Roman" w:hAnsi="Times New Roman"/>
          <w:sz w:val="20"/>
          <w:szCs w:val="20"/>
        </w:rPr>
        <w:t xml:space="preserve">, </w:t>
      </w:r>
      <w:r w:rsidR="00272E7C" w:rsidRPr="00272E7C">
        <w:rPr>
          <w:rFonts w:ascii="Times New Roman" w:hAnsi="Times New Roman"/>
          <w:sz w:val="20"/>
          <w:szCs w:val="20"/>
        </w:rPr>
        <w:t>E3 2008b</w:t>
      </w:r>
      <w:r w:rsidR="00272E7C">
        <w:rPr>
          <w:rFonts w:ascii="Times New Roman" w:hAnsi="Times New Roman"/>
          <w:sz w:val="20"/>
          <w:szCs w:val="20"/>
        </w:rPr>
        <w:t xml:space="preserve">). </w:t>
      </w:r>
    </w:p>
    <w:p w14:paraId="3EC45F1B" w14:textId="19FB2255" w:rsidR="00840B92" w:rsidRDefault="00840B92" w:rsidP="00D05A74">
      <w:pPr>
        <w:pStyle w:val="ListParagraph"/>
        <w:numPr>
          <w:ilvl w:val="0"/>
          <w:numId w:val="15"/>
        </w:numPr>
        <w:spacing w:before="60" w:after="0" w:line="240" w:lineRule="auto"/>
        <w:contextualSpacing w:val="0"/>
        <w:jc w:val="both"/>
        <w:rPr>
          <w:rFonts w:ascii="Times New Roman" w:hAnsi="Times New Roman"/>
          <w:sz w:val="20"/>
          <w:szCs w:val="20"/>
        </w:rPr>
      </w:pPr>
      <w:r>
        <w:rPr>
          <w:rFonts w:ascii="Times New Roman" w:hAnsi="Times New Roman"/>
          <w:sz w:val="20"/>
          <w:szCs w:val="20"/>
        </w:rPr>
        <w:t xml:space="preserve">Increases </w:t>
      </w:r>
      <w:r w:rsidRPr="00840B92">
        <w:rPr>
          <w:rFonts w:ascii="Times New Roman" w:hAnsi="Times New Roman"/>
          <w:sz w:val="20"/>
          <w:szCs w:val="20"/>
        </w:rPr>
        <w:t>in the volume of cold storage facilities are attributed to an increase in the allowance for hidden cold storage facilities (e.g. attached to factories) that are not members of the R</w:t>
      </w:r>
      <w:r>
        <w:rPr>
          <w:rFonts w:ascii="Times New Roman" w:hAnsi="Times New Roman"/>
          <w:sz w:val="20"/>
          <w:szCs w:val="20"/>
        </w:rPr>
        <w:t xml:space="preserve">efrigerated </w:t>
      </w:r>
      <w:r w:rsidRPr="00840B92">
        <w:rPr>
          <w:rFonts w:ascii="Times New Roman" w:hAnsi="Times New Roman"/>
          <w:sz w:val="20"/>
          <w:szCs w:val="20"/>
        </w:rPr>
        <w:t>W</w:t>
      </w:r>
      <w:r>
        <w:rPr>
          <w:rFonts w:ascii="Times New Roman" w:hAnsi="Times New Roman"/>
          <w:sz w:val="20"/>
          <w:szCs w:val="20"/>
        </w:rPr>
        <w:t xml:space="preserve">arehouse and </w:t>
      </w:r>
      <w:r w:rsidRPr="00840B92">
        <w:rPr>
          <w:rFonts w:ascii="Times New Roman" w:hAnsi="Times New Roman"/>
          <w:sz w:val="20"/>
          <w:szCs w:val="20"/>
        </w:rPr>
        <w:t>T</w:t>
      </w:r>
      <w:r>
        <w:rPr>
          <w:rFonts w:ascii="Times New Roman" w:hAnsi="Times New Roman"/>
          <w:sz w:val="20"/>
          <w:szCs w:val="20"/>
        </w:rPr>
        <w:t xml:space="preserve">ransport </w:t>
      </w:r>
      <w:r w:rsidRPr="00840B92">
        <w:rPr>
          <w:rFonts w:ascii="Times New Roman" w:hAnsi="Times New Roman"/>
          <w:sz w:val="20"/>
          <w:szCs w:val="20"/>
        </w:rPr>
        <w:t>A</w:t>
      </w:r>
      <w:r>
        <w:rPr>
          <w:rFonts w:ascii="Times New Roman" w:hAnsi="Times New Roman"/>
          <w:sz w:val="20"/>
          <w:szCs w:val="20"/>
        </w:rPr>
        <w:t>ssociation</w:t>
      </w:r>
      <w:r w:rsidRPr="00840B92">
        <w:rPr>
          <w:rFonts w:ascii="Times New Roman" w:hAnsi="Times New Roman"/>
          <w:sz w:val="20"/>
          <w:szCs w:val="20"/>
        </w:rPr>
        <w:t>.</w:t>
      </w:r>
      <w:r w:rsidR="00F22973">
        <w:rPr>
          <w:rFonts w:ascii="Times New Roman" w:hAnsi="Times New Roman"/>
          <w:sz w:val="20"/>
          <w:szCs w:val="20"/>
        </w:rPr>
        <w:t xml:space="preserve"> This value </w:t>
      </w:r>
      <w:r w:rsidR="00F22973" w:rsidRPr="00F22973">
        <w:rPr>
          <w:rFonts w:ascii="Times New Roman" w:hAnsi="Times New Roman"/>
          <w:sz w:val="20"/>
          <w:szCs w:val="20"/>
        </w:rPr>
        <w:t>13,050,000 m</w:t>
      </w:r>
      <w:r w:rsidR="00F22973" w:rsidRPr="00F22973">
        <w:rPr>
          <w:rFonts w:ascii="Times New Roman" w:hAnsi="Times New Roman"/>
          <w:sz w:val="20"/>
          <w:szCs w:val="20"/>
          <w:vertAlign w:val="superscript"/>
        </w:rPr>
        <w:t>3</w:t>
      </w:r>
      <w:r w:rsidR="00F22973" w:rsidRPr="00F22973">
        <w:rPr>
          <w:rFonts w:ascii="Times New Roman" w:hAnsi="Times New Roman"/>
          <w:sz w:val="20"/>
          <w:szCs w:val="20"/>
        </w:rPr>
        <w:t xml:space="preserve"> </w:t>
      </w:r>
      <w:r w:rsidR="00F22973">
        <w:rPr>
          <w:rFonts w:ascii="Times New Roman" w:hAnsi="Times New Roman"/>
          <w:sz w:val="20"/>
          <w:szCs w:val="20"/>
        </w:rPr>
        <w:t xml:space="preserve">is for all facilities containing both low and high GWP refrigerants, whereas other values cited in this report of 12,400,000 </w:t>
      </w:r>
      <w:r w:rsidR="00E31659" w:rsidRPr="00F22973">
        <w:rPr>
          <w:rFonts w:ascii="Times New Roman" w:hAnsi="Times New Roman"/>
          <w:sz w:val="20"/>
          <w:szCs w:val="20"/>
        </w:rPr>
        <w:t>m</w:t>
      </w:r>
      <w:r w:rsidR="00E31659" w:rsidRPr="00F22973">
        <w:rPr>
          <w:rFonts w:ascii="Times New Roman" w:hAnsi="Times New Roman"/>
          <w:sz w:val="20"/>
          <w:szCs w:val="20"/>
          <w:vertAlign w:val="superscript"/>
        </w:rPr>
        <w:t>3</w:t>
      </w:r>
      <w:r w:rsidR="00E31659">
        <w:rPr>
          <w:rFonts w:ascii="Times New Roman" w:hAnsi="Times New Roman"/>
          <w:sz w:val="20"/>
          <w:szCs w:val="20"/>
        </w:rPr>
        <w:t xml:space="preserve"> </w:t>
      </w:r>
      <w:r w:rsidR="00F22973">
        <w:rPr>
          <w:rFonts w:ascii="Times New Roman" w:hAnsi="Times New Roman"/>
          <w:sz w:val="20"/>
          <w:szCs w:val="20"/>
        </w:rPr>
        <w:t>are for low GWP refrigerant facilities.</w:t>
      </w:r>
    </w:p>
    <w:p w14:paraId="0635A30B" w14:textId="637F1BF8" w:rsidR="00F87E45" w:rsidRDefault="00F87E45" w:rsidP="00D05A74">
      <w:pPr>
        <w:pStyle w:val="ListParagraph"/>
        <w:numPr>
          <w:ilvl w:val="0"/>
          <w:numId w:val="15"/>
        </w:numPr>
        <w:spacing w:before="60" w:after="0" w:line="240" w:lineRule="auto"/>
        <w:contextualSpacing w:val="0"/>
        <w:jc w:val="both"/>
        <w:rPr>
          <w:rFonts w:ascii="Times New Roman" w:hAnsi="Times New Roman"/>
          <w:sz w:val="20"/>
          <w:szCs w:val="20"/>
        </w:rPr>
      </w:pPr>
      <w:r w:rsidRPr="00F87E45">
        <w:rPr>
          <w:rFonts w:ascii="Times New Roman" w:hAnsi="Times New Roman"/>
          <w:sz w:val="20"/>
          <w:szCs w:val="20"/>
        </w:rPr>
        <w:t>Supermarket and small independent stores equates to an annualised growth rate of around 2.2 per cent. The CHF2 supermarket count has declined as the definition of supermarkets and food retail outlets been refined which now includes 333 large supermarkets (predominantly Coles-Bi Lo and Woolworths-Safeway) with a trading floor ≥ 2,750 m2, 985 medium sized stores with a trading floor between 2,750 and 1,500 m2, and 2,048 small stores (predominantly Aldi, IGA and AUR-Foodland branded) with a trading floor between 1,500 and 400 m2. There are 840 stores (predominantly IGA Friendly Grocer/Eziway, AUR-Foodland branded/un-branded, SPAR) with a trading floor smaller than 400 m2 that have been defined as extra small, plus an additional 5,817 convenience stores (i.e. 7 Eleven, AA Holdings, Apco, BP, Caltex, Coles Express, Independents, Matilda, Mobil, New Sunrise, Night Owl, Reliance, UCB, United including dist</w:t>
      </w:r>
      <w:r>
        <w:rPr>
          <w:rFonts w:ascii="Times New Roman" w:hAnsi="Times New Roman"/>
          <w:sz w:val="20"/>
          <w:szCs w:val="20"/>
        </w:rPr>
        <w:t>ributors and Woolworths Petrol), (</w:t>
      </w:r>
      <w:r w:rsidR="00D84277" w:rsidRPr="00D84277">
        <w:rPr>
          <w:rFonts w:ascii="Times New Roman" w:hAnsi="Times New Roman"/>
          <w:sz w:val="20"/>
          <w:szCs w:val="20"/>
        </w:rPr>
        <w:t>SEWPaC 2011</w:t>
      </w:r>
      <w:r w:rsidR="00D84277">
        <w:rPr>
          <w:rFonts w:ascii="Times New Roman" w:hAnsi="Times New Roman"/>
          <w:sz w:val="20"/>
          <w:szCs w:val="20"/>
        </w:rPr>
        <w:t xml:space="preserve">, </w:t>
      </w:r>
      <w:r>
        <w:rPr>
          <w:rFonts w:ascii="Times New Roman" w:hAnsi="Times New Roman"/>
          <w:sz w:val="20"/>
          <w:szCs w:val="20"/>
        </w:rPr>
        <w:t xml:space="preserve">E3 2009a, </w:t>
      </w:r>
      <w:r w:rsidRPr="00F87E45">
        <w:rPr>
          <w:rFonts w:ascii="Times New Roman" w:hAnsi="Times New Roman"/>
          <w:sz w:val="20"/>
          <w:szCs w:val="20"/>
        </w:rPr>
        <w:t>MC 2012, WF 2013, WOW 2013, Convenience World</w:t>
      </w:r>
      <w:r>
        <w:rPr>
          <w:rFonts w:ascii="Times New Roman" w:hAnsi="Times New Roman"/>
          <w:sz w:val="20"/>
          <w:szCs w:val="20"/>
        </w:rPr>
        <w:t>).</w:t>
      </w:r>
    </w:p>
    <w:p w14:paraId="579E1373" w14:textId="1E60E60B" w:rsidR="00F87E45" w:rsidRDefault="00972A80" w:rsidP="00D05A74">
      <w:pPr>
        <w:pStyle w:val="ListParagraph"/>
        <w:numPr>
          <w:ilvl w:val="0"/>
          <w:numId w:val="15"/>
        </w:numPr>
        <w:spacing w:before="60" w:after="0" w:line="240" w:lineRule="auto"/>
        <w:contextualSpacing w:val="0"/>
        <w:jc w:val="both"/>
        <w:rPr>
          <w:rFonts w:ascii="Times New Roman" w:hAnsi="Times New Roman"/>
          <w:sz w:val="20"/>
          <w:szCs w:val="20"/>
        </w:rPr>
      </w:pPr>
      <w:r w:rsidRPr="00972A80">
        <w:rPr>
          <w:rFonts w:ascii="Times New Roman" w:hAnsi="Times New Roman"/>
          <w:sz w:val="20"/>
          <w:szCs w:val="20"/>
        </w:rPr>
        <w:t xml:space="preserve">Non-domestic refrigeration (self-contained and remote condensing units, RCFC1-1 and RCFC1-2) and walk in coolrooms (RCFC1-4, RCFC1-5, and RCFC1-6) have been compared in one line with the original CHF1 number. Since CHF1 was published, many refrigerated cold food chain categories have been redefined. The aggregate </w:t>
      </w:r>
      <w:r w:rsidRPr="00972A80">
        <w:rPr>
          <w:rFonts w:ascii="Times New Roman" w:hAnsi="Times New Roman"/>
          <w:sz w:val="20"/>
          <w:szCs w:val="20"/>
        </w:rPr>
        <w:lastRenderedPageBreak/>
        <w:t>value of 844,353 self-contained units and coolrooms stated in CHF1 equates to a growth rate of 4 per cent per annum when compared with 1,087,281 including units with remote condensers. Although this is possibly consistent or slightly higher than growth rates experienced in commercial refrigeration, this is still considered a robust, and even slightly conservative number and given what is known of compressor sales, it is possible that non-domestic self-contained refrigerator equipment (RCFC1-1 and RCFC1-2) could still be underesti</w:t>
      </w:r>
      <w:r>
        <w:rPr>
          <w:rFonts w:ascii="Times New Roman" w:hAnsi="Times New Roman"/>
          <w:sz w:val="20"/>
          <w:szCs w:val="20"/>
        </w:rPr>
        <w:t>mated by as much as 10 per cent (</w:t>
      </w:r>
      <w:r w:rsidR="00D84277" w:rsidRPr="00D84277">
        <w:rPr>
          <w:rFonts w:ascii="Times New Roman" w:hAnsi="Times New Roman"/>
          <w:sz w:val="20"/>
          <w:szCs w:val="20"/>
        </w:rPr>
        <w:t>DSEWPaC 2013b</w:t>
      </w:r>
      <w:r w:rsidR="00D84277">
        <w:rPr>
          <w:rFonts w:ascii="Times New Roman" w:hAnsi="Times New Roman"/>
          <w:sz w:val="20"/>
          <w:szCs w:val="20"/>
        </w:rPr>
        <w:t xml:space="preserve">, </w:t>
      </w:r>
      <w:r w:rsidR="00D84277" w:rsidRPr="00D84277">
        <w:rPr>
          <w:rFonts w:ascii="Times New Roman" w:hAnsi="Times New Roman"/>
          <w:sz w:val="20"/>
          <w:szCs w:val="20"/>
        </w:rPr>
        <w:t>DSEWPaC 2011</w:t>
      </w:r>
      <w:r w:rsidR="00D84277">
        <w:rPr>
          <w:rFonts w:ascii="Times New Roman" w:hAnsi="Times New Roman"/>
          <w:sz w:val="20"/>
          <w:szCs w:val="20"/>
        </w:rPr>
        <w:t xml:space="preserve"> and E3 2009a).</w:t>
      </w:r>
    </w:p>
    <w:p w14:paraId="5D771F15" w14:textId="0665EB86" w:rsidR="00D84277" w:rsidRDefault="00D84277" w:rsidP="00D05A74">
      <w:pPr>
        <w:pStyle w:val="ListParagraph"/>
        <w:numPr>
          <w:ilvl w:val="0"/>
          <w:numId w:val="15"/>
        </w:numPr>
        <w:spacing w:before="60" w:after="0" w:line="240" w:lineRule="auto"/>
        <w:contextualSpacing w:val="0"/>
        <w:jc w:val="both"/>
        <w:rPr>
          <w:rFonts w:ascii="Times New Roman" w:hAnsi="Times New Roman"/>
          <w:sz w:val="20"/>
          <w:szCs w:val="20"/>
        </w:rPr>
      </w:pPr>
      <w:r w:rsidRPr="00D84277">
        <w:rPr>
          <w:rFonts w:ascii="Times New Roman" w:hAnsi="Times New Roman"/>
          <w:sz w:val="20"/>
          <w:szCs w:val="20"/>
        </w:rPr>
        <w:t xml:space="preserve">Refrigerated vehicles have seen solid growth over the period from CHF1 to CHF2, at times reported to be as high as 7 per cent per annum. However, a significant factor is the underestimation of the number of smaller off-engine vehicles (RCFC2-3) that were originally estimated in CHF1 at 10,212 </w:t>
      </w:r>
      <w:r>
        <w:rPr>
          <w:rFonts w:ascii="Times New Roman" w:hAnsi="Times New Roman"/>
          <w:sz w:val="20"/>
          <w:szCs w:val="20"/>
        </w:rPr>
        <w:t>and are now estimated at 17,630 (</w:t>
      </w:r>
      <w:r w:rsidRPr="00D84277">
        <w:rPr>
          <w:rFonts w:ascii="Times New Roman" w:hAnsi="Times New Roman"/>
          <w:sz w:val="20"/>
          <w:szCs w:val="20"/>
        </w:rPr>
        <w:t>DSEWPaC 2013b</w:t>
      </w:r>
      <w:r>
        <w:rPr>
          <w:rFonts w:ascii="Times New Roman" w:hAnsi="Times New Roman"/>
          <w:sz w:val="20"/>
          <w:szCs w:val="20"/>
        </w:rPr>
        <w:t xml:space="preserve">, EG 2011, </w:t>
      </w:r>
      <w:r w:rsidRPr="00D84277">
        <w:rPr>
          <w:rFonts w:ascii="Times New Roman" w:hAnsi="Times New Roman"/>
          <w:sz w:val="20"/>
          <w:szCs w:val="20"/>
        </w:rPr>
        <w:t>DSEWPaC 2011</w:t>
      </w:r>
      <w:r>
        <w:rPr>
          <w:rFonts w:ascii="Times New Roman" w:hAnsi="Times New Roman"/>
          <w:sz w:val="20"/>
          <w:szCs w:val="20"/>
        </w:rPr>
        <w:t xml:space="preserve"> and E3 2009a).</w:t>
      </w:r>
    </w:p>
    <w:p w14:paraId="28D4F0E8" w14:textId="0F0917A6" w:rsidR="00B9700F" w:rsidRDefault="00B9700F" w:rsidP="00D05A74">
      <w:pPr>
        <w:pStyle w:val="ListParagraph"/>
        <w:numPr>
          <w:ilvl w:val="0"/>
          <w:numId w:val="15"/>
        </w:numPr>
        <w:spacing w:before="60" w:after="0" w:line="240" w:lineRule="auto"/>
        <w:contextualSpacing w:val="0"/>
        <w:jc w:val="both"/>
        <w:rPr>
          <w:rFonts w:ascii="Times New Roman" w:hAnsi="Times New Roman"/>
          <w:sz w:val="20"/>
          <w:szCs w:val="20"/>
        </w:rPr>
      </w:pPr>
      <w:r w:rsidRPr="00B9700F">
        <w:rPr>
          <w:rFonts w:ascii="Times New Roman" w:hAnsi="Times New Roman"/>
          <w:sz w:val="20"/>
          <w:szCs w:val="20"/>
        </w:rPr>
        <w:t xml:space="preserve">Passenger vehicles equates to an annualised growth rate of around 2.7 per cent, which is consistent with growth rates reported in ABS publications, which is based on sound historical data (i.e. registrations) and a generally consistent methodology over the period </w:t>
      </w:r>
      <w:r>
        <w:rPr>
          <w:rFonts w:ascii="Times New Roman" w:hAnsi="Times New Roman"/>
          <w:sz w:val="20"/>
          <w:szCs w:val="20"/>
        </w:rPr>
        <w:t>(</w:t>
      </w:r>
      <w:r w:rsidRPr="00B9700F">
        <w:rPr>
          <w:rFonts w:ascii="Times New Roman" w:hAnsi="Times New Roman"/>
          <w:sz w:val="20"/>
          <w:szCs w:val="20"/>
        </w:rPr>
        <w:t>ABS 9208.0 2010, ABS 9309.0 2012 and ABS 9314.0 2012</w:t>
      </w:r>
      <w:r>
        <w:rPr>
          <w:rFonts w:ascii="Times New Roman" w:hAnsi="Times New Roman"/>
          <w:sz w:val="20"/>
          <w:szCs w:val="20"/>
        </w:rPr>
        <w:t>).</w:t>
      </w:r>
    </w:p>
    <w:p w14:paraId="6ACDF334" w14:textId="77777777" w:rsidR="00F22973" w:rsidRPr="00F22973" w:rsidRDefault="00F22973" w:rsidP="00F22973">
      <w:pPr>
        <w:spacing w:before="60"/>
        <w:rPr>
          <w:sz w:val="20"/>
          <w:szCs w:val="20"/>
        </w:rPr>
      </w:pPr>
    </w:p>
    <w:p w14:paraId="7D69A820" w14:textId="77777777" w:rsidR="00F22973" w:rsidRDefault="00F22973">
      <w:pPr>
        <w:spacing w:before="0"/>
        <w:jc w:val="left"/>
        <w:rPr>
          <w:rFonts w:asciiTheme="majorHAnsi" w:hAnsiTheme="majorHAnsi"/>
          <w:b/>
          <w:sz w:val="32"/>
          <w:szCs w:val="32"/>
        </w:rPr>
      </w:pPr>
      <w:r>
        <w:rPr>
          <w:rFonts w:asciiTheme="majorHAnsi" w:hAnsiTheme="majorHAnsi"/>
          <w:b/>
          <w:sz w:val="32"/>
          <w:szCs w:val="32"/>
        </w:rPr>
        <w:br w:type="page"/>
      </w:r>
    </w:p>
    <w:p w14:paraId="1428761F" w14:textId="655B5F73" w:rsidR="00922054" w:rsidRDefault="00922054" w:rsidP="00922054">
      <w:pPr>
        <w:spacing w:before="0"/>
        <w:jc w:val="left"/>
        <w:rPr>
          <w:rFonts w:asciiTheme="majorHAnsi" w:hAnsiTheme="majorHAnsi"/>
          <w:b/>
          <w:sz w:val="32"/>
          <w:szCs w:val="32"/>
        </w:rPr>
      </w:pPr>
      <w:r>
        <w:rPr>
          <w:rFonts w:asciiTheme="majorHAnsi" w:hAnsiTheme="majorHAnsi"/>
          <w:b/>
          <w:sz w:val="32"/>
          <w:szCs w:val="32"/>
        </w:rPr>
        <w:lastRenderedPageBreak/>
        <w:t>References</w:t>
      </w:r>
    </w:p>
    <w:p w14:paraId="4CBA7EFD" w14:textId="77777777" w:rsidR="00922054" w:rsidRPr="00922054" w:rsidRDefault="00922054" w:rsidP="00922054">
      <w:pPr>
        <w:spacing w:before="0"/>
        <w:jc w:val="left"/>
        <w:rPr>
          <w:szCs w:val="22"/>
        </w:rPr>
      </w:pPr>
    </w:p>
    <w:tbl>
      <w:tblPr>
        <w:tblW w:w="0" w:type="auto"/>
        <w:tblLayout w:type="fixed"/>
        <w:tblLook w:val="00A0" w:firstRow="1" w:lastRow="0" w:firstColumn="1" w:lastColumn="0" w:noHBand="0" w:noVBand="0"/>
      </w:tblPr>
      <w:tblGrid>
        <w:gridCol w:w="1951"/>
        <w:gridCol w:w="7796"/>
      </w:tblGrid>
      <w:tr w:rsidR="00922054" w:rsidRPr="00D37A89" w14:paraId="0E2189AE" w14:textId="77777777" w:rsidTr="00D37A89">
        <w:trPr>
          <w:trHeight w:val="342"/>
        </w:trPr>
        <w:tc>
          <w:tcPr>
            <w:tcW w:w="1951" w:type="dxa"/>
          </w:tcPr>
          <w:p w14:paraId="3D0918A4" w14:textId="77777777" w:rsidR="00922054" w:rsidRPr="00D37A89" w:rsidRDefault="00922054"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AER 2012</w:t>
            </w:r>
          </w:p>
        </w:tc>
        <w:tc>
          <w:tcPr>
            <w:tcW w:w="7796" w:type="dxa"/>
          </w:tcPr>
          <w:p w14:paraId="210313F6" w14:textId="77777777" w:rsidR="00922054" w:rsidRPr="00D37A89" w:rsidRDefault="00922054"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State of the energy market 2012, Australian Energy Regulator, December 2012.</w:t>
            </w:r>
          </w:p>
        </w:tc>
      </w:tr>
      <w:tr w:rsidR="00922054" w:rsidRPr="00D37A89" w14:paraId="3A6FE314" w14:textId="77777777" w:rsidTr="00D37A89">
        <w:trPr>
          <w:trHeight w:val="342"/>
        </w:trPr>
        <w:tc>
          <w:tcPr>
            <w:tcW w:w="1951" w:type="dxa"/>
          </w:tcPr>
          <w:p w14:paraId="37AB8C5D" w14:textId="3904F905" w:rsidR="00922054" w:rsidRPr="00D37A89" w:rsidRDefault="00A32739" w:rsidP="00D37A89">
            <w:pPr>
              <w:pStyle w:val="BodyText"/>
              <w:spacing w:before="60" w:after="60"/>
              <w:jc w:val="left"/>
              <w:rPr>
                <w:rFonts w:ascii="Times New Roman" w:hAnsi="Times New Roman"/>
                <w:sz w:val="20"/>
                <w:szCs w:val="20"/>
              </w:rPr>
            </w:pPr>
            <w:r>
              <w:rPr>
                <w:rFonts w:ascii="Times New Roman" w:hAnsi="Times New Roman"/>
                <w:sz w:val="20"/>
                <w:szCs w:val="20"/>
              </w:rPr>
              <w:t>ABARES 2012</w:t>
            </w:r>
          </w:p>
        </w:tc>
        <w:tc>
          <w:tcPr>
            <w:tcW w:w="7796" w:type="dxa"/>
          </w:tcPr>
          <w:p w14:paraId="4B348F72" w14:textId="77777777" w:rsidR="00922054" w:rsidRPr="00D37A89" w:rsidRDefault="00922054" w:rsidP="00FA6866">
            <w:pPr>
              <w:spacing w:before="60" w:after="60"/>
              <w:jc w:val="left"/>
              <w:rPr>
                <w:rFonts w:eastAsia="Times New Roman" w:cs="Times New Roman"/>
                <w:sz w:val="20"/>
                <w:szCs w:val="20"/>
              </w:rPr>
            </w:pPr>
            <w:r w:rsidRPr="00D37A89">
              <w:rPr>
                <w:rFonts w:eastAsia="Times New Roman" w:cs="Times New Roman"/>
                <w:sz w:val="20"/>
                <w:szCs w:val="20"/>
              </w:rPr>
              <w:t>Australian Fisheries statistics 2011 by the Australian Bureau of Agricultural and Resource Economics and Sciences, Dec 2012.</w:t>
            </w:r>
          </w:p>
        </w:tc>
      </w:tr>
      <w:tr w:rsidR="00922054" w:rsidRPr="00D37A89" w14:paraId="220BB75A" w14:textId="77777777" w:rsidTr="00D37A89">
        <w:trPr>
          <w:trHeight w:val="342"/>
        </w:trPr>
        <w:tc>
          <w:tcPr>
            <w:tcW w:w="1951" w:type="dxa"/>
          </w:tcPr>
          <w:p w14:paraId="259185B8" w14:textId="5DBE2C2E" w:rsidR="00922054" w:rsidRPr="00D37A89" w:rsidRDefault="00922054"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ABS 3101.0 2012</w:t>
            </w:r>
          </w:p>
        </w:tc>
        <w:tc>
          <w:tcPr>
            <w:tcW w:w="7796" w:type="dxa"/>
          </w:tcPr>
          <w:p w14:paraId="5AC3BBE2" w14:textId="1244968D" w:rsidR="00922054" w:rsidRPr="00D37A89" w:rsidRDefault="00922054" w:rsidP="00FA6866">
            <w:pPr>
              <w:spacing w:before="60" w:after="60"/>
              <w:jc w:val="left"/>
              <w:rPr>
                <w:rFonts w:eastAsia="Times New Roman" w:cs="Times New Roman"/>
                <w:sz w:val="20"/>
                <w:szCs w:val="20"/>
              </w:rPr>
            </w:pPr>
            <w:r w:rsidRPr="00D37A89">
              <w:rPr>
                <w:rFonts w:eastAsia="Times New Roman" w:cs="Times New Roman"/>
                <w:sz w:val="20"/>
                <w:szCs w:val="20"/>
              </w:rPr>
              <w:t>Australian Bureau of Statistics, catalogue 3101.0, Australian Demographic Statistics, Jun 2012.</w:t>
            </w:r>
          </w:p>
        </w:tc>
      </w:tr>
      <w:tr w:rsidR="00922054" w:rsidRPr="00D37A89" w14:paraId="0EF9E11A" w14:textId="77777777" w:rsidTr="00D37A89">
        <w:trPr>
          <w:trHeight w:val="342"/>
        </w:trPr>
        <w:tc>
          <w:tcPr>
            <w:tcW w:w="1951" w:type="dxa"/>
          </w:tcPr>
          <w:p w14:paraId="716747DC" w14:textId="63B1D419" w:rsidR="00922054" w:rsidRPr="00D37A89" w:rsidRDefault="00922054"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ABS 4602.0 2011</w:t>
            </w:r>
          </w:p>
        </w:tc>
        <w:tc>
          <w:tcPr>
            <w:tcW w:w="7796" w:type="dxa"/>
          </w:tcPr>
          <w:p w14:paraId="223CBBB5" w14:textId="77777777" w:rsidR="00922054" w:rsidRPr="00D37A89" w:rsidRDefault="00922054" w:rsidP="00FA6866">
            <w:pPr>
              <w:spacing w:before="60" w:after="60"/>
              <w:jc w:val="left"/>
              <w:rPr>
                <w:rFonts w:eastAsia="Times New Roman" w:cs="Times New Roman"/>
                <w:sz w:val="20"/>
                <w:szCs w:val="20"/>
              </w:rPr>
            </w:pPr>
            <w:r w:rsidRPr="00D37A89">
              <w:rPr>
                <w:rFonts w:eastAsia="Times New Roman" w:cs="Times New Roman"/>
                <w:sz w:val="20"/>
                <w:szCs w:val="20"/>
              </w:rPr>
              <w:t>Australian Bureau of Statistics, catalogue 4602.0, Environmental Issues: Energy Use and Conservation, Mar 2011.</w:t>
            </w:r>
          </w:p>
        </w:tc>
      </w:tr>
      <w:tr w:rsidR="00796716" w:rsidRPr="00D37A89" w14:paraId="23E15D0A" w14:textId="77777777" w:rsidTr="00D37A89">
        <w:trPr>
          <w:trHeight w:val="342"/>
        </w:trPr>
        <w:tc>
          <w:tcPr>
            <w:tcW w:w="1951" w:type="dxa"/>
          </w:tcPr>
          <w:p w14:paraId="7EBA2C43" w14:textId="51E0D620" w:rsidR="00796716" w:rsidRPr="00D37A89" w:rsidRDefault="00796716" w:rsidP="00D37A89">
            <w:pPr>
              <w:pStyle w:val="BodyText"/>
              <w:spacing w:before="60" w:after="60"/>
              <w:jc w:val="left"/>
              <w:rPr>
                <w:rFonts w:ascii="Times New Roman" w:hAnsi="Times New Roman"/>
                <w:sz w:val="20"/>
                <w:szCs w:val="20"/>
              </w:rPr>
            </w:pPr>
            <w:r>
              <w:rPr>
                <w:rFonts w:ascii="Times New Roman" w:hAnsi="Times New Roman"/>
                <w:sz w:val="20"/>
                <w:szCs w:val="20"/>
              </w:rPr>
              <w:t>ABS 5206.0 2012</w:t>
            </w:r>
          </w:p>
        </w:tc>
        <w:tc>
          <w:tcPr>
            <w:tcW w:w="7796" w:type="dxa"/>
          </w:tcPr>
          <w:p w14:paraId="47410172" w14:textId="383E877F" w:rsidR="00796716" w:rsidRPr="00D37A89" w:rsidRDefault="00796716" w:rsidP="00FA6866">
            <w:pPr>
              <w:spacing w:before="60" w:after="60"/>
              <w:jc w:val="left"/>
              <w:rPr>
                <w:rFonts w:eastAsia="Times New Roman" w:cs="Times New Roman"/>
                <w:sz w:val="20"/>
                <w:szCs w:val="20"/>
              </w:rPr>
            </w:pPr>
            <w:r w:rsidRPr="00D37A89">
              <w:rPr>
                <w:rFonts w:eastAsia="Times New Roman" w:cs="Times New Roman"/>
                <w:sz w:val="20"/>
                <w:szCs w:val="20"/>
              </w:rPr>
              <w:t xml:space="preserve">Australian Bureau of Statistics, catalogue </w:t>
            </w:r>
            <w:r w:rsidRPr="00796716">
              <w:rPr>
                <w:rFonts w:eastAsia="Times New Roman" w:cs="Times New Roman"/>
                <w:sz w:val="20"/>
                <w:szCs w:val="20"/>
              </w:rPr>
              <w:t>5206.0 - Australian National Accounts: National Income, Expenditure and Product, Dec 2012</w:t>
            </w:r>
          </w:p>
        </w:tc>
      </w:tr>
      <w:tr w:rsidR="00922054" w:rsidRPr="00D37A89" w14:paraId="6A3E324A" w14:textId="77777777" w:rsidTr="00D37A89">
        <w:trPr>
          <w:trHeight w:val="342"/>
        </w:trPr>
        <w:tc>
          <w:tcPr>
            <w:tcW w:w="1951" w:type="dxa"/>
          </w:tcPr>
          <w:p w14:paraId="233D6DD3" w14:textId="3822B8CC" w:rsidR="00922054" w:rsidRPr="00D37A89" w:rsidRDefault="00922054"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ABS 6202.0 2013</w:t>
            </w:r>
          </w:p>
        </w:tc>
        <w:tc>
          <w:tcPr>
            <w:tcW w:w="7796" w:type="dxa"/>
          </w:tcPr>
          <w:p w14:paraId="06AB0728" w14:textId="77777777" w:rsidR="00922054" w:rsidRPr="00D37A89" w:rsidRDefault="00922054" w:rsidP="00FA6866">
            <w:pPr>
              <w:spacing w:before="60" w:after="60"/>
              <w:jc w:val="left"/>
              <w:rPr>
                <w:rFonts w:eastAsia="Times New Roman" w:cs="Times New Roman"/>
                <w:sz w:val="20"/>
                <w:szCs w:val="20"/>
              </w:rPr>
            </w:pPr>
            <w:r w:rsidRPr="00D37A89">
              <w:rPr>
                <w:rFonts w:eastAsia="Times New Roman" w:cs="Times New Roman"/>
                <w:sz w:val="20"/>
                <w:szCs w:val="20"/>
              </w:rPr>
              <w:t>Australian Bureau of Statistics, catalogue 6202.0, Labour Force in Australia, February 2012.</w:t>
            </w:r>
          </w:p>
        </w:tc>
      </w:tr>
      <w:tr w:rsidR="00922054" w:rsidRPr="00D37A89" w14:paraId="12132FCC" w14:textId="77777777" w:rsidTr="00D37A89">
        <w:trPr>
          <w:trHeight w:val="342"/>
        </w:trPr>
        <w:tc>
          <w:tcPr>
            <w:tcW w:w="1951" w:type="dxa"/>
          </w:tcPr>
          <w:p w14:paraId="6F1C39E4" w14:textId="27182B4D" w:rsidR="00922054" w:rsidRPr="00D37A89" w:rsidRDefault="00922054"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ABS 8165.0 2011</w:t>
            </w:r>
          </w:p>
        </w:tc>
        <w:tc>
          <w:tcPr>
            <w:tcW w:w="7796" w:type="dxa"/>
          </w:tcPr>
          <w:p w14:paraId="28E5C715" w14:textId="77777777" w:rsidR="00922054" w:rsidRPr="00D37A89" w:rsidRDefault="00922054"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Australian Bureau of Statistics, catalogue 8165.0, Counts of Australian Businesses, June 2011.</w:t>
            </w:r>
          </w:p>
        </w:tc>
      </w:tr>
      <w:tr w:rsidR="00922054" w:rsidRPr="00D37A89" w14:paraId="2D83E7C3" w14:textId="77777777" w:rsidTr="00D37A89">
        <w:trPr>
          <w:trHeight w:val="342"/>
        </w:trPr>
        <w:tc>
          <w:tcPr>
            <w:tcW w:w="1951" w:type="dxa"/>
          </w:tcPr>
          <w:p w14:paraId="051D5D4F" w14:textId="6541DD7F" w:rsidR="00922054" w:rsidRPr="00D37A89" w:rsidRDefault="00922054"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ABS 9208.0 2010</w:t>
            </w:r>
          </w:p>
        </w:tc>
        <w:tc>
          <w:tcPr>
            <w:tcW w:w="7796" w:type="dxa"/>
          </w:tcPr>
          <w:p w14:paraId="52915C04" w14:textId="77777777" w:rsidR="00922054" w:rsidRPr="00D37A89" w:rsidRDefault="00922054"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Australian Bureau of Statistics, catalogue 9208.0, Survey of Motor Vehicle Use, October 2010.</w:t>
            </w:r>
          </w:p>
        </w:tc>
      </w:tr>
      <w:tr w:rsidR="00922054" w:rsidRPr="00D37A89" w14:paraId="43B396FA" w14:textId="77777777" w:rsidTr="00D37A89">
        <w:trPr>
          <w:trHeight w:val="342"/>
        </w:trPr>
        <w:tc>
          <w:tcPr>
            <w:tcW w:w="1951" w:type="dxa"/>
          </w:tcPr>
          <w:p w14:paraId="385EE34E" w14:textId="2ADB37A4" w:rsidR="00922054" w:rsidRPr="00D37A89" w:rsidRDefault="00922054"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ABS 9309.0 2012</w:t>
            </w:r>
          </w:p>
        </w:tc>
        <w:tc>
          <w:tcPr>
            <w:tcW w:w="7796" w:type="dxa"/>
          </w:tcPr>
          <w:p w14:paraId="2B42FB68" w14:textId="77777777" w:rsidR="00922054" w:rsidRPr="00D37A89" w:rsidRDefault="00922054"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Australian Bureau of Statistics, catalogue 9309.0, Motor Vehicle Census, Jan 2012.</w:t>
            </w:r>
          </w:p>
        </w:tc>
      </w:tr>
      <w:tr w:rsidR="00922054" w:rsidRPr="00D37A89" w14:paraId="5D409806" w14:textId="77777777" w:rsidTr="00D37A89">
        <w:trPr>
          <w:trHeight w:val="342"/>
        </w:trPr>
        <w:tc>
          <w:tcPr>
            <w:tcW w:w="1951" w:type="dxa"/>
          </w:tcPr>
          <w:p w14:paraId="5BB3D8A0" w14:textId="36F254A3" w:rsidR="00922054" w:rsidRPr="00D37A89" w:rsidRDefault="00922054"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ABS 9314.0 2012</w:t>
            </w:r>
          </w:p>
        </w:tc>
        <w:tc>
          <w:tcPr>
            <w:tcW w:w="7796" w:type="dxa"/>
          </w:tcPr>
          <w:p w14:paraId="1D8A49DE" w14:textId="77777777" w:rsidR="00922054" w:rsidRPr="00D37A89" w:rsidRDefault="00922054"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Australian Bureau of Statistics, catalogue 9314.0, Sales of New Motor Vehicles, Australia, December 2012.</w:t>
            </w:r>
          </w:p>
        </w:tc>
      </w:tr>
      <w:tr w:rsidR="00D34319" w:rsidRPr="00D37A89" w14:paraId="6E171DBE" w14:textId="77777777" w:rsidTr="00D37A89">
        <w:trPr>
          <w:trHeight w:val="342"/>
        </w:trPr>
        <w:tc>
          <w:tcPr>
            <w:tcW w:w="1951" w:type="dxa"/>
          </w:tcPr>
          <w:p w14:paraId="281BAE7F" w14:textId="07DCFA5D" w:rsidR="00D34319" w:rsidRPr="00D37A89" w:rsidRDefault="00D34319" w:rsidP="00D37A89">
            <w:pPr>
              <w:pStyle w:val="BodyText"/>
              <w:spacing w:before="60" w:after="60"/>
              <w:jc w:val="left"/>
              <w:rPr>
                <w:rFonts w:ascii="Times New Roman" w:hAnsi="Times New Roman"/>
                <w:sz w:val="20"/>
                <w:szCs w:val="20"/>
              </w:rPr>
            </w:pPr>
            <w:r>
              <w:rPr>
                <w:rFonts w:ascii="Times New Roman" w:hAnsi="Times New Roman"/>
                <w:sz w:val="20"/>
                <w:szCs w:val="20"/>
              </w:rPr>
              <w:t>AIP 2013</w:t>
            </w:r>
          </w:p>
        </w:tc>
        <w:tc>
          <w:tcPr>
            <w:tcW w:w="7796" w:type="dxa"/>
          </w:tcPr>
          <w:p w14:paraId="490208C4" w14:textId="3BD1941F" w:rsidR="00D34319" w:rsidRPr="00D37A89" w:rsidRDefault="00D34319" w:rsidP="00D34319">
            <w:pPr>
              <w:pStyle w:val="BodyText"/>
              <w:spacing w:before="60" w:after="60"/>
              <w:jc w:val="left"/>
              <w:rPr>
                <w:rFonts w:ascii="Times New Roman" w:hAnsi="Times New Roman"/>
                <w:sz w:val="20"/>
                <w:szCs w:val="20"/>
              </w:rPr>
            </w:pPr>
            <w:r>
              <w:rPr>
                <w:rFonts w:ascii="Times New Roman" w:hAnsi="Times New Roman"/>
                <w:sz w:val="20"/>
                <w:szCs w:val="20"/>
              </w:rPr>
              <w:t xml:space="preserve">Data available online for petrol and diesel prices in April 2013, Australian Institute of Petroleum, 2013. </w:t>
            </w:r>
          </w:p>
        </w:tc>
      </w:tr>
      <w:tr w:rsidR="00922054" w:rsidRPr="00D37A89" w14:paraId="4B952605" w14:textId="77777777" w:rsidTr="00D37A89">
        <w:trPr>
          <w:trHeight w:val="342"/>
        </w:trPr>
        <w:tc>
          <w:tcPr>
            <w:tcW w:w="1951" w:type="dxa"/>
          </w:tcPr>
          <w:p w14:paraId="1214F7DF" w14:textId="77777777" w:rsidR="00922054" w:rsidRPr="00D37A89" w:rsidRDefault="00922054"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AMSA 2013</w:t>
            </w:r>
          </w:p>
        </w:tc>
        <w:tc>
          <w:tcPr>
            <w:tcW w:w="7796" w:type="dxa"/>
          </w:tcPr>
          <w:p w14:paraId="4975E9BF" w14:textId="77777777" w:rsidR="00922054" w:rsidRPr="00D37A89" w:rsidRDefault="00922054"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Registrar of Ships, Ship Inspection and Registration Division, Ship Safety Division, Australian Maritime Safety Authority, 2013.</w:t>
            </w:r>
          </w:p>
        </w:tc>
      </w:tr>
      <w:tr w:rsidR="00922054" w:rsidRPr="00D37A89" w14:paraId="4882B7D2" w14:textId="77777777" w:rsidTr="00D37A89">
        <w:trPr>
          <w:trHeight w:val="342"/>
        </w:trPr>
        <w:tc>
          <w:tcPr>
            <w:tcW w:w="1951" w:type="dxa"/>
          </w:tcPr>
          <w:p w14:paraId="33E05B4B" w14:textId="77777777" w:rsidR="00922054" w:rsidRPr="00D37A89" w:rsidRDefault="00922054"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ANSI/ASHRAE 34 2010</w:t>
            </w:r>
          </w:p>
        </w:tc>
        <w:tc>
          <w:tcPr>
            <w:tcW w:w="7796" w:type="dxa"/>
          </w:tcPr>
          <w:p w14:paraId="411B1F0B" w14:textId="77777777" w:rsidR="00922054" w:rsidRPr="00D37A89" w:rsidRDefault="00922054"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ANSI/ASHRAE 34-2010, Designation and Safety Classification of Refrigerant, which is published on the ASHRAE website.</w:t>
            </w:r>
          </w:p>
        </w:tc>
      </w:tr>
      <w:tr w:rsidR="00FB1B3B" w:rsidRPr="00D37A89" w14:paraId="3FE2506A" w14:textId="77777777" w:rsidTr="00D37A89">
        <w:trPr>
          <w:trHeight w:val="342"/>
        </w:trPr>
        <w:tc>
          <w:tcPr>
            <w:tcW w:w="1951" w:type="dxa"/>
          </w:tcPr>
          <w:p w14:paraId="04C8BF9A" w14:textId="7D6E22D0" w:rsidR="00FB1B3B" w:rsidRPr="00D37A89" w:rsidRDefault="00FB1B3B" w:rsidP="00FB1B3B">
            <w:pPr>
              <w:pStyle w:val="BodyText"/>
              <w:spacing w:before="60" w:after="60"/>
              <w:jc w:val="left"/>
              <w:rPr>
                <w:rFonts w:ascii="Times New Roman" w:hAnsi="Times New Roman"/>
                <w:sz w:val="20"/>
                <w:szCs w:val="20"/>
              </w:rPr>
            </w:pPr>
            <w:r>
              <w:rPr>
                <w:rFonts w:ascii="Times New Roman" w:hAnsi="Times New Roman"/>
                <w:sz w:val="20"/>
                <w:szCs w:val="20"/>
              </w:rPr>
              <w:t>ARCtick 2013</w:t>
            </w:r>
          </w:p>
        </w:tc>
        <w:tc>
          <w:tcPr>
            <w:tcW w:w="7796" w:type="dxa"/>
          </w:tcPr>
          <w:p w14:paraId="246B3523" w14:textId="0533EF23" w:rsidR="00FB1B3B" w:rsidRPr="00D37A89" w:rsidRDefault="00FB1B3B" w:rsidP="003C6CAB">
            <w:pPr>
              <w:pStyle w:val="BodyText"/>
              <w:spacing w:before="60" w:after="60"/>
              <w:jc w:val="left"/>
              <w:rPr>
                <w:rFonts w:ascii="Times New Roman" w:hAnsi="Times New Roman"/>
                <w:sz w:val="20"/>
                <w:szCs w:val="20"/>
              </w:rPr>
            </w:pPr>
            <w:r>
              <w:rPr>
                <w:rFonts w:ascii="Times New Roman" w:hAnsi="Times New Roman"/>
                <w:sz w:val="20"/>
                <w:szCs w:val="20"/>
              </w:rPr>
              <w:t>Licen</w:t>
            </w:r>
            <w:r w:rsidR="003C6CAB">
              <w:rPr>
                <w:rFonts w:ascii="Times New Roman" w:hAnsi="Times New Roman"/>
                <w:sz w:val="20"/>
                <w:szCs w:val="20"/>
              </w:rPr>
              <w:t>s</w:t>
            </w:r>
            <w:r>
              <w:rPr>
                <w:rFonts w:ascii="Times New Roman" w:hAnsi="Times New Roman"/>
                <w:sz w:val="20"/>
                <w:szCs w:val="20"/>
              </w:rPr>
              <w:t xml:space="preserve">e data provided by </w:t>
            </w:r>
            <w:r w:rsidRPr="00FB1B3B">
              <w:rPr>
                <w:rFonts w:ascii="Times New Roman" w:hAnsi="Times New Roman"/>
                <w:sz w:val="20"/>
                <w:szCs w:val="20"/>
              </w:rPr>
              <w:t>ARCtick Australian Refrigeration Council</w:t>
            </w:r>
            <w:r>
              <w:rPr>
                <w:rFonts w:ascii="Times New Roman" w:hAnsi="Times New Roman"/>
                <w:sz w:val="20"/>
                <w:szCs w:val="20"/>
              </w:rPr>
              <w:t xml:space="preserve"> by technician and business types.</w:t>
            </w:r>
          </w:p>
        </w:tc>
      </w:tr>
      <w:tr w:rsidR="00922054" w:rsidRPr="00D37A89" w14:paraId="22822BFA" w14:textId="77777777" w:rsidTr="00D37A89">
        <w:trPr>
          <w:trHeight w:val="342"/>
        </w:trPr>
        <w:tc>
          <w:tcPr>
            <w:tcW w:w="1951" w:type="dxa"/>
          </w:tcPr>
          <w:p w14:paraId="59D2D06C" w14:textId="77777777" w:rsidR="00922054" w:rsidRPr="00D37A89" w:rsidRDefault="00922054"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BREE 2012</w:t>
            </w:r>
          </w:p>
        </w:tc>
        <w:tc>
          <w:tcPr>
            <w:tcW w:w="7796" w:type="dxa"/>
          </w:tcPr>
          <w:p w14:paraId="0792B6F9" w14:textId="77777777" w:rsidR="00922054" w:rsidRPr="00D37A89" w:rsidRDefault="00922054"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Australian Energy Statistics, Bureau of Resources and Energy Economics, Canberra, July 2012.</w:t>
            </w:r>
          </w:p>
        </w:tc>
      </w:tr>
      <w:tr w:rsidR="00F10094" w:rsidRPr="00D37A89" w14:paraId="4865E140" w14:textId="77777777" w:rsidTr="00D37A89">
        <w:trPr>
          <w:trHeight w:val="342"/>
        </w:trPr>
        <w:tc>
          <w:tcPr>
            <w:tcW w:w="1951" w:type="dxa"/>
          </w:tcPr>
          <w:p w14:paraId="23F156F0" w14:textId="492A8BE1" w:rsidR="00F10094" w:rsidRPr="00D37A89" w:rsidRDefault="00F10094" w:rsidP="00D37A89">
            <w:pPr>
              <w:pStyle w:val="BodyText"/>
              <w:spacing w:before="60" w:after="60"/>
              <w:jc w:val="left"/>
              <w:rPr>
                <w:rFonts w:ascii="Times New Roman" w:hAnsi="Times New Roman"/>
                <w:sz w:val="20"/>
                <w:szCs w:val="20"/>
              </w:rPr>
            </w:pPr>
            <w:r w:rsidRPr="00F10094">
              <w:rPr>
                <w:rFonts w:ascii="Times New Roman" w:hAnsi="Times New Roman"/>
                <w:sz w:val="20"/>
                <w:szCs w:val="20"/>
              </w:rPr>
              <w:t>Census 2011</w:t>
            </w:r>
          </w:p>
        </w:tc>
        <w:tc>
          <w:tcPr>
            <w:tcW w:w="7796" w:type="dxa"/>
          </w:tcPr>
          <w:p w14:paraId="7CA105BB" w14:textId="2361EB2C" w:rsidR="00F10094" w:rsidRPr="00D37A89" w:rsidRDefault="00CB2728" w:rsidP="00FA6866">
            <w:pPr>
              <w:spacing w:before="60" w:after="60"/>
              <w:jc w:val="left"/>
              <w:rPr>
                <w:rFonts w:eastAsia="Times New Roman" w:cs="Times New Roman"/>
                <w:sz w:val="20"/>
                <w:szCs w:val="20"/>
              </w:rPr>
            </w:pPr>
            <w:r w:rsidRPr="00CB2728">
              <w:rPr>
                <w:rFonts w:eastAsia="Times New Roman" w:cs="Times New Roman"/>
                <w:sz w:val="20"/>
                <w:szCs w:val="20"/>
              </w:rPr>
              <w:t>Census of Population and Housing</w:t>
            </w:r>
            <w:r>
              <w:rPr>
                <w:rFonts w:eastAsia="Times New Roman" w:cs="Times New Roman"/>
                <w:sz w:val="20"/>
                <w:szCs w:val="20"/>
              </w:rPr>
              <w:t xml:space="preserve">, </w:t>
            </w:r>
            <w:r w:rsidRPr="00D37A89">
              <w:rPr>
                <w:rFonts w:eastAsia="Times New Roman" w:cs="Times New Roman"/>
                <w:sz w:val="20"/>
                <w:szCs w:val="20"/>
              </w:rPr>
              <w:t>Australian Bureau of Statistics</w:t>
            </w:r>
            <w:r>
              <w:rPr>
                <w:rFonts w:eastAsia="Times New Roman" w:cs="Times New Roman"/>
                <w:sz w:val="20"/>
                <w:szCs w:val="20"/>
              </w:rPr>
              <w:t>, 2011.</w:t>
            </w:r>
          </w:p>
        </w:tc>
      </w:tr>
      <w:tr w:rsidR="00922054" w:rsidRPr="00D37A89" w14:paraId="13299884" w14:textId="77777777" w:rsidTr="00D37A89">
        <w:trPr>
          <w:trHeight w:val="342"/>
        </w:trPr>
        <w:tc>
          <w:tcPr>
            <w:tcW w:w="1951" w:type="dxa"/>
          </w:tcPr>
          <w:p w14:paraId="76DDCE2A" w14:textId="77777777" w:rsidR="00922054" w:rsidRPr="00D37A89" w:rsidRDefault="00922054"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CCA 2012</w:t>
            </w:r>
          </w:p>
        </w:tc>
        <w:tc>
          <w:tcPr>
            <w:tcW w:w="7796" w:type="dxa"/>
          </w:tcPr>
          <w:p w14:paraId="363B11E0" w14:textId="77777777" w:rsidR="00922054" w:rsidRPr="00D37A89" w:rsidRDefault="00922054" w:rsidP="00FA6866">
            <w:pPr>
              <w:spacing w:before="60" w:after="60"/>
              <w:jc w:val="left"/>
              <w:rPr>
                <w:rFonts w:eastAsia="Times New Roman" w:cs="Times New Roman"/>
                <w:sz w:val="20"/>
                <w:szCs w:val="20"/>
              </w:rPr>
            </w:pPr>
            <w:r w:rsidRPr="00D37A89">
              <w:rPr>
                <w:rFonts w:eastAsia="Times New Roman" w:cs="Times New Roman"/>
                <w:sz w:val="20"/>
                <w:szCs w:val="20"/>
              </w:rPr>
              <w:t>Renewable Energy Target Review, Final Report, Australian Government, Climate Change Authority, December 2012.</w:t>
            </w:r>
          </w:p>
        </w:tc>
      </w:tr>
      <w:tr w:rsidR="00922054" w:rsidRPr="00D37A89" w14:paraId="4B6E6D7C" w14:textId="77777777" w:rsidTr="00D37A89">
        <w:trPr>
          <w:trHeight w:val="342"/>
        </w:trPr>
        <w:tc>
          <w:tcPr>
            <w:tcW w:w="1951" w:type="dxa"/>
          </w:tcPr>
          <w:p w14:paraId="3DCCC723" w14:textId="77777777" w:rsidR="00922054" w:rsidRPr="00D37A89" w:rsidRDefault="00922054"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CW 2012</w:t>
            </w:r>
          </w:p>
        </w:tc>
        <w:tc>
          <w:tcPr>
            <w:tcW w:w="7796" w:type="dxa"/>
          </w:tcPr>
          <w:p w14:paraId="7400529E" w14:textId="77777777" w:rsidR="00922054" w:rsidRPr="00D37A89" w:rsidRDefault="00922054"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Convenience World, market survey of convenience outlets in Australia, 2012.</w:t>
            </w:r>
          </w:p>
        </w:tc>
      </w:tr>
      <w:tr w:rsidR="005F4840" w:rsidRPr="00D37A89" w14:paraId="617DA31B" w14:textId="77777777" w:rsidTr="00D37A89">
        <w:trPr>
          <w:trHeight w:val="342"/>
        </w:trPr>
        <w:tc>
          <w:tcPr>
            <w:tcW w:w="1951" w:type="dxa"/>
          </w:tcPr>
          <w:p w14:paraId="4F910F0C" w14:textId="2BE73706" w:rsidR="005F4840" w:rsidRDefault="005F4840" w:rsidP="00D37A89">
            <w:pPr>
              <w:pStyle w:val="BodyText"/>
              <w:spacing w:before="60" w:after="60"/>
              <w:jc w:val="left"/>
              <w:rPr>
                <w:rFonts w:ascii="Times New Roman" w:hAnsi="Times New Roman"/>
                <w:sz w:val="20"/>
                <w:szCs w:val="20"/>
              </w:rPr>
            </w:pPr>
            <w:r>
              <w:rPr>
                <w:rFonts w:ascii="Times New Roman" w:hAnsi="Times New Roman"/>
                <w:sz w:val="20"/>
                <w:szCs w:val="20"/>
              </w:rPr>
              <w:t>CUT 2010</w:t>
            </w:r>
          </w:p>
        </w:tc>
        <w:tc>
          <w:tcPr>
            <w:tcW w:w="7796" w:type="dxa"/>
          </w:tcPr>
          <w:p w14:paraId="0AFB306E" w14:textId="7B6975ED" w:rsidR="005F4840" w:rsidRDefault="005F4840" w:rsidP="005F4840">
            <w:pPr>
              <w:pStyle w:val="BodyText"/>
              <w:spacing w:before="60" w:after="60"/>
              <w:jc w:val="left"/>
              <w:rPr>
                <w:rFonts w:ascii="Times New Roman" w:hAnsi="Times New Roman"/>
                <w:sz w:val="20"/>
                <w:szCs w:val="20"/>
              </w:rPr>
            </w:pPr>
            <w:r w:rsidRPr="005F4840">
              <w:rPr>
                <w:rFonts w:ascii="Times New Roman" w:hAnsi="Times New Roman"/>
                <w:sz w:val="20"/>
                <w:szCs w:val="20"/>
              </w:rPr>
              <w:t>Hospitals and Sustainability</w:t>
            </w:r>
            <w:r>
              <w:rPr>
                <w:rFonts w:ascii="Times New Roman" w:hAnsi="Times New Roman"/>
                <w:sz w:val="20"/>
                <w:szCs w:val="20"/>
              </w:rPr>
              <w:t xml:space="preserve"> by </w:t>
            </w:r>
            <w:r w:rsidRPr="005F4840">
              <w:rPr>
                <w:rFonts w:ascii="Times New Roman" w:hAnsi="Times New Roman"/>
                <w:sz w:val="20"/>
                <w:szCs w:val="20"/>
              </w:rPr>
              <w:t>Berger and Newman</w:t>
            </w:r>
            <w:r>
              <w:rPr>
                <w:rFonts w:ascii="Times New Roman" w:hAnsi="Times New Roman"/>
                <w:sz w:val="20"/>
                <w:szCs w:val="20"/>
              </w:rPr>
              <w:t xml:space="preserve"> for </w:t>
            </w:r>
            <w:r w:rsidRPr="005F4840">
              <w:rPr>
                <w:rFonts w:ascii="Times New Roman" w:hAnsi="Times New Roman"/>
                <w:sz w:val="20"/>
                <w:szCs w:val="20"/>
              </w:rPr>
              <w:t>Curtin University of Technology, 2010</w:t>
            </w:r>
            <w:r>
              <w:rPr>
                <w:rFonts w:ascii="Times New Roman" w:hAnsi="Times New Roman"/>
                <w:sz w:val="20"/>
                <w:szCs w:val="20"/>
              </w:rPr>
              <w:t>.</w:t>
            </w:r>
          </w:p>
        </w:tc>
      </w:tr>
      <w:tr w:rsidR="003F0F3E" w:rsidRPr="00D37A89" w14:paraId="300D33AE" w14:textId="77777777" w:rsidTr="00D37A89">
        <w:trPr>
          <w:trHeight w:val="342"/>
        </w:trPr>
        <w:tc>
          <w:tcPr>
            <w:tcW w:w="1951" w:type="dxa"/>
          </w:tcPr>
          <w:p w14:paraId="23E9E548" w14:textId="4608C106" w:rsidR="003F0F3E" w:rsidRDefault="003F0F3E" w:rsidP="00D37A89">
            <w:pPr>
              <w:pStyle w:val="BodyText"/>
              <w:spacing w:before="60" w:after="60"/>
              <w:jc w:val="left"/>
              <w:rPr>
                <w:rFonts w:ascii="Times New Roman" w:hAnsi="Times New Roman"/>
                <w:sz w:val="20"/>
                <w:szCs w:val="20"/>
              </w:rPr>
            </w:pPr>
            <w:r>
              <w:rPr>
                <w:rFonts w:ascii="Times New Roman" w:hAnsi="Times New Roman"/>
                <w:sz w:val="20"/>
                <w:szCs w:val="20"/>
              </w:rPr>
              <w:t>DA 2012</w:t>
            </w:r>
          </w:p>
        </w:tc>
        <w:tc>
          <w:tcPr>
            <w:tcW w:w="7796" w:type="dxa"/>
          </w:tcPr>
          <w:p w14:paraId="5F0DD0B9" w14:textId="58E1D7D9" w:rsidR="003F0F3E" w:rsidRPr="00DC7347" w:rsidRDefault="003F0F3E" w:rsidP="00FA6866">
            <w:pPr>
              <w:pStyle w:val="BodyText"/>
              <w:spacing w:before="60" w:after="60"/>
              <w:jc w:val="left"/>
              <w:rPr>
                <w:rFonts w:ascii="Times New Roman" w:hAnsi="Times New Roman"/>
                <w:sz w:val="20"/>
                <w:szCs w:val="20"/>
              </w:rPr>
            </w:pPr>
            <w:r>
              <w:rPr>
                <w:rFonts w:ascii="Times New Roman" w:hAnsi="Times New Roman"/>
                <w:sz w:val="20"/>
                <w:szCs w:val="20"/>
              </w:rPr>
              <w:t>Dairy 2012 Situation and Outlook by Dairy Australia, 2012</w:t>
            </w:r>
          </w:p>
        </w:tc>
      </w:tr>
      <w:tr w:rsidR="00DC7347" w:rsidRPr="00D37A89" w14:paraId="3BB76649" w14:textId="77777777" w:rsidTr="00D37A89">
        <w:trPr>
          <w:trHeight w:val="342"/>
        </w:trPr>
        <w:tc>
          <w:tcPr>
            <w:tcW w:w="1951" w:type="dxa"/>
          </w:tcPr>
          <w:p w14:paraId="7DF9999E" w14:textId="410095FD" w:rsidR="00DC7347" w:rsidRDefault="00DC7347" w:rsidP="00D37A89">
            <w:pPr>
              <w:pStyle w:val="BodyText"/>
              <w:spacing w:before="60" w:after="60"/>
              <w:jc w:val="left"/>
              <w:rPr>
                <w:rFonts w:ascii="Times New Roman" w:hAnsi="Times New Roman"/>
                <w:sz w:val="20"/>
                <w:szCs w:val="20"/>
              </w:rPr>
            </w:pPr>
            <w:r>
              <w:rPr>
                <w:rFonts w:ascii="Times New Roman" w:hAnsi="Times New Roman"/>
                <w:sz w:val="20"/>
                <w:szCs w:val="20"/>
              </w:rPr>
              <w:t>DCCEE 2012</w:t>
            </w:r>
            <w:r w:rsidR="00D9082D">
              <w:rPr>
                <w:rFonts w:ascii="Times New Roman" w:hAnsi="Times New Roman"/>
                <w:sz w:val="20"/>
                <w:szCs w:val="20"/>
              </w:rPr>
              <w:t>a</w:t>
            </w:r>
          </w:p>
        </w:tc>
        <w:tc>
          <w:tcPr>
            <w:tcW w:w="7796" w:type="dxa"/>
          </w:tcPr>
          <w:p w14:paraId="6B872C32" w14:textId="4BCC6EF4" w:rsidR="00DC7347" w:rsidRDefault="00DC7347" w:rsidP="00FA6866">
            <w:pPr>
              <w:pStyle w:val="BodyText"/>
              <w:spacing w:before="60" w:after="60"/>
              <w:jc w:val="left"/>
              <w:rPr>
                <w:rFonts w:ascii="Times New Roman" w:hAnsi="Times New Roman"/>
                <w:sz w:val="20"/>
                <w:szCs w:val="20"/>
              </w:rPr>
            </w:pPr>
            <w:r w:rsidRPr="00DC7347">
              <w:rPr>
                <w:rFonts w:ascii="Times New Roman" w:hAnsi="Times New Roman"/>
                <w:sz w:val="20"/>
                <w:szCs w:val="20"/>
              </w:rPr>
              <w:t>Quarterly Update of Australia's National Greenhouse Gas Inventory</w:t>
            </w:r>
            <w:r>
              <w:rPr>
                <w:rFonts w:ascii="Times New Roman" w:hAnsi="Times New Roman"/>
                <w:sz w:val="20"/>
                <w:szCs w:val="20"/>
              </w:rPr>
              <w:t xml:space="preserve"> (NGGI)</w:t>
            </w:r>
            <w:r w:rsidRPr="00DC7347">
              <w:rPr>
                <w:rFonts w:ascii="Times New Roman" w:hAnsi="Times New Roman"/>
                <w:sz w:val="20"/>
                <w:szCs w:val="20"/>
              </w:rPr>
              <w:t>, Figures for the June Quarter 2012, Department of Climate Change and Energy Efficiency.</w:t>
            </w:r>
          </w:p>
        </w:tc>
      </w:tr>
      <w:tr w:rsidR="007B0C64" w:rsidRPr="00972A80" w14:paraId="395DE039" w14:textId="77777777" w:rsidTr="00D37A89">
        <w:trPr>
          <w:trHeight w:val="342"/>
        </w:trPr>
        <w:tc>
          <w:tcPr>
            <w:tcW w:w="1951" w:type="dxa"/>
          </w:tcPr>
          <w:p w14:paraId="40D5D2C6" w14:textId="030A663B" w:rsidR="007B0C64" w:rsidRPr="00D37A89" w:rsidRDefault="00D9082D" w:rsidP="00D37A89">
            <w:pPr>
              <w:pStyle w:val="BodyText"/>
              <w:spacing w:before="60" w:after="60"/>
              <w:jc w:val="left"/>
              <w:rPr>
                <w:rFonts w:ascii="Times New Roman" w:hAnsi="Times New Roman"/>
                <w:sz w:val="20"/>
                <w:szCs w:val="20"/>
              </w:rPr>
            </w:pPr>
            <w:r>
              <w:rPr>
                <w:rFonts w:ascii="Times New Roman" w:hAnsi="Times New Roman"/>
                <w:sz w:val="20"/>
                <w:szCs w:val="20"/>
              </w:rPr>
              <w:t>DCCEE 2012b</w:t>
            </w:r>
          </w:p>
        </w:tc>
        <w:tc>
          <w:tcPr>
            <w:tcW w:w="7796" w:type="dxa"/>
          </w:tcPr>
          <w:p w14:paraId="6603C307" w14:textId="43A2F149" w:rsidR="007B0C64" w:rsidRPr="00972A80" w:rsidRDefault="00D9082D" w:rsidP="00CF4EED">
            <w:pPr>
              <w:pStyle w:val="BodyText"/>
              <w:spacing w:before="60" w:after="60"/>
              <w:jc w:val="left"/>
              <w:rPr>
                <w:rFonts w:ascii="Times New Roman" w:hAnsi="Times New Roman"/>
                <w:sz w:val="20"/>
                <w:szCs w:val="20"/>
              </w:rPr>
            </w:pPr>
            <w:r w:rsidRPr="00D9082D">
              <w:rPr>
                <w:rFonts w:ascii="Times New Roman" w:hAnsi="Times New Roman"/>
                <w:sz w:val="20"/>
                <w:szCs w:val="20"/>
              </w:rPr>
              <w:t>Baseline Energy Consumption and Greenhouse Gas Emissions</w:t>
            </w:r>
            <w:r>
              <w:rPr>
                <w:rFonts w:ascii="Times New Roman" w:hAnsi="Times New Roman"/>
                <w:sz w:val="20"/>
                <w:szCs w:val="20"/>
              </w:rPr>
              <w:t xml:space="preserve">, </w:t>
            </w:r>
            <w:r w:rsidRPr="00D9082D">
              <w:rPr>
                <w:rFonts w:ascii="Times New Roman" w:hAnsi="Times New Roman"/>
                <w:sz w:val="20"/>
                <w:szCs w:val="20"/>
              </w:rPr>
              <w:t>In Commercial Buildings in Australia</w:t>
            </w:r>
            <w:r>
              <w:rPr>
                <w:rFonts w:ascii="Times New Roman" w:hAnsi="Times New Roman"/>
                <w:sz w:val="20"/>
                <w:szCs w:val="20"/>
              </w:rPr>
              <w:t xml:space="preserve">, </w:t>
            </w:r>
            <w:r w:rsidR="007B0C64" w:rsidRPr="007B0C64">
              <w:rPr>
                <w:rFonts w:ascii="Times New Roman" w:hAnsi="Times New Roman"/>
                <w:sz w:val="20"/>
                <w:szCs w:val="20"/>
              </w:rPr>
              <w:t>Department of Climate Change and Energy Efficiency</w:t>
            </w:r>
            <w:r>
              <w:rPr>
                <w:rFonts w:ascii="Times New Roman" w:hAnsi="Times New Roman"/>
                <w:sz w:val="20"/>
                <w:szCs w:val="20"/>
              </w:rPr>
              <w:t>, November 2012.</w:t>
            </w:r>
            <w:r w:rsidR="00CF4EED">
              <w:rPr>
                <w:rFonts w:ascii="Times New Roman" w:hAnsi="Times New Roman"/>
                <w:sz w:val="20"/>
                <w:szCs w:val="20"/>
              </w:rPr>
              <w:t xml:space="preserve"> A</w:t>
            </w:r>
            <w:r w:rsidR="00CF4EED" w:rsidRPr="00CF4EED">
              <w:rPr>
                <w:rFonts w:ascii="Times New Roman" w:hAnsi="Times New Roman"/>
                <w:sz w:val="20"/>
                <w:szCs w:val="20"/>
              </w:rPr>
              <w:t>vailable for public download in open word document formats from http://goo.gl/wr1qd</w:t>
            </w:r>
            <w:r w:rsidR="00CF4EED">
              <w:rPr>
                <w:rFonts w:ascii="Times New Roman" w:hAnsi="Times New Roman"/>
                <w:sz w:val="20"/>
                <w:szCs w:val="20"/>
              </w:rPr>
              <w:t>.</w:t>
            </w:r>
          </w:p>
        </w:tc>
      </w:tr>
      <w:tr w:rsidR="00972A80" w:rsidRPr="00972A80" w14:paraId="090F78EB" w14:textId="77777777" w:rsidTr="00D37A89">
        <w:trPr>
          <w:trHeight w:val="342"/>
        </w:trPr>
        <w:tc>
          <w:tcPr>
            <w:tcW w:w="1951" w:type="dxa"/>
          </w:tcPr>
          <w:p w14:paraId="1076D66A" w14:textId="0FCC5098" w:rsidR="00972A80"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DIT 2012</w:t>
            </w:r>
          </w:p>
        </w:tc>
        <w:tc>
          <w:tcPr>
            <w:tcW w:w="7796" w:type="dxa"/>
          </w:tcPr>
          <w:p w14:paraId="3A0C6871" w14:textId="2C3C9449" w:rsidR="00972A80" w:rsidRDefault="00972A80" w:rsidP="00FA6866">
            <w:pPr>
              <w:pStyle w:val="BodyText"/>
              <w:spacing w:before="60" w:after="60"/>
              <w:jc w:val="left"/>
              <w:rPr>
                <w:rFonts w:ascii="Times New Roman" w:hAnsi="Times New Roman"/>
                <w:sz w:val="20"/>
                <w:szCs w:val="20"/>
              </w:rPr>
            </w:pPr>
            <w:r w:rsidRPr="00972A80">
              <w:rPr>
                <w:rFonts w:ascii="Times New Roman" w:hAnsi="Times New Roman"/>
                <w:sz w:val="20"/>
                <w:szCs w:val="20"/>
              </w:rPr>
              <w:t>Department of Infrastructure and Transport, Canberra, Bureau of Infrastructure, Transport and Regional Economics, Australian infrastructure statistics, Yearbook 2012.</w:t>
            </w:r>
          </w:p>
        </w:tc>
      </w:tr>
      <w:tr w:rsidR="00994EBD" w:rsidRPr="00D37A89" w14:paraId="06EAFD79" w14:textId="77777777" w:rsidTr="00D37A89">
        <w:trPr>
          <w:trHeight w:val="342"/>
        </w:trPr>
        <w:tc>
          <w:tcPr>
            <w:tcW w:w="1951" w:type="dxa"/>
          </w:tcPr>
          <w:p w14:paraId="3281B4F4" w14:textId="000ABA77" w:rsidR="00994EBD" w:rsidRDefault="00994EBD" w:rsidP="00D37A89">
            <w:pPr>
              <w:pStyle w:val="BodyText"/>
              <w:spacing w:before="60" w:after="60"/>
              <w:jc w:val="left"/>
              <w:rPr>
                <w:rFonts w:ascii="Times New Roman" w:hAnsi="Times New Roman"/>
                <w:sz w:val="20"/>
                <w:szCs w:val="20"/>
              </w:rPr>
            </w:pPr>
            <w:r>
              <w:rPr>
                <w:rFonts w:ascii="Times New Roman" w:hAnsi="Times New Roman"/>
                <w:sz w:val="20"/>
                <w:szCs w:val="20"/>
              </w:rPr>
              <w:t>DAFF 2012</w:t>
            </w:r>
          </w:p>
        </w:tc>
        <w:tc>
          <w:tcPr>
            <w:tcW w:w="7796" w:type="dxa"/>
          </w:tcPr>
          <w:p w14:paraId="3507CA5C" w14:textId="0FC8578A" w:rsidR="00994EBD" w:rsidRDefault="00994EBD" w:rsidP="00D95B5B">
            <w:pPr>
              <w:pStyle w:val="BodyText"/>
              <w:spacing w:before="60" w:after="60"/>
              <w:jc w:val="left"/>
              <w:rPr>
                <w:rFonts w:ascii="Times New Roman" w:hAnsi="Times New Roman"/>
                <w:sz w:val="20"/>
                <w:szCs w:val="20"/>
              </w:rPr>
            </w:pPr>
            <w:r>
              <w:rPr>
                <w:rFonts w:ascii="Times New Roman" w:hAnsi="Times New Roman"/>
                <w:sz w:val="20"/>
                <w:szCs w:val="20"/>
              </w:rPr>
              <w:t xml:space="preserve">Department of Agriculture, Fisheries and Forestry, </w:t>
            </w:r>
            <w:r w:rsidR="00D95B5B" w:rsidRPr="00D95B5B">
              <w:rPr>
                <w:rFonts w:ascii="Times New Roman" w:hAnsi="Times New Roman"/>
                <w:sz w:val="20"/>
                <w:szCs w:val="20"/>
              </w:rPr>
              <w:t>Australia's agriculture, fisheries and forestry at a glance’, ‘National Food Plan Green Paper</w:t>
            </w:r>
            <w:r w:rsidR="00D95B5B">
              <w:rPr>
                <w:rFonts w:ascii="Times New Roman" w:hAnsi="Times New Roman"/>
                <w:sz w:val="20"/>
                <w:szCs w:val="20"/>
              </w:rPr>
              <w:t>, 2012.</w:t>
            </w:r>
          </w:p>
        </w:tc>
      </w:tr>
      <w:tr w:rsidR="00800F06" w:rsidRPr="00D37A89" w14:paraId="001C9863" w14:textId="77777777" w:rsidTr="00D37A89">
        <w:trPr>
          <w:trHeight w:val="342"/>
        </w:trPr>
        <w:tc>
          <w:tcPr>
            <w:tcW w:w="1951" w:type="dxa"/>
          </w:tcPr>
          <w:p w14:paraId="6C892224" w14:textId="640EBC92" w:rsidR="00800F06" w:rsidRDefault="00800F06" w:rsidP="00D37A89">
            <w:pPr>
              <w:pStyle w:val="BodyText"/>
              <w:spacing w:before="60" w:after="60"/>
              <w:jc w:val="left"/>
              <w:rPr>
                <w:rFonts w:ascii="Times New Roman" w:hAnsi="Times New Roman"/>
                <w:sz w:val="20"/>
                <w:szCs w:val="20"/>
              </w:rPr>
            </w:pPr>
            <w:r>
              <w:rPr>
                <w:rFonts w:ascii="Times New Roman" w:hAnsi="Times New Roman"/>
                <w:sz w:val="20"/>
                <w:szCs w:val="20"/>
              </w:rPr>
              <w:t>DAFF 2007</w:t>
            </w:r>
          </w:p>
        </w:tc>
        <w:tc>
          <w:tcPr>
            <w:tcW w:w="7796" w:type="dxa"/>
          </w:tcPr>
          <w:p w14:paraId="63EFC31A" w14:textId="4825CDDB" w:rsidR="00800F06" w:rsidRPr="003F5FBD" w:rsidRDefault="00800F06" w:rsidP="00800F06">
            <w:pPr>
              <w:pStyle w:val="BodyText"/>
              <w:spacing w:before="60" w:after="60"/>
              <w:jc w:val="left"/>
              <w:rPr>
                <w:rFonts w:ascii="Times New Roman" w:hAnsi="Times New Roman"/>
                <w:sz w:val="20"/>
                <w:szCs w:val="20"/>
              </w:rPr>
            </w:pPr>
            <w:r>
              <w:rPr>
                <w:rFonts w:ascii="Times New Roman" w:hAnsi="Times New Roman"/>
                <w:sz w:val="20"/>
                <w:szCs w:val="20"/>
              </w:rPr>
              <w:t>Department of Agriculture, Fisheries and Forestry, Foodmap: A comparative analysis of Australian food distribution channels, 2007.</w:t>
            </w:r>
          </w:p>
        </w:tc>
      </w:tr>
      <w:tr w:rsidR="003F5FBD" w:rsidRPr="00D37A89" w14:paraId="2216DBCA" w14:textId="77777777" w:rsidTr="00D37A89">
        <w:trPr>
          <w:trHeight w:val="342"/>
        </w:trPr>
        <w:tc>
          <w:tcPr>
            <w:tcW w:w="1951" w:type="dxa"/>
          </w:tcPr>
          <w:p w14:paraId="096955D3" w14:textId="012553A2" w:rsidR="003F5FBD" w:rsidRDefault="003F5FBD" w:rsidP="00D37A89">
            <w:pPr>
              <w:pStyle w:val="BodyText"/>
              <w:spacing w:before="60" w:after="60"/>
              <w:jc w:val="left"/>
              <w:rPr>
                <w:rFonts w:ascii="Times New Roman" w:hAnsi="Times New Roman"/>
                <w:sz w:val="20"/>
                <w:szCs w:val="20"/>
              </w:rPr>
            </w:pPr>
            <w:r>
              <w:rPr>
                <w:rFonts w:ascii="Times New Roman" w:hAnsi="Times New Roman"/>
                <w:sz w:val="20"/>
                <w:szCs w:val="20"/>
              </w:rPr>
              <w:lastRenderedPageBreak/>
              <w:t>DRET 2011</w:t>
            </w:r>
          </w:p>
        </w:tc>
        <w:tc>
          <w:tcPr>
            <w:tcW w:w="7796" w:type="dxa"/>
          </w:tcPr>
          <w:p w14:paraId="290E3BBF" w14:textId="4F64DC23" w:rsidR="003F5FBD" w:rsidRDefault="003F5FBD" w:rsidP="00FA6866">
            <w:pPr>
              <w:pStyle w:val="BodyText"/>
              <w:spacing w:before="60" w:after="60"/>
              <w:jc w:val="left"/>
              <w:rPr>
                <w:rFonts w:ascii="Times New Roman" w:hAnsi="Times New Roman"/>
                <w:sz w:val="20"/>
                <w:szCs w:val="20"/>
              </w:rPr>
            </w:pPr>
            <w:r w:rsidRPr="003F5FBD">
              <w:rPr>
                <w:rFonts w:ascii="Times New Roman" w:hAnsi="Times New Roman"/>
                <w:sz w:val="20"/>
                <w:szCs w:val="20"/>
              </w:rPr>
              <w:t>Strengthening the foundations for Australia’s energy future, Draft White Paper, Department of Resources, Energy and Tourism, 2011.</w:t>
            </w:r>
          </w:p>
        </w:tc>
      </w:tr>
      <w:tr w:rsidR="00972A80" w:rsidRPr="00D37A89" w14:paraId="701E1408" w14:textId="77777777" w:rsidTr="00D37A89">
        <w:trPr>
          <w:trHeight w:val="342"/>
        </w:trPr>
        <w:tc>
          <w:tcPr>
            <w:tcW w:w="1951" w:type="dxa"/>
          </w:tcPr>
          <w:p w14:paraId="52BE4561" w14:textId="273CCAFB" w:rsidR="00972A80" w:rsidRPr="00D37A89" w:rsidRDefault="00972A80" w:rsidP="00D37A89">
            <w:pPr>
              <w:pStyle w:val="BodyText"/>
              <w:spacing w:before="60" w:after="60"/>
              <w:jc w:val="left"/>
              <w:rPr>
                <w:rFonts w:ascii="Times New Roman" w:hAnsi="Times New Roman"/>
                <w:sz w:val="20"/>
                <w:szCs w:val="20"/>
              </w:rPr>
            </w:pPr>
            <w:r>
              <w:rPr>
                <w:rFonts w:ascii="Times New Roman" w:hAnsi="Times New Roman"/>
                <w:sz w:val="20"/>
                <w:szCs w:val="20"/>
              </w:rPr>
              <w:t>DSEWPaC 2013a</w:t>
            </w:r>
          </w:p>
        </w:tc>
        <w:tc>
          <w:tcPr>
            <w:tcW w:w="7796" w:type="dxa"/>
          </w:tcPr>
          <w:p w14:paraId="6878749A" w14:textId="58DA5952" w:rsidR="00972A80" w:rsidRPr="00D37A89" w:rsidRDefault="00972A80" w:rsidP="00FA6866">
            <w:pPr>
              <w:pStyle w:val="BodyText"/>
              <w:spacing w:before="60" w:after="60"/>
              <w:jc w:val="left"/>
              <w:rPr>
                <w:rFonts w:ascii="Times New Roman" w:hAnsi="Times New Roman"/>
                <w:sz w:val="20"/>
                <w:szCs w:val="20"/>
              </w:rPr>
            </w:pPr>
            <w:r>
              <w:rPr>
                <w:rFonts w:ascii="Times New Roman" w:hAnsi="Times New Roman"/>
                <w:sz w:val="20"/>
                <w:szCs w:val="20"/>
              </w:rPr>
              <w:t xml:space="preserve">Data (i.e. bulk and pre-charged equipment import statistics by quantity, mass, species, license holder, product category from 2006 to 2013) provided by the </w:t>
            </w:r>
            <w:r w:rsidRPr="008059DB">
              <w:rPr>
                <w:rFonts w:ascii="Times New Roman" w:hAnsi="Times New Roman"/>
                <w:sz w:val="20"/>
                <w:szCs w:val="20"/>
              </w:rPr>
              <w:t>Department of Sustainability, Environment, Water, Population and Communities, Ozone and Synthetic Gas Team, April 2012.</w:t>
            </w:r>
          </w:p>
        </w:tc>
      </w:tr>
      <w:tr w:rsidR="00972A80" w:rsidRPr="00D37A89" w14:paraId="2B75963C" w14:textId="77777777" w:rsidTr="00D37A89">
        <w:trPr>
          <w:trHeight w:val="342"/>
        </w:trPr>
        <w:tc>
          <w:tcPr>
            <w:tcW w:w="1951" w:type="dxa"/>
          </w:tcPr>
          <w:p w14:paraId="666B1213" w14:textId="378B3CCF"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DSEWPaC 2013</w:t>
            </w:r>
            <w:r>
              <w:rPr>
                <w:rFonts w:ascii="Times New Roman" w:hAnsi="Times New Roman"/>
                <w:sz w:val="20"/>
                <w:szCs w:val="20"/>
              </w:rPr>
              <w:t>b</w:t>
            </w:r>
          </w:p>
        </w:tc>
        <w:tc>
          <w:tcPr>
            <w:tcW w:w="7796" w:type="dxa"/>
          </w:tcPr>
          <w:p w14:paraId="34A14F8D" w14:textId="606E79A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 xml:space="preserve">Clearing the Air, The options for a Rebate for Destruction of ODS and SGGs in Australia, </w:t>
            </w:r>
            <w:r>
              <w:rPr>
                <w:rFonts w:ascii="Times New Roman" w:hAnsi="Times New Roman"/>
                <w:sz w:val="20"/>
                <w:szCs w:val="20"/>
              </w:rPr>
              <w:t xml:space="preserve">by Thinkwell Australia in association with Expert Group </w:t>
            </w:r>
            <w:r w:rsidRPr="00D37A89">
              <w:rPr>
                <w:rFonts w:ascii="Times New Roman" w:hAnsi="Times New Roman"/>
                <w:sz w:val="20"/>
                <w:szCs w:val="20"/>
              </w:rPr>
              <w:t>for the Department of Sustainability, Environment, Water, Population and Communities, Jan 2013.</w:t>
            </w:r>
          </w:p>
        </w:tc>
      </w:tr>
      <w:tr w:rsidR="00972A80" w:rsidRPr="00D37A89" w14:paraId="3DDA816F" w14:textId="77777777" w:rsidTr="00D37A89">
        <w:trPr>
          <w:trHeight w:val="342"/>
        </w:trPr>
        <w:tc>
          <w:tcPr>
            <w:tcW w:w="1951" w:type="dxa"/>
          </w:tcPr>
          <w:p w14:paraId="5911569C"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DSEWPaC 2012</w:t>
            </w:r>
          </w:p>
        </w:tc>
        <w:tc>
          <w:tcPr>
            <w:tcW w:w="7796" w:type="dxa"/>
          </w:tcPr>
          <w:p w14:paraId="09347E36" w14:textId="093DE9BE"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A review of existing uses of SGGs prepared by Expert Group for the Department of Sustainability, Environment, Water, Population and Communities, Ozone and Synthetic Gas Team, April 2012</w:t>
            </w:r>
            <w:r>
              <w:rPr>
                <w:rFonts w:ascii="Times New Roman" w:hAnsi="Times New Roman"/>
                <w:sz w:val="20"/>
                <w:szCs w:val="20"/>
              </w:rPr>
              <w:t>.</w:t>
            </w:r>
          </w:p>
        </w:tc>
      </w:tr>
      <w:tr w:rsidR="00972A80" w:rsidRPr="00D37A89" w14:paraId="524756B1" w14:textId="77777777" w:rsidTr="00D37A89">
        <w:trPr>
          <w:trHeight w:val="342"/>
        </w:trPr>
        <w:tc>
          <w:tcPr>
            <w:tcW w:w="1951" w:type="dxa"/>
          </w:tcPr>
          <w:p w14:paraId="02A4526C"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DSEWPaC 2011</w:t>
            </w:r>
          </w:p>
        </w:tc>
        <w:tc>
          <w:tcPr>
            <w:tcW w:w="7796" w:type="dxa"/>
          </w:tcPr>
          <w:p w14:paraId="74FABD91"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A study into HFC consumption in Australia, prepared by Expert Group for the Department of Sustainability, Environment, Water, Population and Communities, Ozone and Synthetic Gas Team, October 2011.</w:t>
            </w:r>
          </w:p>
        </w:tc>
      </w:tr>
      <w:tr w:rsidR="00972A80" w:rsidRPr="00D37A89" w14:paraId="1006CFBF" w14:textId="77777777" w:rsidTr="00D37A89">
        <w:trPr>
          <w:trHeight w:val="342"/>
        </w:trPr>
        <w:tc>
          <w:tcPr>
            <w:tcW w:w="1951" w:type="dxa"/>
          </w:tcPr>
          <w:p w14:paraId="15D5AE2D"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E3 2012</w:t>
            </w:r>
          </w:p>
        </w:tc>
        <w:tc>
          <w:tcPr>
            <w:tcW w:w="7796" w:type="dxa"/>
          </w:tcPr>
          <w:p w14:paraId="4187C113"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Product Profile: Heat Pump Water Heaters: Air-Source Heat Pump Water Heaters in Australia and New Zealand, June 2012.</w:t>
            </w:r>
          </w:p>
        </w:tc>
      </w:tr>
      <w:tr w:rsidR="00972A80" w:rsidRPr="00D37A89" w14:paraId="1A35BA63" w14:textId="77777777" w:rsidTr="00D37A89">
        <w:trPr>
          <w:trHeight w:val="342"/>
        </w:trPr>
        <w:tc>
          <w:tcPr>
            <w:tcW w:w="1951" w:type="dxa"/>
          </w:tcPr>
          <w:p w14:paraId="705C7DB1"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E3 2011</w:t>
            </w:r>
          </w:p>
        </w:tc>
        <w:tc>
          <w:tcPr>
            <w:tcW w:w="7796" w:type="dxa"/>
          </w:tcPr>
          <w:p w14:paraId="274EEF0E"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Refrigerator Energy Labelling and MEPS Compliance in the Australian Market, Report No: 2011/08, Equipment Energy Efficiency Committee, May 2011.</w:t>
            </w:r>
          </w:p>
        </w:tc>
      </w:tr>
      <w:tr w:rsidR="00972A80" w:rsidRPr="00D37A89" w14:paraId="1E4A0201" w14:textId="77777777" w:rsidTr="00D37A89">
        <w:trPr>
          <w:trHeight w:val="342"/>
        </w:trPr>
        <w:tc>
          <w:tcPr>
            <w:tcW w:w="1951" w:type="dxa"/>
          </w:tcPr>
          <w:p w14:paraId="1A3C3AB0"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E3 2010a</w:t>
            </w:r>
          </w:p>
        </w:tc>
        <w:tc>
          <w:tcPr>
            <w:tcW w:w="7796" w:type="dxa"/>
          </w:tcPr>
          <w:p w14:paraId="13A439CC"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Decision Regulatory Impact Statement: Minimum Energy Performance Standards for Air Conditioners, December 2010.</w:t>
            </w:r>
          </w:p>
        </w:tc>
      </w:tr>
      <w:tr w:rsidR="00972A80" w:rsidRPr="00D37A89" w14:paraId="1189549B" w14:textId="77777777" w:rsidTr="00D37A89">
        <w:trPr>
          <w:trHeight w:val="342"/>
        </w:trPr>
        <w:tc>
          <w:tcPr>
            <w:tcW w:w="1951" w:type="dxa"/>
          </w:tcPr>
          <w:p w14:paraId="183BB15D"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E3 2010b</w:t>
            </w:r>
          </w:p>
        </w:tc>
        <w:tc>
          <w:tcPr>
            <w:tcW w:w="7796" w:type="dxa"/>
          </w:tcPr>
          <w:p w14:paraId="450FFDD3"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Greening White Goods A Report into the Energy Efficiency Trends of Whitegoods in Australia from 1993 - 2009, Report No: 2010/08, Equipment Energy Efficiency Committee, including Appendix National Trends in Refrigerator and Freezer Performance Characteristics by GFk, Oct 2010.</w:t>
            </w:r>
          </w:p>
        </w:tc>
      </w:tr>
      <w:tr w:rsidR="00972A80" w:rsidRPr="00D37A89" w14:paraId="0D9AB030" w14:textId="77777777" w:rsidTr="00D37A89">
        <w:trPr>
          <w:trHeight w:val="342"/>
        </w:trPr>
        <w:tc>
          <w:tcPr>
            <w:tcW w:w="1951" w:type="dxa"/>
          </w:tcPr>
          <w:p w14:paraId="5C7F86B0"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E3 2010c</w:t>
            </w:r>
          </w:p>
        </w:tc>
        <w:tc>
          <w:tcPr>
            <w:tcW w:w="7796" w:type="dxa"/>
          </w:tcPr>
          <w:p w14:paraId="235EF99D"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Evaluation of Energy Efficiency Policy Measures for Household Refrigeration in Australia An assessment of energy savings since 1986, Report No: 2010/10, Equipment Energy Efficiency Committee, December 2010.</w:t>
            </w:r>
          </w:p>
        </w:tc>
      </w:tr>
      <w:tr w:rsidR="00972A80" w:rsidRPr="00D37A89" w14:paraId="5DF8D2FC" w14:textId="77777777" w:rsidTr="00D37A89">
        <w:trPr>
          <w:trHeight w:val="342"/>
        </w:trPr>
        <w:tc>
          <w:tcPr>
            <w:tcW w:w="1951" w:type="dxa"/>
          </w:tcPr>
          <w:p w14:paraId="0265E51A"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E3 2009a</w:t>
            </w:r>
          </w:p>
        </w:tc>
        <w:tc>
          <w:tcPr>
            <w:tcW w:w="7796" w:type="dxa"/>
          </w:tcPr>
          <w:p w14:paraId="1A12CABF"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Draft Non-Domestic Energy Efficiency Strategy: In from the Cold, prepared by Mark Ellis, Peter Brodribb, Tony Fairclough, Rod King and Kevin Finn for DEWHA, October 2009.</w:t>
            </w:r>
          </w:p>
        </w:tc>
      </w:tr>
      <w:tr w:rsidR="00972A80" w:rsidRPr="00D37A89" w14:paraId="53C359DD" w14:textId="77777777" w:rsidTr="00D37A89">
        <w:trPr>
          <w:trHeight w:val="342"/>
        </w:trPr>
        <w:tc>
          <w:tcPr>
            <w:tcW w:w="1951" w:type="dxa"/>
          </w:tcPr>
          <w:p w14:paraId="2DC2F6F9"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E3 2009b</w:t>
            </w:r>
          </w:p>
        </w:tc>
        <w:tc>
          <w:tcPr>
            <w:tcW w:w="7796" w:type="dxa"/>
          </w:tcPr>
          <w:p w14:paraId="2B8977BD"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Consultation Paper, Single Duct Portable Space Conditioners and Spot Coolers, Equipment Energy Efficiency Committee, Sept 2009.</w:t>
            </w:r>
          </w:p>
        </w:tc>
      </w:tr>
      <w:tr w:rsidR="00972A80" w:rsidRPr="00D37A89" w14:paraId="18193C33" w14:textId="77777777" w:rsidTr="00D37A89">
        <w:trPr>
          <w:trHeight w:val="342"/>
        </w:trPr>
        <w:tc>
          <w:tcPr>
            <w:tcW w:w="1951" w:type="dxa"/>
          </w:tcPr>
          <w:p w14:paraId="085B42B6"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E3 2008a</w:t>
            </w:r>
          </w:p>
        </w:tc>
        <w:tc>
          <w:tcPr>
            <w:tcW w:w="7796" w:type="dxa"/>
          </w:tcPr>
          <w:p w14:paraId="301B0846"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Decision Regulatory Impact Statement: Minimum Energy Performance Standards and Alternative Strategies for Close Control Air Conditioners: 2009, dated December 2008.</w:t>
            </w:r>
          </w:p>
        </w:tc>
      </w:tr>
      <w:tr w:rsidR="00972A80" w:rsidRPr="00D37A89" w14:paraId="62BF87A2" w14:textId="77777777" w:rsidTr="00D37A89">
        <w:trPr>
          <w:trHeight w:val="342"/>
        </w:trPr>
        <w:tc>
          <w:tcPr>
            <w:tcW w:w="1951" w:type="dxa"/>
          </w:tcPr>
          <w:p w14:paraId="1B27310B"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E3 2008b</w:t>
            </w:r>
          </w:p>
        </w:tc>
        <w:tc>
          <w:tcPr>
            <w:tcW w:w="7796" w:type="dxa"/>
          </w:tcPr>
          <w:p w14:paraId="49913588"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Decision Regulatory Impact Statement: Minimum Energy Performance Standards and Alternative Strategies for Chillers, July 2008.</w:t>
            </w:r>
          </w:p>
        </w:tc>
      </w:tr>
      <w:tr w:rsidR="00972A80" w:rsidRPr="00D37A89" w14:paraId="2E387FA7" w14:textId="77777777" w:rsidTr="00D37A89">
        <w:trPr>
          <w:trHeight w:val="342"/>
        </w:trPr>
        <w:tc>
          <w:tcPr>
            <w:tcW w:w="1951" w:type="dxa"/>
          </w:tcPr>
          <w:p w14:paraId="68C33AE6"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E3 2008c</w:t>
            </w:r>
          </w:p>
        </w:tc>
        <w:tc>
          <w:tcPr>
            <w:tcW w:w="7796" w:type="dxa"/>
          </w:tcPr>
          <w:p w14:paraId="24B77CB9"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Energy Use In The Australian Residential Sector</w:t>
            </w:r>
            <w:r w:rsidRPr="00D37A89">
              <w:rPr>
                <w:rFonts w:ascii="Times New Roman" w:hAnsi="Times New Roman"/>
                <w:sz w:val="20"/>
                <w:szCs w:val="20"/>
              </w:rPr>
              <w:br/>
              <w:t>1986 – 2020, Equipment Energy Efficiency Committee, 2008.</w:t>
            </w:r>
          </w:p>
        </w:tc>
      </w:tr>
      <w:tr w:rsidR="00972A80" w:rsidRPr="00D37A89" w14:paraId="3A8671E0" w14:textId="77777777" w:rsidTr="00D37A89">
        <w:trPr>
          <w:trHeight w:val="342"/>
        </w:trPr>
        <w:tc>
          <w:tcPr>
            <w:tcW w:w="1951" w:type="dxa"/>
          </w:tcPr>
          <w:p w14:paraId="4885F738"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E3 2008d</w:t>
            </w:r>
          </w:p>
        </w:tc>
        <w:tc>
          <w:tcPr>
            <w:tcW w:w="7796" w:type="dxa"/>
            <w:vAlign w:val="bottom"/>
          </w:tcPr>
          <w:p w14:paraId="5669F91B"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Household Refrigerators and Freezers: Decision Regulatory Impact Statement, Equipment Energy Efficiency Committee, 2008.</w:t>
            </w:r>
          </w:p>
        </w:tc>
      </w:tr>
      <w:tr w:rsidR="00D53723" w:rsidRPr="00D37A89" w14:paraId="7A04DE2F" w14:textId="77777777" w:rsidTr="00D37A89">
        <w:trPr>
          <w:trHeight w:val="342"/>
        </w:trPr>
        <w:tc>
          <w:tcPr>
            <w:tcW w:w="1951" w:type="dxa"/>
          </w:tcPr>
          <w:p w14:paraId="4EC1866D" w14:textId="27CCA597" w:rsidR="00D53723" w:rsidRDefault="00D53723" w:rsidP="00D37A89">
            <w:pPr>
              <w:pStyle w:val="BodyText"/>
              <w:spacing w:before="60" w:after="60"/>
              <w:jc w:val="left"/>
              <w:rPr>
                <w:rFonts w:ascii="Times New Roman" w:hAnsi="Times New Roman"/>
                <w:sz w:val="20"/>
                <w:szCs w:val="20"/>
              </w:rPr>
            </w:pPr>
            <w:r>
              <w:rPr>
                <w:rFonts w:ascii="Times New Roman" w:hAnsi="Times New Roman"/>
                <w:sz w:val="20"/>
                <w:szCs w:val="20"/>
              </w:rPr>
              <w:t>E3 2007</w:t>
            </w:r>
          </w:p>
        </w:tc>
        <w:tc>
          <w:tcPr>
            <w:tcW w:w="7796" w:type="dxa"/>
          </w:tcPr>
          <w:p w14:paraId="714EE06E" w14:textId="095C8047" w:rsidR="00D53723" w:rsidRDefault="00D53723" w:rsidP="007F4BFB">
            <w:pPr>
              <w:spacing w:before="60" w:after="60"/>
              <w:jc w:val="left"/>
              <w:rPr>
                <w:rFonts w:eastAsia="Times New Roman" w:cs="Times New Roman"/>
                <w:sz w:val="20"/>
                <w:szCs w:val="20"/>
              </w:rPr>
            </w:pPr>
            <w:r w:rsidRPr="00D53723">
              <w:rPr>
                <w:rFonts w:eastAsia="Times New Roman" w:cs="Times New Roman"/>
                <w:sz w:val="20"/>
                <w:szCs w:val="20"/>
              </w:rPr>
              <w:t>HVAC High Efficiency Systems Strategy: 10-Year</w:t>
            </w:r>
            <w:r>
              <w:rPr>
                <w:rFonts w:eastAsia="Times New Roman" w:cs="Times New Roman"/>
                <w:sz w:val="20"/>
                <w:szCs w:val="20"/>
              </w:rPr>
              <w:t xml:space="preserve"> </w:t>
            </w:r>
            <w:r w:rsidRPr="00D53723">
              <w:rPr>
                <w:rFonts w:eastAsia="Times New Roman" w:cs="Times New Roman"/>
                <w:sz w:val="20"/>
                <w:szCs w:val="20"/>
              </w:rPr>
              <w:t>Strategy for non-residential HVAC</w:t>
            </w:r>
            <w:r>
              <w:rPr>
                <w:rFonts w:eastAsia="Times New Roman" w:cs="Times New Roman"/>
                <w:sz w:val="20"/>
                <w:szCs w:val="20"/>
              </w:rPr>
              <w:t xml:space="preserve">, by Energy Strategies for </w:t>
            </w:r>
            <w:r w:rsidR="007F4BFB">
              <w:rPr>
                <w:rFonts w:eastAsia="Times New Roman" w:cs="Times New Roman"/>
                <w:sz w:val="20"/>
                <w:szCs w:val="20"/>
              </w:rPr>
              <w:t xml:space="preserve">the </w:t>
            </w:r>
            <w:r w:rsidRPr="00D53723">
              <w:rPr>
                <w:rFonts w:eastAsia="Times New Roman" w:cs="Times New Roman"/>
                <w:sz w:val="20"/>
                <w:szCs w:val="20"/>
              </w:rPr>
              <w:t>Energy Efficiency Committee, 200</w:t>
            </w:r>
            <w:r w:rsidR="007F4BFB">
              <w:rPr>
                <w:rFonts w:eastAsia="Times New Roman" w:cs="Times New Roman"/>
                <w:sz w:val="20"/>
                <w:szCs w:val="20"/>
              </w:rPr>
              <w:t>6/7</w:t>
            </w:r>
            <w:r w:rsidRPr="00D53723">
              <w:rPr>
                <w:rFonts w:eastAsia="Times New Roman" w:cs="Times New Roman"/>
                <w:sz w:val="20"/>
                <w:szCs w:val="20"/>
              </w:rPr>
              <w:t>.</w:t>
            </w:r>
          </w:p>
        </w:tc>
      </w:tr>
      <w:tr w:rsidR="00972A80" w:rsidRPr="00D37A89" w14:paraId="6ED9CFB3" w14:textId="77777777" w:rsidTr="00D37A89">
        <w:trPr>
          <w:trHeight w:val="342"/>
        </w:trPr>
        <w:tc>
          <w:tcPr>
            <w:tcW w:w="1951" w:type="dxa"/>
          </w:tcPr>
          <w:p w14:paraId="52CB7BE2" w14:textId="4E951B08" w:rsidR="00972A80" w:rsidRPr="00D37A89" w:rsidRDefault="00972A80" w:rsidP="00D37A89">
            <w:pPr>
              <w:pStyle w:val="BodyText"/>
              <w:spacing w:before="60" w:after="60"/>
              <w:jc w:val="left"/>
              <w:rPr>
                <w:rFonts w:ascii="Times New Roman" w:hAnsi="Times New Roman"/>
                <w:sz w:val="20"/>
                <w:szCs w:val="20"/>
              </w:rPr>
            </w:pPr>
            <w:r>
              <w:rPr>
                <w:rFonts w:ascii="Times New Roman" w:hAnsi="Times New Roman"/>
                <w:sz w:val="20"/>
                <w:szCs w:val="20"/>
              </w:rPr>
              <w:t>EG 2012</w:t>
            </w:r>
          </w:p>
        </w:tc>
        <w:tc>
          <w:tcPr>
            <w:tcW w:w="7796" w:type="dxa"/>
          </w:tcPr>
          <w:p w14:paraId="635C8150" w14:textId="47C56B73" w:rsidR="00972A80" w:rsidRPr="00D37A89" w:rsidRDefault="00972A80" w:rsidP="00FA6866">
            <w:pPr>
              <w:spacing w:before="60" w:after="60"/>
              <w:jc w:val="left"/>
              <w:rPr>
                <w:rFonts w:eastAsia="Times New Roman" w:cs="Times New Roman"/>
                <w:sz w:val="20"/>
                <w:szCs w:val="20"/>
              </w:rPr>
            </w:pPr>
            <w:r>
              <w:rPr>
                <w:rFonts w:eastAsia="Times New Roman" w:cs="Times New Roman"/>
                <w:sz w:val="20"/>
                <w:szCs w:val="20"/>
              </w:rPr>
              <w:t>Independent review of transport refrigeration sector</w:t>
            </w:r>
            <w:r w:rsidR="00FA6866">
              <w:rPr>
                <w:rFonts w:eastAsia="Times New Roman" w:cs="Times New Roman"/>
                <w:sz w:val="20"/>
                <w:szCs w:val="20"/>
              </w:rPr>
              <w:t xml:space="preserve"> by Expert Group</w:t>
            </w:r>
            <w:r>
              <w:rPr>
                <w:rFonts w:eastAsia="Times New Roman" w:cs="Times New Roman"/>
                <w:sz w:val="20"/>
                <w:szCs w:val="20"/>
              </w:rPr>
              <w:t xml:space="preserve"> for Navman Wireless, 2012</w:t>
            </w:r>
            <w:r w:rsidR="00FA6866">
              <w:rPr>
                <w:rFonts w:eastAsia="Times New Roman" w:cs="Times New Roman"/>
                <w:sz w:val="20"/>
                <w:szCs w:val="20"/>
              </w:rPr>
              <w:t>.</w:t>
            </w:r>
          </w:p>
        </w:tc>
      </w:tr>
      <w:tr w:rsidR="00972A80" w:rsidRPr="00D37A89" w14:paraId="77FA5235" w14:textId="77777777" w:rsidTr="00D37A89">
        <w:trPr>
          <w:trHeight w:val="342"/>
        </w:trPr>
        <w:tc>
          <w:tcPr>
            <w:tcW w:w="1951" w:type="dxa"/>
          </w:tcPr>
          <w:p w14:paraId="3501E69C"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ES, 2007a</w:t>
            </w:r>
          </w:p>
        </w:tc>
        <w:tc>
          <w:tcPr>
            <w:tcW w:w="7796" w:type="dxa"/>
          </w:tcPr>
          <w:p w14:paraId="24F8CDC2"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Assessment of the HCFC Bank and Forecasts of Future Demand for DEWHA Ozone &amp; Synthetic Gas Team, prepared by Michael McCann and Peter Brodribb for Energy Strategies, September 2007.</w:t>
            </w:r>
          </w:p>
        </w:tc>
      </w:tr>
      <w:tr w:rsidR="00972A80" w:rsidRPr="00D37A89" w14:paraId="51FA7A59" w14:textId="77777777" w:rsidTr="00D37A89">
        <w:trPr>
          <w:trHeight w:val="342"/>
        </w:trPr>
        <w:tc>
          <w:tcPr>
            <w:tcW w:w="1951" w:type="dxa"/>
          </w:tcPr>
          <w:p w14:paraId="5930A713"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ES, 2007b</w:t>
            </w:r>
          </w:p>
        </w:tc>
        <w:tc>
          <w:tcPr>
            <w:tcW w:w="7796" w:type="dxa"/>
          </w:tcPr>
          <w:p w14:paraId="3A866C6E"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Cold Hard Facts, prepared by Energy Strategies in association with Expert Group for DEWHA and Refrigerants Australia, 2007.</w:t>
            </w:r>
          </w:p>
        </w:tc>
      </w:tr>
      <w:tr w:rsidR="00972A80" w:rsidRPr="00D37A89" w14:paraId="71A32D23" w14:textId="77777777" w:rsidTr="00D37A89">
        <w:trPr>
          <w:trHeight w:val="342"/>
        </w:trPr>
        <w:tc>
          <w:tcPr>
            <w:tcW w:w="1951" w:type="dxa"/>
          </w:tcPr>
          <w:p w14:paraId="11347FA0"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lastRenderedPageBreak/>
              <w:t>ES, 2008</w:t>
            </w:r>
          </w:p>
        </w:tc>
        <w:tc>
          <w:tcPr>
            <w:tcW w:w="7796" w:type="dxa"/>
          </w:tcPr>
          <w:p w14:paraId="2610E80E"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ODS and SGGs in Australia; A study of End Uses, Emissions and Opportunities for Reclamation, prepared by Energy Strategies in association with Expert Group for the Department of Environment, Heritage, Water &amp; the Arts, June 2008.</w:t>
            </w:r>
          </w:p>
        </w:tc>
      </w:tr>
      <w:tr w:rsidR="00972A80" w:rsidRPr="00D37A89" w14:paraId="62E9A4A9" w14:textId="77777777" w:rsidTr="00D37A89">
        <w:trPr>
          <w:trHeight w:val="342"/>
        </w:trPr>
        <w:tc>
          <w:tcPr>
            <w:tcW w:w="1951" w:type="dxa"/>
          </w:tcPr>
          <w:p w14:paraId="1C077F91"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FAPM 2013</w:t>
            </w:r>
          </w:p>
        </w:tc>
        <w:tc>
          <w:tcPr>
            <w:tcW w:w="7796" w:type="dxa"/>
          </w:tcPr>
          <w:p w14:paraId="66B5AE39"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Statistics provided by the Federation of Automotive Products Manufacturers, February 2013.</w:t>
            </w:r>
          </w:p>
        </w:tc>
      </w:tr>
      <w:tr w:rsidR="00972A80" w:rsidRPr="00D37A89" w14:paraId="741CEBB5" w14:textId="77777777" w:rsidTr="00D37A89">
        <w:trPr>
          <w:trHeight w:val="342"/>
        </w:trPr>
        <w:tc>
          <w:tcPr>
            <w:tcW w:w="1951" w:type="dxa"/>
          </w:tcPr>
          <w:p w14:paraId="385ECD13"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ICF 2010</w:t>
            </w:r>
          </w:p>
        </w:tc>
        <w:tc>
          <w:tcPr>
            <w:tcW w:w="7796" w:type="dxa"/>
          </w:tcPr>
          <w:p w14:paraId="27EE1809" w14:textId="77777777" w:rsidR="00972A80" w:rsidRPr="00D37A89" w:rsidRDefault="00972A80" w:rsidP="00FA6866">
            <w:pPr>
              <w:pStyle w:val="FootnoteText"/>
              <w:spacing w:before="60" w:after="60"/>
              <w:jc w:val="left"/>
              <w:rPr>
                <w:rFonts w:ascii="Times New Roman" w:eastAsia="Times New Roman" w:hAnsi="Times New Roman" w:cs="Times New Roman"/>
                <w:i w:val="0"/>
                <w:sz w:val="20"/>
                <w:szCs w:val="20"/>
              </w:rPr>
            </w:pPr>
            <w:r w:rsidRPr="00D37A89">
              <w:rPr>
                <w:rFonts w:ascii="Times New Roman" w:eastAsia="Times New Roman" w:hAnsi="Times New Roman" w:cs="Times New Roman"/>
                <w:i w:val="0"/>
                <w:sz w:val="20"/>
                <w:szCs w:val="20"/>
              </w:rPr>
              <w:t>Identifying and Assessing Policy Options for Promoting the Recovery and Destruction of Ozone Depleting Substances (ODS) and Certain Fluorinated Greenhouse Gases (F-Gases) Banked In Products and Equipment, ICF International, May 2010.</w:t>
            </w:r>
          </w:p>
        </w:tc>
      </w:tr>
      <w:tr w:rsidR="00972A80" w:rsidRPr="00D37A89" w14:paraId="64E7F482" w14:textId="77777777" w:rsidTr="00D37A89">
        <w:trPr>
          <w:trHeight w:val="342"/>
        </w:trPr>
        <w:tc>
          <w:tcPr>
            <w:tcW w:w="1951" w:type="dxa"/>
          </w:tcPr>
          <w:p w14:paraId="148B61D0"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IEA 2011</w:t>
            </w:r>
          </w:p>
        </w:tc>
        <w:tc>
          <w:tcPr>
            <w:tcW w:w="7796" w:type="dxa"/>
          </w:tcPr>
          <w:p w14:paraId="42342122"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Energy Efficiency Potential for Commercial HVAC: The Australian Case by Thinkwell Australia for the International Energy Agency, June 2011.</w:t>
            </w:r>
          </w:p>
        </w:tc>
      </w:tr>
      <w:tr w:rsidR="00972A80" w:rsidRPr="00D37A89" w14:paraId="5D206DF4" w14:textId="77777777" w:rsidTr="00D37A89">
        <w:trPr>
          <w:trHeight w:val="342"/>
        </w:trPr>
        <w:tc>
          <w:tcPr>
            <w:tcW w:w="1951" w:type="dxa"/>
          </w:tcPr>
          <w:p w14:paraId="319C134B"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MC 2012</w:t>
            </w:r>
          </w:p>
        </w:tc>
        <w:tc>
          <w:tcPr>
            <w:tcW w:w="7796" w:type="dxa"/>
          </w:tcPr>
          <w:p w14:paraId="4B9CE595"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Metcash Ltd, Half Year Results Presentation, Nov 2012.</w:t>
            </w:r>
          </w:p>
        </w:tc>
      </w:tr>
      <w:tr w:rsidR="00972A80" w:rsidRPr="00D37A89" w14:paraId="6C077EFF" w14:textId="77777777" w:rsidTr="00D37A89">
        <w:trPr>
          <w:trHeight w:val="342"/>
        </w:trPr>
        <w:tc>
          <w:tcPr>
            <w:tcW w:w="1951" w:type="dxa"/>
          </w:tcPr>
          <w:p w14:paraId="402707E7"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MG 2012</w:t>
            </w:r>
          </w:p>
        </w:tc>
        <w:tc>
          <w:tcPr>
            <w:tcW w:w="7796" w:type="dxa"/>
          </w:tcPr>
          <w:p w14:paraId="3466EFBA"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Master Grocers Australia, Annual Report, Oct 2012.</w:t>
            </w:r>
          </w:p>
        </w:tc>
      </w:tr>
      <w:tr w:rsidR="00972A80" w:rsidRPr="00D37A89" w14:paraId="3036CD4D" w14:textId="77777777" w:rsidTr="00D37A89">
        <w:trPr>
          <w:trHeight w:val="342"/>
        </w:trPr>
        <w:tc>
          <w:tcPr>
            <w:tcW w:w="1951" w:type="dxa"/>
          </w:tcPr>
          <w:p w14:paraId="769FE0F6"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NGERS 2012</w:t>
            </w:r>
          </w:p>
        </w:tc>
        <w:tc>
          <w:tcPr>
            <w:tcW w:w="7796" w:type="dxa"/>
          </w:tcPr>
          <w:p w14:paraId="6E8645F5"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NGERS technical guidelines for the estimation of GG emissions by facilities in Australia, July 2012.</w:t>
            </w:r>
          </w:p>
        </w:tc>
      </w:tr>
      <w:tr w:rsidR="00972A80" w:rsidRPr="00D37A89" w14:paraId="343AA9A8" w14:textId="77777777" w:rsidTr="00D37A89">
        <w:trPr>
          <w:trHeight w:val="342"/>
        </w:trPr>
        <w:tc>
          <w:tcPr>
            <w:tcW w:w="1951" w:type="dxa"/>
          </w:tcPr>
          <w:p w14:paraId="121C3EF7" w14:textId="48EA9B3B" w:rsidR="00972A80" w:rsidRPr="00D37A89" w:rsidRDefault="00972A80" w:rsidP="00362302">
            <w:pPr>
              <w:pStyle w:val="BodyText"/>
              <w:spacing w:before="60" w:after="60"/>
              <w:jc w:val="left"/>
              <w:rPr>
                <w:rFonts w:ascii="Times New Roman" w:hAnsi="Times New Roman"/>
                <w:sz w:val="20"/>
                <w:szCs w:val="20"/>
              </w:rPr>
            </w:pPr>
            <w:r w:rsidRPr="00362302">
              <w:rPr>
                <w:rFonts w:ascii="Times New Roman" w:hAnsi="Times New Roman"/>
                <w:sz w:val="20"/>
                <w:szCs w:val="20"/>
              </w:rPr>
              <w:t>OPSGGMA</w:t>
            </w:r>
          </w:p>
        </w:tc>
        <w:tc>
          <w:tcPr>
            <w:tcW w:w="7796" w:type="dxa"/>
          </w:tcPr>
          <w:p w14:paraId="60A8510F" w14:textId="3CD1CC10" w:rsidR="00972A80" w:rsidRPr="00D37A89" w:rsidRDefault="00972A80" w:rsidP="00FA6866">
            <w:pPr>
              <w:pStyle w:val="BodyText"/>
              <w:spacing w:before="60" w:after="60"/>
              <w:jc w:val="left"/>
              <w:rPr>
                <w:rFonts w:ascii="Times New Roman" w:hAnsi="Times New Roman"/>
                <w:sz w:val="20"/>
                <w:szCs w:val="20"/>
              </w:rPr>
            </w:pPr>
            <w:r w:rsidRPr="00362302">
              <w:rPr>
                <w:rFonts w:ascii="Times New Roman" w:hAnsi="Times New Roman"/>
                <w:sz w:val="20"/>
                <w:szCs w:val="20"/>
              </w:rPr>
              <w:t>Ozone Protection and Synthetic Greenhouse Gas Management Act 1959</w:t>
            </w:r>
            <w:r>
              <w:rPr>
                <w:rFonts w:ascii="Times New Roman" w:hAnsi="Times New Roman"/>
                <w:sz w:val="20"/>
                <w:szCs w:val="20"/>
              </w:rPr>
              <w:t>, including amendments.</w:t>
            </w:r>
          </w:p>
        </w:tc>
      </w:tr>
      <w:tr w:rsidR="00972A80" w:rsidRPr="00D37A89" w14:paraId="61E34450" w14:textId="77777777" w:rsidTr="00D37A89">
        <w:trPr>
          <w:trHeight w:val="342"/>
        </w:trPr>
        <w:tc>
          <w:tcPr>
            <w:tcW w:w="1951" w:type="dxa"/>
          </w:tcPr>
          <w:p w14:paraId="416EE235"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QGDME 2012</w:t>
            </w:r>
          </w:p>
        </w:tc>
        <w:tc>
          <w:tcPr>
            <w:tcW w:w="7796" w:type="dxa"/>
          </w:tcPr>
          <w:p w14:paraId="55E8DFEC" w14:textId="77777777" w:rsidR="00972A80" w:rsidRPr="00D37A89" w:rsidRDefault="00972A80" w:rsidP="00FA6866">
            <w:pPr>
              <w:pStyle w:val="BodyText"/>
              <w:spacing w:before="60" w:after="60"/>
              <w:jc w:val="left"/>
              <w:rPr>
                <w:rFonts w:ascii="Times New Roman" w:hAnsi="Times New Roman"/>
                <w:sz w:val="20"/>
                <w:szCs w:val="20"/>
              </w:rPr>
            </w:pPr>
            <w:r w:rsidRPr="00D37A89">
              <w:rPr>
                <w:rFonts w:ascii="Times New Roman" w:hAnsi="Times New Roman"/>
                <w:sz w:val="20"/>
                <w:szCs w:val="20"/>
              </w:rPr>
              <w:t>Hydrocarbon Appliance Register, Queensland Government, Department of Mines and Energy, 2012.</w:t>
            </w:r>
          </w:p>
        </w:tc>
      </w:tr>
      <w:tr w:rsidR="00972A80" w:rsidRPr="00D37A89" w14:paraId="1D49F2D5" w14:textId="77777777" w:rsidTr="00D37A89">
        <w:trPr>
          <w:trHeight w:val="342"/>
        </w:trPr>
        <w:tc>
          <w:tcPr>
            <w:tcW w:w="1951" w:type="dxa"/>
          </w:tcPr>
          <w:p w14:paraId="66C09A43"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TER 2012</w:t>
            </w:r>
          </w:p>
        </w:tc>
        <w:tc>
          <w:tcPr>
            <w:tcW w:w="7796" w:type="dxa"/>
          </w:tcPr>
          <w:p w14:paraId="05EAD715" w14:textId="77777777" w:rsidR="00972A80" w:rsidRPr="00D37A89" w:rsidRDefault="00972A80" w:rsidP="00FA6866">
            <w:pPr>
              <w:spacing w:before="60" w:after="60"/>
              <w:jc w:val="left"/>
              <w:rPr>
                <w:rFonts w:eastAsia="Times New Roman" w:cs="Times New Roman"/>
                <w:sz w:val="20"/>
                <w:szCs w:val="20"/>
              </w:rPr>
            </w:pPr>
            <w:r w:rsidRPr="00D37A89">
              <w:rPr>
                <w:rFonts w:eastAsia="Times New Roman" w:cs="Times New Roman"/>
                <w:sz w:val="20"/>
                <w:szCs w:val="20"/>
              </w:rPr>
              <w:t>Comparison of 2012 Australian Standing Offer Energy Prices, Office of the Tasmanian Economic Regulator, Feb 2012.</w:t>
            </w:r>
          </w:p>
        </w:tc>
      </w:tr>
      <w:tr w:rsidR="00972A80" w:rsidRPr="00D37A89" w14:paraId="6D83C4AE" w14:textId="77777777" w:rsidTr="00D37A89">
        <w:trPr>
          <w:trHeight w:val="342"/>
        </w:trPr>
        <w:tc>
          <w:tcPr>
            <w:tcW w:w="1951" w:type="dxa"/>
          </w:tcPr>
          <w:p w14:paraId="38F5A3AE"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WF 2013</w:t>
            </w:r>
          </w:p>
        </w:tc>
        <w:tc>
          <w:tcPr>
            <w:tcW w:w="7796" w:type="dxa"/>
          </w:tcPr>
          <w:p w14:paraId="42951CEF" w14:textId="77777777" w:rsidR="00972A80" w:rsidRPr="00D37A89" w:rsidRDefault="00972A80" w:rsidP="00D84277">
            <w:pPr>
              <w:spacing w:before="60" w:after="60"/>
              <w:jc w:val="left"/>
              <w:rPr>
                <w:rFonts w:eastAsia="Times New Roman" w:cs="Times New Roman"/>
                <w:sz w:val="20"/>
                <w:szCs w:val="20"/>
              </w:rPr>
            </w:pPr>
            <w:r w:rsidRPr="00D37A89">
              <w:rPr>
                <w:rFonts w:eastAsia="Times New Roman" w:cs="Times New Roman"/>
                <w:sz w:val="20"/>
                <w:szCs w:val="20"/>
              </w:rPr>
              <w:t>Westfarmers, 2013 Second Quarter Retail Sales Results, Jan 2013.</w:t>
            </w:r>
          </w:p>
        </w:tc>
      </w:tr>
      <w:tr w:rsidR="00972A80" w:rsidRPr="00D37A89" w14:paraId="545AC094" w14:textId="77777777" w:rsidTr="00D37A89">
        <w:trPr>
          <w:trHeight w:val="342"/>
        </w:trPr>
        <w:tc>
          <w:tcPr>
            <w:tcW w:w="1951" w:type="dxa"/>
          </w:tcPr>
          <w:p w14:paraId="731D2877" w14:textId="77777777" w:rsidR="00972A80" w:rsidRPr="00D37A89" w:rsidRDefault="00972A80" w:rsidP="00D37A89">
            <w:pPr>
              <w:pStyle w:val="BodyText"/>
              <w:spacing w:before="60" w:after="60"/>
              <w:jc w:val="left"/>
              <w:rPr>
                <w:rFonts w:ascii="Times New Roman" w:hAnsi="Times New Roman"/>
                <w:sz w:val="20"/>
                <w:szCs w:val="20"/>
              </w:rPr>
            </w:pPr>
            <w:r w:rsidRPr="00D37A89">
              <w:rPr>
                <w:rFonts w:ascii="Times New Roman" w:hAnsi="Times New Roman"/>
                <w:sz w:val="20"/>
                <w:szCs w:val="20"/>
              </w:rPr>
              <w:t>WOW 2013</w:t>
            </w:r>
          </w:p>
        </w:tc>
        <w:tc>
          <w:tcPr>
            <w:tcW w:w="7796" w:type="dxa"/>
          </w:tcPr>
          <w:p w14:paraId="480DCC13" w14:textId="4AF96C57" w:rsidR="00972A80" w:rsidRPr="00D37A89" w:rsidRDefault="00972A80" w:rsidP="00D84277">
            <w:pPr>
              <w:spacing w:before="60" w:after="60"/>
              <w:jc w:val="left"/>
              <w:rPr>
                <w:rFonts w:cs="Times New Roman"/>
                <w:sz w:val="20"/>
                <w:szCs w:val="20"/>
              </w:rPr>
            </w:pPr>
            <w:r w:rsidRPr="00D37A89">
              <w:rPr>
                <w:rFonts w:eastAsia="Times New Roman" w:cs="Times New Roman"/>
                <w:sz w:val="20"/>
                <w:szCs w:val="20"/>
              </w:rPr>
              <w:t>Woolworths Limited, First Half Year Sales Results, Jan 2013.</w:t>
            </w:r>
          </w:p>
        </w:tc>
      </w:tr>
    </w:tbl>
    <w:p w14:paraId="389AD923" w14:textId="77777777" w:rsidR="00922054" w:rsidRDefault="00922054" w:rsidP="00922054"/>
    <w:p w14:paraId="338C5AEA" w14:textId="77777777" w:rsidR="00922054" w:rsidRDefault="00922054">
      <w:pPr>
        <w:spacing w:before="0"/>
        <w:jc w:val="left"/>
        <w:rPr>
          <w:szCs w:val="22"/>
        </w:rPr>
      </w:pPr>
    </w:p>
    <w:p w14:paraId="78597586" w14:textId="77777777" w:rsidR="00925DF3" w:rsidRDefault="00925DF3">
      <w:pPr>
        <w:spacing w:before="0"/>
        <w:jc w:val="left"/>
        <w:rPr>
          <w:szCs w:val="22"/>
        </w:rPr>
      </w:pPr>
      <w:r>
        <w:rPr>
          <w:szCs w:val="22"/>
        </w:rPr>
        <w:br w:type="page"/>
      </w:r>
    </w:p>
    <w:p w14:paraId="49A9D107" w14:textId="7C9692D0" w:rsidR="00925DF3" w:rsidRPr="00220AB1" w:rsidRDefault="00CC13DC">
      <w:pPr>
        <w:spacing w:before="0"/>
        <w:jc w:val="left"/>
        <w:rPr>
          <w:rFonts w:asciiTheme="majorHAnsi" w:hAnsiTheme="majorHAnsi"/>
          <w:b/>
          <w:sz w:val="32"/>
          <w:szCs w:val="32"/>
        </w:rPr>
      </w:pPr>
      <w:r w:rsidRPr="00220AB1">
        <w:rPr>
          <w:rFonts w:asciiTheme="majorHAnsi" w:hAnsiTheme="majorHAnsi"/>
          <w:b/>
          <w:sz w:val="32"/>
          <w:szCs w:val="32"/>
        </w:rPr>
        <w:lastRenderedPageBreak/>
        <w:t>Appendix</w:t>
      </w:r>
      <w:r w:rsidR="00220AB1">
        <w:rPr>
          <w:rFonts w:asciiTheme="majorHAnsi" w:hAnsiTheme="majorHAnsi"/>
          <w:b/>
          <w:sz w:val="32"/>
          <w:szCs w:val="32"/>
        </w:rPr>
        <w:t xml:space="preserve"> </w:t>
      </w:r>
      <w:r w:rsidR="00D509BE" w:rsidRPr="00482A8A">
        <w:rPr>
          <w:rFonts w:asciiTheme="majorHAnsi" w:hAnsiTheme="majorHAnsi"/>
          <w:b/>
          <w:sz w:val="32"/>
          <w:szCs w:val="32"/>
        </w:rPr>
        <w:t>A</w:t>
      </w:r>
      <w:r w:rsidRPr="00482A8A">
        <w:rPr>
          <w:rFonts w:asciiTheme="majorHAnsi" w:hAnsiTheme="majorHAnsi"/>
          <w:b/>
          <w:sz w:val="32"/>
          <w:szCs w:val="32"/>
        </w:rPr>
        <w:t>:</w:t>
      </w:r>
      <w:r w:rsidRPr="00220AB1">
        <w:rPr>
          <w:rFonts w:asciiTheme="majorHAnsi" w:hAnsiTheme="majorHAnsi"/>
          <w:b/>
          <w:sz w:val="32"/>
          <w:szCs w:val="32"/>
        </w:rPr>
        <w:t xml:space="preserve"> </w:t>
      </w:r>
      <w:r w:rsidR="00D509BE">
        <w:rPr>
          <w:rFonts w:asciiTheme="majorHAnsi" w:hAnsiTheme="majorHAnsi"/>
          <w:b/>
          <w:sz w:val="32"/>
          <w:szCs w:val="32"/>
        </w:rPr>
        <w:t>Methodology</w:t>
      </w:r>
    </w:p>
    <w:p w14:paraId="64645005" w14:textId="77777777" w:rsidR="00745891" w:rsidRPr="00114173" w:rsidRDefault="00745891" w:rsidP="00114173">
      <w:pPr>
        <w:rPr>
          <w:rFonts w:cs="Times New Roman"/>
          <w:szCs w:val="22"/>
          <w:lang w:val="en-US"/>
        </w:rPr>
      </w:pPr>
      <w:r w:rsidRPr="00114173">
        <w:rPr>
          <w:rFonts w:cs="Times New Roman"/>
          <w:szCs w:val="22"/>
          <w:lang w:val="en-US"/>
        </w:rPr>
        <w:t xml:space="preserve">The data presented in this report has been derived from an extensive Excel workbook that has, at its core, a stock model of RAC employed in Australia. </w:t>
      </w:r>
    </w:p>
    <w:p w14:paraId="775EBF28" w14:textId="77777777" w:rsidR="00745891" w:rsidRPr="00114173" w:rsidRDefault="00745891" w:rsidP="00F47E8A">
      <w:pPr>
        <w:spacing w:before="240"/>
        <w:rPr>
          <w:rFonts w:asciiTheme="majorHAnsi" w:hAnsiTheme="majorHAnsi"/>
          <w:b/>
          <w:sz w:val="24"/>
        </w:rPr>
      </w:pPr>
      <w:r w:rsidRPr="00114173">
        <w:rPr>
          <w:rFonts w:asciiTheme="majorHAnsi" w:hAnsiTheme="majorHAnsi"/>
          <w:b/>
          <w:sz w:val="24"/>
        </w:rPr>
        <w:t>Data underlying the stock model</w:t>
      </w:r>
    </w:p>
    <w:p w14:paraId="08D85E97" w14:textId="60C43579" w:rsidR="00745891" w:rsidRPr="00114173" w:rsidRDefault="00745891" w:rsidP="00114173">
      <w:pPr>
        <w:rPr>
          <w:rFonts w:cs="Times New Roman"/>
          <w:szCs w:val="22"/>
          <w:lang w:val="en-US"/>
        </w:rPr>
      </w:pPr>
      <w:r w:rsidRPr="00114173">
        <w:rPr>
          <w:rFonts w:cs="Times New Roman"/>
          <w:szCs w:val="22"/>
          <w:lang w:val="en-US"/>
        </w:rPr>
        <w:t xml:space="preserve">This stock model was first developed in 2006 during research for what became the first edition of Cold Hard Facts (CHF1). Primary data sources used for the construction of the </w:t>
      </w:r>
      <w:r w:rsidR="00E4085D">
        <w:rPr>
          <w:rFonts w:cs="Times New Roman"/>
          <w:szCs w:val="22"/>
          <w:lang w:val="en-US"/>
        </w:rPr>
        <w:t xml:space="preserve">original </w:t>
      </w:r>
      <w:r w:rsidRPr="00114173">
        <w:rPr>
          <w:rFonts w:cs="Times New Roman"/>
          <w:szCs w:val="22"/>
          <w:lang w:val="en-US"/>
        </w:rPr>
        <w:t>stock model included:</w:t>
      </w:r>
    </w:p>
    <w:p w14:paraId="45A5A3AA" w14:textId="330B51CC" w:rsidR="00E4085D" w:rsidRPr="00E4085D" w:rsidRDefault="00E4085D" w:rsidP="00E4085D">
      <w:pPr>
        <w:pStyle w:val="ListParagraph"/>
        <w:numPr>
          <w:ilvl w:val="0"/>
          <w:numId w:val="2"/>
        </w:numPr>
        <w:spacing w:before="120" w:after="0"/>
        <w:ind w:left="357"/>
        <w:contextualSpacing w:val="0"/>
        <w:jc w:val="both"/>
        <w:rPr>
          <w:rFonts w:ascii="Times New Roman" w:hAnsi="Times New Roman"/>
          <w:lang w:val="en-US"/>
        </w:rPr>
      </w:pPr>
      <w:r w:rsidRPr="00E4085D">
        <w:rPr>
          <w:rFonts w:ascii="Times New Roman" w:hAnsi="Times New Roman"/>
          <w:lang w:val="en-US"/>
        </w:rPr>
        <w:t xml:space="preserve">Australian Customs </w:t>
      </w:r>
      <w:r>
        <w:rPr>
          <w:rFonts w:ascii="Times New Roman" w:hAnsi="Times New Roman"/>
          <w:lang w:val="en-US"/>
        </w:rPr>
        <w:t xml:space="preserve">import </w:t>
      </w:r>
      <w:r w:rsidRPr="00E4085D">
        <w:rPr>
          <w:rFonts w:ascii="Times New Roman" w:hAnsi="Times New Roman"/>
          <w:lang w:val="en-US"/>
        </w:rPr>
        <w:t xml:space="preserve">reports </w:t>
      </w:r>
      <w:r>
        <w:rPr>
          <w:rFonts w:ascii="Times New Roman" w:hAnsi="Times New Roman"/>
          <w:lang w:val="en-US"/>
        </w:rPr>
        <w:t xml:space="preserve">for </w:t>
      </w:r>
      <w:r w:rsidRPr="00E4085D">
        <w:rPr>
          <w:rFonts w:ascii="Times New Roman" w:hAnsi="Times New Roman"/>
          <w:lang w:val="en-US"/>
        </w:rPr>
        <w:t xml:space="preserve">various </w:t>
      </w:r>
      <w:r>
        <w:rPr>
          <w:rFonts w:ascii="Times New Roman" w:hAnsi="Times New Roman"/>
          <w:lang w:val="en-US"/>
        </w:rPr>
        <w:t xml:space="preserve">product </w:t>
      </w:r>
      <w:r w:rsidRPr="00E4085D">
        <w:rPr>
          <w:rFonts w:ascii="Times New Roman" w:hAnsi="Times New Roman"/>
          <w:lang w:val="en-US"/>
        </w:rPr>
        <w:t xml:space="preserve">categories </w:t>
      </w:r>
      <w:r>
        <w:rPr>
          <w:rFonts w:ascii="Times New Roman" w:hAnsi="Times New Roman"/>
          <w:lang w:val="en-US"/>
        </w:rPr>
        <w:t>(primarily air conditioning equipment by capacity, and some categories)</w:t>
      </w:r>
      <w:r w:rsidRPr="00E4085D">
        <w:rPr>
          <w:rFonts w:ascii="Times New Roman" w:hAnsi="Times New Roman"/>
          <w:lang w:val="en-US"/>
        </w:rPr>
        <w:t>;</w:t>
      </w:r>
    </w:p>
    <w:p w14:paraId="0D076E36" w14:textId="163B27B2" w:rsidR="00E4085D" w:rsidRPr="00E4085D" w:rsidRDefault="00E4085D" w:rsidP="00E4085D">
      <w:pPr>
        <w:pStyle w:val="ListParagraph"/>
        <w:numPr>
          <w:ilvl w:val="0"/>
          <w:numId w:val="2"/>
        </w:numPr>
        <w:spacing w:before="120" w:after="0"/>
        <w:ind w:left="357"/>
        <w:contextualSpacing w:val="0"/>
        <w:jc w:val="both"/>
        <w:rPr>
          <w:rFonts w:ascii="Times New Roman" w:hAnsi="Times New Roman"/>
          <w:lang w:val="en-US"/>
        </w:rPr>
      </w:pPr>
      <w:r w:rsidRPr="00E4085D">
        <w:rPr>
          <w:rFonts w:ascii="Times New Roman" w:hAnsi="Times New Roman"/>
          <w:lang w:val="en-US"/>
        </w:rPr>
        <w:t xml:space="preserve">Department of Environment Water Heritage and the Arts (DEWHA) data </w:t>
      </w:r>
      <w:r>
        <w:rPr>
          <w:rFonts w:ascii="Times New Roman" w:hAnsi="Times New Roman"/>
          <w:lang w:val="en-US"/>
        </w:rPr>
        <w:t xml:space="preserve">on </w:t>
      </w:r>
      <w:r w:rsidRPr="00E4085D">
        <w:rPr>
          <w:rFonts w:ascii="Times New Roman" w:hAnsi="Times New Roman"/>
          <w:lang w:val="en-US"/>
        </w:rPr>
        <w:t>pre-cha</w:t>
      </w:r>
      <w:r>
        <w:rPr>
          <w:rFonts w:ascii="Times New Roman" w:hAnsi="Times New Roman"/>
          <w:lang w:val="en-US"/>
        </w:rPr>
        <w:t>r</w:t>
      </w:r>
      <w:r w:rsidRPr="00E4085D">
        <w:rPr>
          <w:rFonts w:ascii="Times New Roman" w:hAnsi="Times New Roman"/>
          <w:lang w:val="en-US"/>
        </w:rPr>
        <w:t>ged equipment imports</w:t>
      </w:r>
      <w:r>
        <w:rPr>
          <w:rFonts w:ascii="Times New Roman" w:hAnsi="Times New Roman"/>
          <w:lang w:val="en-US"/>
        </w:rPr>
        <w:t xml:space="preserve"> for 2005 and 2006</w:t>
      </w:r>
      <w:r w:rsidRPr="00E4085D">
        <w:rPr>
          <w:rFonts w:ascii="Times New Roman" w:hAnsi="Times New Roman"/>
          <w:lang w:val="en-US"/>
        </w:rPr>
        <w:t>;</w:t>
      </w:r>
    </w:p>
    <w:p w14:paraId="2809A3C1" w14:textId="5F4458FB" w:rsidR="00114173" w:rsidRPr="00114173" w:rsidRDefault="00745891" w:rsidP="00E4085D">
      <w:pPr>
        <w:pStyle w:val="ListParagraph"/>
        <w:numPr>
          <w:ilvl w:val="0"/>
          <w:numId w:val="2"/>
        </w:numPr>
        <w:spacing w:before="120" w:after="0"/>
        <w:ind w:left="357"/>
        <w:contextualSpacing w:val="0"/>
        <w:jc w:val="both"/>
        <w:rPr>
          <w:rFonts w:ascii="Times New Roman" w:hAnsi="Times New Roman"/>
          <w:lang w:val="en-US"/>
        </w:rPr>
      </w:pPr>
      <w:r w:rsidRPr="00E4085D">
        <w:rPr>
          <w:rFonts w:ascii="Times New Roman" w:hAnsi="Times New Roman"/>
          <w:lang w:val="en-US"/>
        </w:rPr>
        <w:t xml:space="preserve">Commercial market research estimating the numbers of residential and small commercial split </w:t>
      </w:r>
      <w:r w:rsidR="00E4085D">
        <w:rPr>
          <w:rFonts w:ascii="Times New Roman" w:hAnsi="Times New Roman"/>
          <w:lang w:val="en-US"/>
        </w:rPr>
        <w:t xml:space="preserve">and packaged </w:t>
      </w:r>
      <w:r w:rsidRPr="00E4085D">
        <w:rPr>
          <w:rFonts w:ascii="Times New Roman" w:hAnsi="Times New Roman"/>
          <w:lang w:val="en-US"/>
        </w:rPr>
        <w:t>air conditioning systems sold in the few years prior to 2006</w:t>
      </w:r>
      <w:r w:rsidR="00E4085D">
        <w:rPr>
          <w:rFonts w:ascii="Times New Roman" w:hAnsi="Times New Roman"/>
          <w:lang w:val="en-US"/>
        </w:rPr>
        <w:t xml:space="preserve"> (by capacity and product type)</w:t>
      </w:r>
      <w:r w:rsidRPr="00E4085D">
        <w:rPr>
          <w:rFonts w:ascii="Times New Roman" w:hAnsi="Times New Roman"/>
          <w:lang w:val="en-US"/>
        </w:rPr>
        <w:t>;</w:t>
      </w:r>
    </w:p>
    <w:p w14:paraId="74F3ADCC" w14:textId="77777777" w:rsidR="00114173" w:rsidRDefault="00745891" w:rsidP="00E4085D">
      <w:pPr>
        <w:pStyle w:val="ListParagraph"/>
        <w:numPr>
          <w:ilvl w:val="0"/>
          <w:numId w:val="2"/>
        </w:numPr>
        <w:spacing w:before="120" w:after="0"/>
        <w:ind w:left="357"/>
        <w:contextualSpacing w:val="0"/>
        <w:jc w:val="both"/>
        <w:rPr>
          <w:rFonts w:ascii="Times New Roman" w:hAnsi="Times New Roman"/>
          <w:lang w:val="en-US"/>
        </w:rPr>
      </w:pPr>
      <w:r w:rsidRPr="00114173">
        <w:rPr>
          <w:rFonts w:ascii="Times New Roman" w:hAnsi="Times New Roman"/>
          <w:lang w:val="en-US"/>
        </w:rPr>
        <w:t>Various sales datasets, some partial, from 2004 and going back as far as 1995 for domestic refrigeration, residential and small commercial air conditioning was collected from a number of importers, manufacturers and from published market research, constructed into the early years of the model and then exposed for industry comment and review;</w:t>
      </w:r>
    </w:p>
    <w:p w14:paraId="32C1FB6E" w14:textId="1C8FE631" w:rsidR="00114173" w:rsidRDefault="00745891" w:rsidP="00E4085D">
      <w:pPr>
        <w:pStyle w:val="ListParagraph"/>
        <w:numPr>
          <w:ilvl w:val="0"/>
          <w:numId w:val="2"/>
        </w:numPr>
        <w:spacing w:before="120" w:after="0"/>
        <w:ind w:left="357"/>
        <w:contextualSpacing w:val="0"/>
        <w:jc w:val="both"/>
        <w:rPr>
          <w:rFonts w:ascii="Times New Roman" w:hAnsi="Times New Roman"/>
          <w:lang w:val="en-US"/>
        </w:rPr>
      </w:pPr>
      <w:r w:rsidRPr="00114173">
        <w:rPr>
          <w:rFonts w:ascii="Times New Roman" w:hAnsi="Times New Roman"/>
          <w:lang w:val="en-US"/>
        </w:rPr>
        <w:t xml:space="preserve">Personal communications and interviews with manufacturers and importers of commercial </w:t>
      </w:r>
      <w:r w:rsidR="00114173">
        <w:rPr>
          <w:rFonts w:ascii="Times New Roman" w:hAnsi="Times New Roman"/>
          <w:lang w:val="en-US"/>
        </w:rPr>
        <w:t>split systems and chillers, and</w:t>
      </w:r>
    </w:p>
    <w:p w14:paraId="06081007" w14:textId="56D78121" w:rsidR="00745891" w:rsidRPr="00114173" w:rsidRDefault="00745891" w:rsidP="00E4085D">
      <w:pPr>
        <w:pStyle w:val="ListParagraph"/>
        <w:numPr>
          <w:ilvl w:val="0"/>
          <w:numId w:val="2"/>
        </w:numPr>
        <w:spacing w:before="120" w:after="0"/>
        <w:ind w:left="357"/>
        <w:contextualSpacing w:val="0"/>
        <w:jc w:val="both"/>
        <w:rPr>
          <w:rFonts w:ascii="Times New Roman" w:hAnsi="Times New Roman"/>
          <w:lang w:val="en-US"/>
        </w:rPr>
      </w:pPr>
      <w:r w:rsidRPr="00114173">
        <w:rPr>
          <w:rFonts w:ascii="Times New Roman" w:hAnsi="Times New Roman"/>
          <w:lang w:val="en-US"/>
        </w:rPr>
        <w:t>Personal communications and interviews with manufacturers of commercial and domestic refrigeration systems.</w:t>
      </w:r>
    </w:p>
    <w:p w14:paraId="7E5B9735" w14:textId="77777777" w:rsidR="00745891" w:rsidRPr="00114173" w:rsidRDefault="00745891" w:rsidP="00E4085D">
      <w:pPr>
        <w:rPr>
          <w:rFonts w:cs="Times New Roman"/>
          <w:szCs w:val="22"/>
          <w:lang w:val="en-US"/>
        </w:rPr>
      </w:pPr>
      <w:r w:rsidRPr="00114173">
        <w:rPr>
          <w:rFonts w:cs="Times New Roman"/>
          <w:szCs w:val="22"/>
          <w:lang w:val="en-US"/>
        </w:rPr>
        <w:t xml:space="preserve">This extensive stock model eventually included estimates of stocks of equipment in all of the major classes of equipment and main applications from as early as 1996 through to 2006. </w:t>
      </w:r>
    </w:p>
    <w:p w14:paraId="1AC4D513" w14:textId="77777777" w:rsidR="00745891" w:rsidRPr="00114173" w:rsidRDefault="00745891" w:rsidP="00E4085D">
      <w:pPr>
        <w:rPr>
          <w:rFonts w:cs="Times New Roman"/>
          <w:szCs w:val="22"/>
          <w:lang w:val="en-US"/>
        </w:rPr>
      </w:pPr>
      <w:r w:rsidRPr="00114173">
        <w:rPr>
          <w:rFonts w:cs="Times New Roman"/>
          <w:szCs w:val="22"/>
          <w:lang w:val="en-US"/>
        </w:rPr>
        <w:t>Equipment retirement rates were developed using knowledge of manufacturer’s warranty conditions, interviews with suppliers, designers and engineers.</w:t>
      </w:r>
    </w:p>
    <w:p w14:paraId="0C2F0775" w14:textId="77777777" w:rsidR="00745891" w:rsidRPr="00114173" w:rsidRDefault="00745891" w:rsidP="00E4085D">
      <w:pPr>
        <w:rPr>
          <w:rFonts w:cs="Times New Roman"/>
          <w:szCs w:val="22"/>
          <w:lang w:val="en-US"/>
        </w:rPr>
      </w:pPr>
      <w:r w:rsidRPr="00114173">
        <w:rPr>
          <w:rFonts w:cs="Times New Roman"/>
          <w:szCs w:val="22"/>
          <w:lang w:val="en-US"/>
        </w:rPr>
        <w:t>Since 2007 when the CHF1 was published, the stock model has been used by the original authors for several major studies in this field, each one adding something to the scope and substance of the model.</w:t>
      </w:r>
    </w:p>
    <w:p w14:paraId="033DC6E9" w14:textId="5A14CB15" w:rsidR="00745891" w:rsidRDefault="00745891" w:rsidP="00E4085D">
      <w:pPr>
        <w:rPr>
          <w:rFonts w:cs="Times New Roman"/>
          <w:szCs w:val="22"/>
          <w:lang w:val="en-US"/>
        </w:rPr>
      </w:pPr>
      <w:r w:rsidRPr="00114173">
        <w:rPr>
          <w:rFonts w:cs="Times New Roman"/>
          <w:szCs w:val="22"/>
          <w:lang w:val="en-US"/>
        </w:rPr>
        <w:t>As a result, the original stock model has been extended and refined with new sources of data and ma</w:t>
      </w:r>
      <w:r w:rsidR="003C6CAB">
        <w:rPr>
          <w:rFonts w:cs="Times New Roman"/>
          <w:szCs w:val="22"/>
          <w:lang w:val="en-US"/>
        </w:rPr>
        <w:t>rket intelligence that included:</w:t>
      </w:r>
    </w:p>
    <w:p w14:paraId="4049E15E" w14:textId="71E982AA" w:rsidR="00114173" w:rsidRPr="00114173" w:rsidRDefault="00114173" w:rsidP="00E4085D">
      <w:pPr>
        <w:pStyle w:val="ListParagraph"/>
        <w:numPr>
          <w:ilvl w:val="0"/>
          <w:numId w:val="2"/>
        </w:numPr>
        <w:spacing w:before="120" w:after="0"/>
        <w:ind w:left="357"/>
        <w:contextualSpacing w:val="0"/>
        <w:jc w:val="both"/>
        <w:rPr>
          <w:rFonts w:ascii="Times New Roman" w:hAnsi="Times New Roman"/>
        </w:rPr>
      </w:pPr>
      <w:r>
        <w:rPr>
          <w:rFonts w:ascii="Times New Roman" w:hAnsi="Times New Roman"/>
        </w:rPr>
        <w:t xml:space="preserve">The latest issue the </w:t>
      </w:r>
      <w:r w:rsidRPr="00114173">
        <w:rPr>
          <w:rFonts w:ascii="Times New Roman" w:hAnsi="Times New Roman"/>
        </w:rPr>
        <w:t>Department of Sustainability, Environment, Water, Population and Communities</w:t>
      </w:r>
      <w:r>
        <w:rPr>
          <w:rFonts w:ascii="Times New Roman" w:hAnsi="Times New Roman"/>
        </w:rPr>
        <w:t xml:space="preserve"> </w:t>
      </w:r>
      <w:r w:rsidR="004B2E7E">
        <w:rPr>
          <w:rFonts w:ascii="Times New Roman" w:hAnsi="Times New Roman"/>
        </w:rPr>
        <w:t>data i</w:t>
      </w:r>
      <w:r>
        <w:rPr>
          <w:rFonts w:ascii="Times New Roman" w:hAnsi="Times New Roman"/>
        </w:rPr>
        <w:t xml:space="preserve">ncluding </w:t>
      </w:r>
      <w:r w:rsidRPr="00114173">
        <w:rPr>
          <w:rFonts w:ascii="Times New Roman" w:hAnsi="Times New Roman"/>
        </w:rPr>
        <w:t>bulk and pre-charged equipment import statistics by quantity, mass, species, licen</w:t>
      </w:r>
      <w:r w:rsidR="0070240A">
        <w:rPr>
          <w:rFonts w:ascii="Times New Roman" w:hAnsi="Times New Roman"/>
        </w:rPr>
        <w:t>c</w:t>
      </w:r>
      <w:r w:rsidRPr="00114173">
        <w:rPr>
          <w:rFonts w:ascii="Times New Roman" w:hAnsi="Times New Roman"/>
        </w:rPr>
        <w:t xml:space="preserve">e holder, product category from 2006 to 2013 </w:t>
      </w:r>
      <w:r>
        <w:rPr>
          <w:rFonts w:ascii="Times New Roman" w:hAnsi="Times New Roman"/>
        </w:rPr>
        <w:t>(DSEWPaC 2013)</w:t>
      </w:r>
      <w:r w:rsidR="004B2E7E">
        <w:rPr>
          <w:rFonts w:ascii="Times New Roman" w:hAnsi="Times New Roman"/>
        </w:rPr>
        <w:t>;</w:t>
      </w:r>
      <w:r w:rsidR="00E4085D" w:rsidRPr="00E4085D">
        <w:rPr>
          <w:rStyle w:val="FootnoteReference"/>
          <w:lang w:val="en-US"/>
        </w:rPr>
        <w:t xml:space="preserve"> </w:t>
      </w:r>
      <w:r w:rsidR="00E4085D">
        <w:rPr>
          <w:rStyle w:val="FootnoteReference"/>
          <w:lang w:val="en-US"/>
        </w:rPr>
        <w:footnoteReference w:id="32"/>
      </w:r>
    </w:p>
    <w:p w14:paraId="6B3BAD0F" w14:textId="15C9C570" w:rsidR="00745891" w:rsidRPr="00114173" w:rsidRDefault="00745891" w:rsidP="00D05A74">
      <w:pPr>
        <w:pStyle w:val="ListParagraph"/>
        <w:numPr>
          <w:ilvl w:val="0"/>
          <w:numId w:val="10"/>
        </w:numPr>
        <w:spacing w:before="120" w:after="0" w:line="240" w:lineRule="auto"/>
        <w:contextualSpacing w:val="0"/>
        <w:jc w:val="both"/>
        <w:rPr>
          <w:rFonts w:ascii="Times New Roman" w:hAnsi="Times New Roman"/>
          <w:lang w:val="en-US"/>
        </w:rPr>
      </w:pPr>
      <w:r w:rsidRPr="00114173">
        <w:rPr>
          <w:rFonts w:ascii="Times New Roman" w:hAnsi="Times New Roman"/>
          <w:lang w:val="en-US"/>
        </w:rPr>
        <w:t xml:space="preserve">Reviews of data included in Regulatory Impact Statements </w:t>
      </w:r>
      <w:r w:rsidR="00114173">
        <w:rPr>
          <w:rFonts w:ascii="Times New Roman" w:hAnsi="Times New Roman"/>
          <w:lang w:val="en-US"/>
        </w:rPr>
        <w:t xml:space="preserve">and product profiles </w:t>
      </w:r>
      <w:r w:rsidRPr="00114173">
        <w:rPr>
          <w:rFonts w:ascii="Times New Roman" w:hAnsi="Times New Roman"/>
          <w:lang w:val="en-US"/>
        </w:rPr>
        <w:t>for air conditioning equipment</w:t>
      </w:r>
      <w:r w:rsidR="00114173">
        <w:rPr>
          <w:rFonts w:ascii="Times New Roman" w:hAnsi="Times New Roman"/>
          <w:lang w:val="en-US"/>
        </w:rPr>
        <w:t xml:space="preserve"> (i.e. split systems, chillers, close control, portable, etc.)</w:t>
      </w:r>
      <w:r w:rsidR="004B2E7E">
        <w:rPr>
          <w:rFonts w:ascii="Times New Roman" w:hAnsi="Times New Roman"/>
          <w:lang w:val="en-US"/>
        </w:rPr>
        <w:t>, domestic refrigerators and freezers, non-domestic refrigeration (</w:t>
      </w:r>
      <w:r w:rsidR="004B2E7E" w:rsidRPr="004B2E7E">
        <w:rPr>
          <w:rFonts w:ascii="Times New Roman" w:hAnsi="Times New Roman"/>
          <w:lang w:val="en-US"/>
        </w:rPr>
        <w:t>E3 2009a</w:t>
      </w:r>
      <w:r w:rsidR="004B2E7E">
        <w:rPr>
          <w:rFonts w:ascii="Times New Roman" w:hAnsi="Times New Roman"/>
          <w:lang w:val="en-US"/>
        </w:rPr>
        <w:t>), and other products such as hot water heat pumps (</w:t>
      </w:r>
      <w:r w:rsidR="004B2E7E" w:rsidRPr="00D37A89">
        <w:rPr>
          <w:rFonts w:ascii="Times New Roman" w:hAnsi="Times New Roman"/>
          <w:sz w:val="20"/>
          <w:szCs w:val="20"/>
        </w:rPr>
        <w:t>E3 2012</w:t>
      </w:r>
      <w:r w:rsidR="004B2E7E">
        <w:rPr>
          <w:rFonts w:ascii="Times New Roman" w:hAnsi="Times New Roman"/>
          <w:sz w:val="20"/>
          <w:szCs w:val="20"/>
        </w:rPr>
        <w:t>)</w:t>
      </w:r>
      <w:r w:rsidR="004B2E7E">
        <w:rPr>
          <w:rFonts w:ascii="Times New Roman" w:hAnsi="Times New Roman"/>
          <w:lang w:val="en-US"/>
        </w:rPr>
        <w:t>;</w:t>
      </w:r>
    </w:p>
    <w:p w14:paraId="6B6AFD60" w14:textId="77777777" w:rsidR="00745891" w:rsidRPr="00114173" w:rsidRDefault="00745891" w:rsidP="00D05A74">
      <w:pPr>
        <w:pStyle w:val="ListParagraph"/>
        <w:numPr>
          <w:ilvl w:val="0"/>
          <w:numId w:val="10"/>
        </w:numPr>
        <w:spacing w:before="120" w:after="0" w:line="240" w:lineRule="auto"/>
        <w:contextualSpacing w:val="0"/>
        <w:jc w:val="both"/>
        <w:rPr>
          <w:rFonts w:ascii="Times New Roman" w:hAnsi="Times New Roman"/>
          <w:lang w:val="en-US"/>
        </w:rPr>
      </w:pPr>
      <w:r w:rsidRPr="00114173">
        <w:rPr>
          <w:rFonts w:ascii="Times New Roman" w:hAnsi="Times New Roman"/>
          <w:lang w:val="en-US"/>
        </w:rPr>
        <w:t>Reviews of data created for models of domestic energy production;</w:t>
      </w:r>
    </w:p>
    <w:p w14:paraId="6590D102" w14:textId="22B0C17B" w:rsidR="00D509BE" w:rsidRDefault="00745891" w:rsidP="00D05A74">
      <w:pPr>
        <w:pStyle w:val="ListParagraph"/>
        <w:numPr>
          <w:ilvl w:val="0"/>
          <w:numId w:val="10"/>
        </w:numPr>
        <w:spacing w:before="120" w:after="0" w:line="240" w:lineRule="auto"/>
        <w:contextualSpacing w:val="0"/>
        <w:jc w:val="both"/>
        <w:rPr>
          <w:rFonts w:ascii="Times New Roman" w:hAnsi="Times New Roman"/>
          <w:lang w:val="en-US"/>
        </w:rPr>
      </w:pPr>
      <w:r w:rsidRPr="00114173">
        <w:rPr>
          <w:rFonts w:ascii="Times New Roman" w:hAnsi="Times New Roman"/>
          <w:lang w:val="en-US"/>
        </w:rPr>
        <w:t>Interviews with and surveys of manufacturers, importers and resellers of equipment, and with importers and wholesalers of refrigerant gas, parts and tools for the purpose of other RAC industry related studies;</w:t>
      </w:r>
    </w:p>
    <w:p w14:paraId="1E4308D4" w14:textId="693A04F4" w:rsidR="004B2E7E" w:rsidRPr="004B2E7E" w:rsidRDefault="004B2E7E" w:rsidP="00D05A74">
      <w:pPr>
        <w:pStyle w:val="ListParagraph"/>
        <w:numPr>
          <w:ilvl w:val="0"/>
          <w:numId w:val="10"/>
        </w:numPr>
        <w:spacing w:before="120" w:after="0" w:line="240" w:lineRule="auto"/>
        <w:contextualSpacing w:val="0"/>
        <w:jc w:val="both"/>
        <w:rPr>
          <w:rFonts w:ascii="Times New Roman" w:hAnsi="Times New Roman"/>
          <w:lang w:val="en-US"/>
        </w:rPr>
      </w:pPr>
      <w:r w:rsidRPr="004B2E7E">
        <w:rPr>
          <w:rFonts w:ascii="Times New Roman" w:hAnsi="Times New Roman"/>
          <w:lang w:val="en-US"/>
        </w:rPr>
        <w:lastRenderedPageBreak/>
        <w:t>Interviews with industry associations and professional bodies for the purposes of other industry and government programs;</w:t>
      </w:r>
    </w:p>
    <w:p w14:paraId="0CB66777" w14:textId="71DCFFD2" w:rsidR="004B2E7E" w:rsidRPr="004B2E7E" w:rsidRDefault="004B2E7E" w:rsidP="00D05A74">
      <w:pPr>
        <w:pStyle w:val="ListParagraph"/>
        <w:numPr>
          <w:ilvl w:val="0"/>
          <w:numId w:val="10"/>
        </w:numPr>
        <w:spacing w:before="120" w:after="0" w:line="240" w:lineRule="auto"/>
        <w:contextualSpacing w:val="0"/>
        <w:jc w:val="both"/>
        <w:rPr>
          <w:rFonts w:ascii="Times New Roman" w:hAnsi="Times New Roman"/>
          <w:lang w:val="en-US"/>
        </w:rPr>
      </w:pPr>
      <w:r w:rsidRPr="004B2E7E">
        <w:rPr>
          <w:rFonts w:ascii="Times New Roman" w:hAnsi="Times New Roman"/>
          <w:lang w:val="en-US"/>
        </w:rPr>
        <w:t>In-confidence industry wide surveys of major participants selling commercial refrigeration condensing units and compressors dissected by capacity and refrigerant;</w:t>
      </w:r>
    </w:p>
    <w:p w14:paraId="4CABE76B" w14:textId="61AB1BDE" w:rsidR="004B2E7E" w:rsidRPr="004B2E7E" w:rsidRDefault="004B2E7E" w:rsidP="00D05A74">
      <w:pPr>
        <w:pStyle w:val="ListParagraph"/>
        <w:numPr>
          <w:ilvl w:val="0"/>
          <w:numId w:val="10"/>
        </w:numPr>
        <w:spacing w:before="120" w:after="0" w:line="240" w:lineRule="auto"/>
        <w:contextualSpacing w:val="0"/>
        <w:jc w:val="both"/>
        <w:rPr>
          <w:rFonts w:ascii="Times New Roman" w:hAnsi="Times New Roman"/>
          <w:lang w:val="en-US"/>
        </w:rPr>
      </w:pPr>
      <w:r w:rsidRPr="004B2E7E">
        <w:rPr>
          <w:rFonts w:ascii="Times New Roman" w:hAnsi="Times New Roman"/>
          <w:lang w:val="en-US"/>
        </w:rPr>
        <w:t>In-confidence industry wide surveys of suppliers, up-stream processors and end-users of natural refrigerants to establish aggregate industry measures.</w:t>
      </w:r>
    </w:p>
    <w:p w14:paraId="79D9CDA2" w14:textId="7BE63735" w:rsidR="004B2E7E" w:rsidRPr="004B2E7E" w:rsidRDefault="004B2E7E" w:rsidP="00D05A74">
      <w:pPr>
        <w:pStyle w:val="ListParagraph"/>
        <w:numPr>
          <w:ilvl w:val="0"/>
          <w:numId w:val="10"/>
        </w:numPr>
        <w:spacing w:before="120" w:after="0" w:line="240" w:lineRule="auto"/>
        <w:contextualSpacing w:val="0"/>
        <w:jc w:val="both"/>
        <w:rPr>
          <w:rFonts w:ascii="Times New Roman" w:hAnsi="Times New Roman"/>
          <w:lang w:val="en-US"/>
        </w:rPr>
      </w:pPr>
      <w:r w:rsidRPr="004B2E7E">
        <w:rPr>
          <w:rFonts w:ascii="Times New Roman" w:hAnsi="Times New Roman"/>
          <w:lang w:val="en-US"/>
        </w:rPr>
        <w:t>Surveys of stock on the floor of domestic equipment retailers.</w:t>
      </w:r>
    </w:p>
    <w:p w14:paraId="2E2EE58C" w14:textId="41C94B52" w:rsidR="004B2E7E" w:rsidRDefault="004B2E7E" w:rsidP="004B2E7E">
      <w:pPr>
        <w:rPr>
          <w:rFonts w:cs="Times New Roman"/>
          <w:szCs w:val="22"/>
          <w:lang w:val="en-US"/>
        </w:rPr>
      </w:pPr>
      <w:r w:rsidRPr="004B2E7E">
        <w:rPr>
          <w:rFonts w:cs="Times New Roman"/>
          <w:szCs w:val="22"/>
          <w:lang w:val="en-US"/>
        </w:rPr>
        <w:t>The authors were unable to identify any similar stock model for any other economy to compare the methodology with, the main outputs or the structure of the model.</w:t>
      </w:r>
    </w:p>
    <w:p w14:paraId="18B0D090" w14:textId="2E47722E" w:rsidR="001F5E4C" w:rsidRPr="001F5E4C" w:rsidRDefault="001F5E4C" w:rsidP="00F47E8A">
      <w:pPr>
        <w:spacing w:before="240"/>
        <w:rPr>
          <w:rFonts w:asciiTheme="majorHAnsi" w:hAnsiTheme="majorHAnsi"/>
          <w:b/>
          <w:sz w:val="24"/>
        </w:rPr>
      </w:pPr>
      <w:r w:rsidRPr="001F5E4C">
        <w:rPr>
          <w:rFonts w:asciiTheme="majorHAnsi" w:hAnsiTheme="majorHAnsi"/>
          <w:b/>
          <w:sz w:val="24"/>
        </w:rPr>
        <w:t xml:space="preserve">Product </w:t>
      </w:r>
      <w:r>
        <w:rPr>
          <w:rFonts w:asciiTheme="majorHAnsi" w:hAnsiTheme="majorHAnsi"/>
          <w:b/>
          <w:sz w:val="24"/>
        </w:rPr>
        <w:t>c</w:t>
      </w:r>
      <w:r w:rsidRPr="001F5E4C">
        <w:rPr>
          <w:rFonts w:asciiTheme="majorHAnsi" w:hAnsiTheme="majorHAnsi"/>
          <w:b/>
          <w:sz w:val="24"/>
        </w:rPr>
        <w:t xml:space="preserve">ategory </w:t>
      </w:r>
      <w:r>
        <w:rPr>
          <w:rFonts w:asciiTheme="majorHAnsi" w:hAnsiTheme="majorHAnsi"/>
          <w:b/>
          <w:sz w:val="24"/>
        </w:rPr>
        <w:t>s</w:t>
      </w:r>
      <w:r w:rsidRPr="001F5E4C">
        <w:rPr>
          <w:rFonts w:asciiTheme="majorHAnsi" w:hAnsiTheme="majorHAnsi"/>
          <w:b/>
          <w:sz w:val="24"/>
        </w:rPr>
        <w:t>tock models</w:t>
      </w:r>
    </w:p>
    <w:p w14:paraId="523DEAF8" w14:textId="77777777" w:rsidR="001F5E4C" w:rsidRPr="001F5E4C" w:rsidRDefault="001F5E4C" w:rsidP="001F5E4C">
      <w:pPr>
        <w:rPr>
          <w:rFonts w:cs="Times New Roman"/>
          <w:szCs w:val="22"/>
          <w:lang w:val="en-US"/>
        </w:rPr>
      </w:pPr>
      <w:r w:rsidRPr="001F5E4C">
        <w:rPr>
          <w:rFonts w:cs="Times New Roman"/>
          <w:szCs w:val="22"/>
          <w:lang w:val="en-US"/>
        </w:rPr>
        <w:t>More sophisticated stock models have been developed for major product categories where sufficient quality historical sales data has been discovered. These models use a cumulative distribution function of the normal distribution function to develop survival curves, stock models and equipment retirement estimates by refrigerant species or type.</w:t>
      </w:r>
    </w:p>
    <w:p w14:paraId="2C6C10F3" w14:textId="77777777" w:rsidR="001F5E4C" w:rsidRPr="001F5E4C" w:rsidRDefault="001F5E4C" w:rsidP="001F5E4C">
      <w:pPr>
        <w:rPr>
          <w:rFonts w:cs="Times New Roman"/>
          <w:szCs w:val="22"/>
          <w:lang w:val="en-US"/>
        </w:rPr>
      </w:pPr>
      <w:r w:rsidRPr="001F5E4C">
        <w:rPr>
          <w:rFonts w:cs="Times New Roman"/>
          <w:szCs w:val="22"/>
          <w:lang w:val="en-US"/>
        </w:rPr>
        <w:t xml:space="preserve">Where data was available, the model calculates the number of units of a particular vintage that remain in service at the end of a given year as the total number of units sold in the year of the vintage, minus the proportion of units that have been scrapped prior to the end of the given year. </w:t>
      </w:r>
    </w:p>
    <w:p w14:paraId="48D3007C" w14:textId="77777777" w:rsidR="001F5E4C" w:rsidRPr="001F5E4C" w:rsidRDefault="001F5E4C" w:rsidP="001F5E4C">
      <w:pPr>
        <w:rPr>
          <w:rFonts w:cs="Times New Roman"/>
          <w:szCs w:val="22"/>
          <w:lang w:val="en-US"/>
        </w:rPr>
      </w:pPr>
      <w:r w:rsidRPr="001F5E4C">
        <w:rPr>
          <w:rFonts w:cs="Times New Roman"/>
          <w:szCs w:val="22"/>
          <w:lang w:val="en-US"/>
        </w:rPr>
        <w:t>We assume that the lifetime of a unit is normally distributed with a mean lifespan (in years) and standard deviation (in years). The model assumes that on average, units are sold in the middle of a year. So for example, the number of units that were sold in the year 2000 that remain in service at the end of 2012 is given by, N</w:t>
      </w:r>
      <w:r w:rsidRPr="00F47E8A">
        <w:rPr>
          <w:rFonts w:cs="Times New Roman"/>
          <w:szCs w:val="22"/>
          <w:vertAlign w:val="subscript"/>
          <w:lang w:val="en-US"/>
        </w:rPr>
        <w:t>2000</w:t>
      </w:r>
      <w:r w:rsidRPr="001F5E4C">
        <w:rPr>
          <w:rFonts w:cs="Times New Roman"/>
          <w:szCs w:val="22"/>
          <w:lang w:val="en-US"/>
        </w:rPr>
        <w:t xml:space="preserve"> (1-p), where N</w:t>
      </w:r>
      <w:r w:rsidRPr="00F47E8A">
        <w:rPr>
          <w:rFonts w:cs="Times New Roman"/>
          <w:szCs w:val="22"/>
          <w:vertAlign w:val="subscript"/>
          <w:lang w:val="en-US"/>
        </w:rPr>
        <w:t>2000</w:t>
      </w:r>
      <w:r w:rsidRPr="001F5E4C">
        <w:rPr>
          <w:rFonts w:cs="Times New Roman"/>
          <w:szCs w:val="22"/>
          <w:lang w:val="en-US"/>
        </w:rPr>
        <w:t xml:space="preserve"> is the number of units sold in 2000, and p is the proportion that have been scrapped between 2000 and 2012 inclusive and is given by the following function:</w:t>
      </w:r>
    </w:p>
    <w:p w14:paraId="61C67674" w14:textId="77777777" w:rsidR="001F5E4C" w:rsidRPr="001F5E4C" w:rsidRDefault="001F5E4C" w:rsidP="001F5E4C">
      <w:pPr>
        <w:rPr>
          <w:rFonts w:cs="Times New Roman"/>
          <w:szCs w:val="22"/>
          <w:lang w:val="en-US"/>
        </w:rPr>
      </w:pPr>
      <w:r w:rsidRPr="001F5E4C">
        <w:rPr>
          <w:rFonts w:cs="Times New Roman"/>
          <w:szCs w:val="22"/>
          <w:lang w:val="en-US"/>
        </w:rPr>
        <w:t>Φ (2012-2000+0.5;μ,σ) = Φ (12.5;μ,σ)</w:t>
      </w:r>
    </w:p>
    <w:p w14:paraId="15BB1F14" w14:textId="77777777" w:rsidR="001F5E4C" w:rsidRPr="001F5E4C" w:rsidRDefault="001F5E4C" w:rsidP="001F5E4C">
      <w:pPr>
        <w:rPr>
          <w:rFonts w:cs="Times New Roman"/>
          <w:szCs w:val="22"/>
          <w:lang w:val="en-US"/>
        </w:rPr>
      </w:pPr>
      <w:r w:rsidRPr="001F5E4C">
        <w:rPr>
          <w:rFonts w:cs="Times New Roman"/>
          <w:szCs w:val="22"/>
          <w:lang w:val="en-US"/>
        </w:rPr>
        <w:t>Where Φ (x;μ,σ) is the cumulative distribution function (CDF) of the normal distribution with mean μ and standard deviation σ evaluated at x.</w:t>
      </w:r>
    </w:p>
    <w:p w14:paraId="46A3FB10" w14:textId="77777777" w:rsidR="001F5E4C" w:rsidRPr="001F5E4C" w:rsidRDefault="001F5E4C" w:rsidP="001F5E4C">
      <w:pPr>
        <w:rPr>
          <w:rFonts w:cs="Times New Roman"/>
          <w:szCs w:val="22"/>
          <w:lang w:val="en-US"/>
        </w:rPr>
      </w:pPr>
      <w:r w:rsidRPr="001F5E4C">
        <w:rPr>
          <w:rFonts w:cs="Times New Roman"/>
          <w:szCs w:val="22"/>
          <w:lang w:val="en-US"/>
        </w:rPr>
        <w:t>The number of units of a particular vintage that are retired in a given year equates to the number of units sold in the year of the vintage that remained in service at the beginning of the given year, minus the number that remain in service at the end of the given year.</w:t>
      </w:r>
    </w:p>
    <w:p w14:paraId="1BE36284" w14:textId="77777777" w:rsidR="001F5E4C" w:rsidRPr="001F5E4C" w:rsidRDefault="001F5E4C" w:rsidP="001F5E4C">
      <w:pPr>
        <w:rPr>
          <w:rFonts w:cs="Times New Roman"/>
          <w:szCs w:val="22"/>
          <w:lang w:val="en-US"/>
        </w:rPr>
      </w:pPr>
      <w:r w:rsidRPr="001F5E4C">
        <w:rPr>
          <w:rFonts w:cs="Times New Roman"/>
          <w:szCs w:val="22"/>
          <w:lang w:val="en-US"/>
        </w:rPr>
        <w:t>The historical sales data is dissected by refrigerant species or type to predict the refrigerant mix of the bank and retiring equipment.</w:t>
      </w:r>
    </w:p>
    <w:p w14:paraId="7D47234A" w14:textId="0B53F8C2" w:rsidR="001F5E4C" w:rsidRPr="001F5E4C" w:rsidRDefault="001F5E4C" w:rsidP="00F47E8A">
      <w:pPr>
        <w:spacing w:before="240"/>
        <w:rPr>
          <w:rFonts w:asciiTheme="majorHAnsi" w:hAnsiTheme="majorHAnsi"/>
          <w:b/>
          <w:sz w:val="24"/>
        </w:rPr>
      </w:pPr>
      <w:r w:rsidRPr="001F5E4C">
        <w:rPr>
          <w:rFonts w:asciiTheme="majorHAnsi" w:hAnsiTheme="majorHAnsi"/>
          <w:b/>
          <w:sz w:val="24"/>
        </w:rPr>
        <w:t xml:space="preserve">Gas </w:t>
      </w:r>
      <w:r>
        <w:rPr>
          <w:rFonts w:asciiTheme="majorHAnsi" w:hAnsiTheme="majorHAnsi"/>
          <w:b/>
          <w:sz w:val="24"/>
        </w:rPr>
        <w:t>c</w:t>
      </w:r>
      <w:r w:rsidRPr="001F5E4C">
        <w:rPr>
          <w:rFonts w:asciiTheme="majorHAnsi" w:hAnsiTheme="majorHAnsi"/>
          <w:b/>
          <w:sz w:val="24"/>
        </w:rPr>
        <w:t xml:space="preserve">harges and </w:t>
      </w:r>
      <w:r>
        <w:rPr>
          <w:rFonts w:asciiTheme="majorHAnsi" w:hAnsiTheme="majorHAnsi"/>
          <w:b/>
          <w:sz w:val="24"/>
        </w:rPr>
        <w:t>s</w:t>
      </w:r>
      <w:r w:rsidRPr="001F5E4C">
        <w:rPr>
          <w:rFonts w:asciiTheme="majorHAnsi" w:hAnsiTheme="majorHAnsi"/>
          <w:b/>
          <w:sz w:val="24"/>
        </w:rPr>
        <w:t>pecies</w:t>
      </w:r>
    </w:p>
    <w:p w14:paraId="2D21B6B5" w14:textId="77777777" w:rsidR="001F5E4C" w:rsidRPr="001F5E4C" w:rsidRDefault="001F5E4C" w:rsidP="001F5E4C">
      <w:pPr>
        <w:rPr>
          <w:rFonts w:cs="Times New Roman"/>
          <w:szCs w:val="22"/>
          <w:lang w:val="en-US"/>
        </w:rPr>
      </w:pPr>
      <w:r w:rsidRPr="001F5E4C">
        <w:rPr>
          <w:rFonts w:cs="Times New Roman"/>
          <w:szCs w:val="22"/>
          <w:lang w:val="en-US"/>
        </w:rPr>
        <w:t xml:space="preserve">The size of the gas charges in various equipment classes are known from manufacturer’s documentation and checks of equipment and appliances in the market and for sale. The size of gas charges can be correlated (to some extent) with the input power and size of the compressor employed and the resulting refrigerating capacity of a piece of equipment.  </w:t>
      </w:r>
    </w:p>
    <w:p w14:paraId="016B1C18" w14:textId="77777777" w:rsidR="001F5E4C" w:rsidRPr="001F5E4C" w:rsidRDefault="001F5E4C" w:rsidP="001F5E4C">
      <w:pPr>
        <w:rPr>
          <w:rFonts w:cs="Times New Roman"/>
          <w:szCs w:val="22"/>
          <w:lang w:val="en-US"/>
        </w:rPr>
      </w:pPr>
      <w:r w:rsidRPr="001F5E4C">
        <w:rPr>
          <w:rFonts w:cs="Times New Roman"/>
          <w:szCs w:val="22"/>
          <w:lang w:val="en-US"/>
        </w:rPr>
        <w:t>The gas species’ most commonly employed in the different products are known, although these are not entirely uniform. The proportion of any product in the stock of equipment that is estimated to employ a particular gas species can be checked in many cases by the mix of species employed in pre-charged equipment imports in any year, and against information gleaned from bulk importers and wholesalers of gas.</w:t>
      </w:r>
    </w:p>
    <w:p w14:paraId="05216C23" w14:textId="77777777" w:rsidR="001F5E4C" w:rsidRDefault="001F5E4C" w:rsidP="001F5E4C">
      <w:pPr>
        <w:rPr>
          <w:rFonts w:cs="Times New Roman"/>
          <w:szCs w:val="22"/>
          <w:lang w:val="en-US"/>
        </w:rPr>
      </w:pPr>
      <w:r w:rsidRPr="001F5E4C">
        <w:rPr>
          <w:rFonts w:cs="Times New Roman"/>
          <w:szCs w:val="22"/>
          <w:lang w:val="en-US"/>
        </w:rPr>
        <w:t>From 2006 to July 2012 DSEWPaC pre-charged equipment import data was dissected into specific equipment categories including;</w:t>
      </w:r>
    </w:p>
    <w:p w14:paraId="64F0F015" w14:textId="77777777" w:rsidR="00F47E8A" w:rsidRPr="00F47E8A" w:rsidRDefault="00F47E8A" w:rsidP="00D05A74">
      <w:pPr>
        <w:pStyle w:val="ListParagraph"/>
        <w:numPr>
          <w:ilvl w:val="0"/>
          <w:numId w:val="10"/>
        </w:numPr>
        <w:spacing w:before="120" w:after="0" w:line="240" w:lineRule="auto"/>
        <w:contextualSpacing w:val="0"/>
        <w:jc w:val="both"/>
        <w:rPr>
          <w:rFonts w:ascii="Times New Roman" w:hAnsi="Times New Roman"/>
          <w:lang w:val="en-US"/>
        </w:rPr>
      </w:pPr>
      <w:r w:rsidRPr="00F47E8A">
        <w:rPr>
          <w:rFonts w:ascii="Times New Roman" w:hAnsi="Times New Roman"/>
          <w:lang w:val="en-US"/>
        </w:rPr>
        <w:t>Air conditioning chillers;</w:t>
      </w:r>
    </w:p>
    <w:p w14:paraId="0A373D8F" w14:textId="77777777" w:rsidR="00F47E8A" w:rsidRPr="00F47E8A" w:rsidRDefault="00F47E8A" w:rsidP="00D05A74">
      <w:pPr>
        <w:pStyle w:val="ListParagraph"/>
        <w:numPr>
          <w:ilvl w:val="0"/>
          <w:numId w:val="10"/>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Packaged air conditioning equipment; </w:t>
      </w:r>
    </w:p>
    <w:p w14:paraId="044147F5" w14:textId="77777777" w:rsidR="00F47E8A" w:rsidRPr="00F47E8A" w:rsidRDefault="00F47E8A" w:rsidP="00D05A74">
      <w:pPr>
        <w:pStyle w:val="ListParagraph"/>
        <w:numPr>
          <w:ilvl w:val="0"/>
          <w:numId w:val="10"/>
        </w:numPr>
        <w:spacing w:before="120" w:after="0" w:line="240" w:lineRule="auto"/>
        <w:contextualSpacing w:val="0"/>
        <w:jc w:val="both"/>
        <w:rPr>
          <w:rFonts w:ascii="Times New Roman" w:hAnsi="Times New Roman"/>
          <w:lang w:val="en-US"/>
        </w:rPr>
      </w:pPr>
      <w:r w:rsidRPr="00F47E8A">
        <w:rPr>
          <w:rFonts w:ascii="Times New Roman" w:hAnsi="Times New Roman"/>
          <w:lang w:val="en-US"/>
        </w:rPr>
        <w:lastRenderedPageBreak/>
        <w:t xml:space="preserve">Window/wall units; </w:t>
      </w:r>
    </w:p>
    <w:p w14:paraId="57722D89" w14:textId="77777777" w:rsidR="00F47E8A" w:rsidRPr="00F47E8A" w:rsidRDefault="00F47E8A" w:rsidP="00D05A74">
      <w:pPr>
        <w:pStyle w:val="ListParagraph"/>
        <w:numPr>
          <w:ilvl w:val="0"/>
          <w:numId w:val="10"/>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Portable air conditioning; </w:t>
      </w:r>
    </w:p>
    <w:p w14:paraId="5249CF10" w14:textId="77777777" w:rsidR="00F47E8A" w:rsidRPr="00F47E8A" w:rsidRDefault="00F47E8A" w:rsidP="00D05A74">
      <w:pPr>
        <w:pStyle w:val="ListParagraph"/>
        <w:numPr>
          <w:ilvl w:val="0"/>
          <w:numId w:val="10"/>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Splits systems (single and multi-head/variable refrigerant flow); </w:t>
      </w:r>
    </w:p>
    <w:p w14:paraId="74998109" w14:textId="77777777" w:rsidR="00F47E8A" w:rsidRPr="00F47E8A" w:rsidRDefault="00F47E8A" w:rsidP="00D05A74">
      <w:pPr>
        <w:pStyle w:val="ListParagraph"/>
        <w:numPr>
          <w:ilvl w:val="0"/>
          <w:numId w:val="10"/>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Aircraft; </w:t>
      </w:r>
    </w:p>
    <w:p w14:paraId="3FF82982" w14:textId="77777777" w:rsidR="00F47E8A" w:rsidRPr="00F47E8A" w:rsidRDefault="00F47E8A" w:rsidP="00D05A74">
      <w:pPr>
        <w:pStyle w:val="ListParagraph"/>
        <w:numPr>
          <w:ilvl w:val="0"/>
          <w:numId w:val="10"/>
        </w:numPr>
        <w:spacing w:before="120" w:after="0" w:line="240" w:lineRule="auto"/>
        <w:contextualSpacing w:val="0"/>
        <w:jc w:val="both"/>
        <w:rPr>
          <w:rFonts w:ascii="Times New Roman" w:hAnsi="Times New Roman"/>
          <w:lang w:val="en-US"/>
        </w:rPr>
      </w:pPr>
      <w:r w:rsidRPr="00F47E8A">
        <w:rPr>
          <w:rFonts w:ascii="Times New Roman" w:hAnsi="Times New Roman"/>
          <w:lang w:val="en-US"/>
        </w:rPr>
        <w:t>Other heat pumps;</w:t>
      </w:r>
    </w:p>
    <w:p w14:paraId="2E5D4827" w14:textId="77777777" w:rsidR="00F47E8A" w:rsidRPr="00F47E8A" w:rsidRDefault="00F47E8A" w:rsidP="00D05A74">
      <w:pPr>
        <w:pStyle w:val="ListParagraph"/>
        <w:numPr>
          <w:ilvl w:val="0"/>
          <w:numId w:val="10"/>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 Mobile air conditioning (vehicles less than and greater than 3.5t gross vehicle mass); </w:t>
      </w:r>
    </w:p>
    <w:p w14:paraId="4BA5D789" w14:textId="77777777" w:rsidR="00F47E8A" w:rsidRPr="00F47E8A" w:rsidRDefault="00F47E8A" w:rsidP="00D05A74">
      <w:pPr>
        <w:pStyle w:val="ListParagraph"/>
        <w:numPr>
          <w:ilvl w:val="0"/>
          <w:numId w:val="10"/>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Commercial refrigerated cabinets; </w:t>
      </w:r>
    </w:p>
    <w:p w14:paraId="344A74AB" w14:textId="77777777" w:rsidR="00F47E8A" w:rsidRPr="00F47E8A" w:rsidRDefault="00F47E8A" w:rsidP="00D05A74">
      <w:pPr>
        <w:pStyle w:val="ListParagraph"/>
        <w:numPr>
          <w:ilvl w:val="0"/>
          <w:numId w:val="10"/>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Domestic refrigerators and freezers; </w:t>
      </w:r>
    </w:p>
    <w:p w14:paraId="276A8C0E" w14:textId="77777777" w:rsidR="00F47E8A" w:rsidRPr="00F47E8A" w:rsidRDefault="00F47E8A" w:rsidP="00D05A74">
      <w:pPr>
        <w:pStyle w:val="ListParagraph"/>
        <w:numPr>
          <w:ilvl w:val="0"/>
          <w:numId w:val="10"/>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Transport refrigeration (self and vehicle powered truck refrigeration), and; </w:t>
      </w:r>
    </w:p>
    <w:p w14:paraId="3D8BB6F3" w14:textId="77777777" w:rsidR="00F47E8A" w:rsidRPr="00F47E8A" w:rsidRDefault="00F47E8A" w:rsidP="00D05A74">
      <w:pPr>
        <w:pStyle w:val="ListParagraph"/>
        <w:numPr>
          <w:ilvl w:val="0"/>
          <w:numId w:val="10"/>
        </w:numPr>
        <w:spacing w:before="120" w:after="0" w:line="240" w:lineRule="auto"/>
        <w:contextualSpacing w:val="0"/>
        <w:jc w:val="both"/>
        <w:rPr>
          <w:rFonts w:ascii="Times New Roman" w:hAnsi="Times New Roman"/>
          <w:lang w:val="en-US"/>
        </w:rPr>
      </w:pPr>
      <w:r w:rsidRPr="00F47E8A">
        <w:rPr>
          <w:rFonts w:ascii="Times New Roman" w:hAnsi="Times New Roman"/>
          <w:lang w:val="en-US"/>
        </w:rPr>
        <w:t xml:space="preserve">Other commercial refrigeration categories.  </w:t>
      </w:r>
    </w:p>
    <w:p w14:paraId="021008D1" w14:textId="77777777" w:rsidR="00E96D15" w:rsidRPr="00E96D15" w:rsidRDefault="00E96D15" w:rsidP="00E96D15">
      <w:pPr>
        <w:rPr>
          <w:rFonts w:cs="Times New Roman"/>
          <w:szCs w:val="22"/>
          <w:lang w:val="en-US"/>
        </w:rPr>
      </w:pPr>
      <w:r w:rsidRPr="00E96D15">
        <w:rPr>
          <w:rFonts w:cs="Times New Roman"/>
          <w:szCs w:val="22"/>
          <w:lang w:val="en-US"/>
        </w:rPr>
        <w:t xml:space="preserve">This information provided seven years of history that was reviewed in great detail to form or confirm views about average gas charges in various products, and the dissection and transition of refrigerant species in products.   </w:t>
      </w:r>
    </w:p>
    <w:p w14:paraId="3C2EEA2E" w14:textId="5826B47D" w:rsidR="00E96D15" w:rsidRPr="00E96D15" w:rsidRDefault="00E96D15" w:rsidP="00E96D15">
      <w:pPr>
        <w:spacing w:before="240"/>
        <w:rPr>
          <w:rFonts w:asciiTheme="majorHAnsi" w:hAnsiTheme="majorHAnsi"/>
          <w:b/>
          <w:sz w:val="24"/>
        </w:rPr>
      </w:pPr>
      <w:r w:rsidRPr="00E96D15">
        <w:rPr>
          <w:rFonts w:asciiTheme="majorHAnsi" w:hAnsiTheme="majorHAnsi"/>
          <w:b/>
          <w:sz w:val="24"/>
        </w:rPr>
        <w:t xml:space="preserve">The </w:t>
      </w:r>
      <w:r>
        <w:rPr>
          <w:rFonts w:asciiTheme="majorHAnsi" w:hAnsiTheme="majorHAnsi"/>
          <w:b/>
          <w:sz w:val="24"/>
        </w:rPr>
        <w:t>b</w:t>
      </w:r>
      <w:r w:rsidRPr="00E96D15">
        <w:rPr>
          <w:rFonts w:asciiTheme="majorHAnsi" w:hAnsiTheme="majorHAnsi"/>
          <w:b/>
          <w:sz w:val="24"/>
        </w:rPr>
        <w:t xml:space="preserve">ank of </w:t>
      </w:r>
      <w:r>
        <w:rPr>
          <w:rFonts w:asciiTheme="majorHAnsi" w:hAnsiTheme="majorHAnsi"/>
          <w:b/>
          <w:sz w:val="24"/>
        </w:rPr>
        <w:t>w</w:t>
      </w:r>
      <w:r w:rsidRPr="00E96D15">
        <w:rPr>
          <w:rFonts w:asciiTheme="majorHAnsi" w:hAnsiTheme="majorHAnsi"/>
          <w:b/>
          <w:sz w:val="24"/>
        </w:rPr>
        <w:t xml:space="preserve">orking </w:t>
      </w:r>
      <w:r>
        <w:rPr>
          <w:rFonts w:asciiTheme="majorHAnsi" w:hAnsiTheme="majorHAnsi"/>
          <w:b/>
          <w:sz w:val="24"/>
        </w:rPr>
        <w:t>g</w:t>
      </w:r>
      <w:r w:rsidRPr="00E96D15">
        <w:rPr>
          <w:rFonts w:asciiTheme="majorHAnsi" w:hAnsiTheme="majorHAnsi"/>
          <w:b/>
          <w:sz w:val="24"/>
        </w:rPr>
        <w:t>as</w:t>
      </w:r>
    </w:p>
    <w:p w14:paraId="6EDABFA7" w14:textId="77777777" w:rsidR="00E96D15" w:rsidRPr="00E96D15" w:rsidRDefault="00E96D15" w:rsidP="00E96D15">
      <w:pPr>
        <w:rPr>
          <w:rFonts w:cs="Times New Roman"/>
          <w:szCs w:val="22"/>
          <w:lang w:val="en-US"/>
        </w:rPr>
      </w:pPr>
      <w:r w:rsidRPr="00E96D15">
        <w:rPr>
          <w:rFonts w:cs="Times New Roman"/>
          <w:szCs w:val="22"/>
          <w:lang w:val="en-US"/>
        </w:rPr>
        <w:t xml:space="preserve">Average charges of working gas in each product are used to calculate the total bank of working gas by equipment category and segment, and by gas species. </w:t>
      </w:r>
    </w:p>
    <w:p w14:paraId="3920D33C" w14:textId="18CB0977" w:rsidR="00B45972" w:rsidRDefault="00E96D15" w:rsidP="00E96D15">
      <w:pPr>
        <w:rPr>
          <w:rFonts w:cs="Times New Roman"/>
          <w:szCs w:val="22"/>
          <w:lang w:val="en-US"/>
        </w:rPr>
      </w:pPr>
      <w:r>
        <w:rPr>
          <w:rFonts w:cs="Times New Roman"/>
          <w:szCs w:val="22"/>
          <w:lang w:val="en-US"/>
        </w:rPr>
        <w:t>L</w:t>
      </w:r>
      <w:r w:rsidRPr="00E96D15">
        <w:rPr>
          <w:rFonts w:cs="Times New Roman"/>
          <w:szCs w:val="22"/>
          <w:lang w:val="en-US"/>
        </w:rPr>
        <w:t xml:space="preserve">eak rates for products </w:t>
      </w:r>
      <w:r w:rsidR="0017032F">
        <w:rPr>
          <w:rFonts w:cs="Times New Roman"/>
          <w:szCs w:val="22"/>
          <w:lang w:val="en-US"/>
        </w:rPr>
        <w:t xml:space="preserve">operating on HFCs or HCFCs </w:t>
      </w:r>
      <w:r w:rsidRPr="00E96D15">
        <w:rPr>
          <w:rFonts w:cs="Times New Roman"/>
          <w:szCs w:val="22"/>
          <w:lang w:val="en-US"/>
        </w:rPr>
        <w:t xml:space="preserve">are used to calculate the volume of refrigerant gas applied to servicing </w:t>
      </w:r>
      <w:r w:rsidR="0017032F">
        <w:rPr>
          <w:rFonts w:cs="Times New Roman"/>
          <w:szCs w:val="22"/>
          <w:lang w:val="en-US"/>
        </w:rPr>
        <w:t>equipment segments in any year</w:t>
      </w:r>
      <w:r w:rsidR="00B45972">
        <w:rPr>
          <w:rFonts w:cs="Times New Roman"/>
          <w:szCs w:val="22"/>
          <w:lang w:val="en-US"/>
        </w:rPr>
        <w:t>.</w:t>
      </w:r>
      <w:r w:rsidR="00135E24">
        <w:rPr>
          <w:rFonts w:cs="Times New Roman"/>
          <w:szCs w:val="22"/>
          <w:lang w:val="en-US"/>
        </w:rPr>
        <w:t xml:space="preserve"> </w:t>
      </w:r>
      <w:r w:rsidRPr="00E96D15">
        <w:rPr>
          <w:rFonts w:cs="Times New Roman"/>
          <w:szCs w:val="22"/>
          <w:lang w:val="en-US"/>
        </w:rPr>
        <w:t xml:space="preserve">This service demand is reconciled against the known volumes imported. </w:t>
      </w:r>
      <w:r w:rsidR="00B45972">
        <w:rPr>
          <w:rFonts w:cs="Times New Roman"/>
          <w:szCs w:val="22"/>
          <w:lang w:val="en-US"/>
        </w:rPr>
        <w:t xml:space="preserve">Refer </w:t>
      </w:r>
      <w:r w:rsidR="00B45972" w:rsidRPr="00482A8A">
        <w:rPr>
          <w:rFonts w:cs="Times New Roman"/>
          <w:i/>
          <w:szCs w:val="22"/>
          <w:lang w:val="en-US"/>
        </w:rPr>
        <w:t>Appendix B</w:t>
      </w:r>
      <w:r w:rsidR="00B45972" w:rsidRPr="00135E24">
        <w:rPr>
          <w:i/>
        </w:rPr>
        <w:t xml:space="preserve"> </w:t>
      </w:r>
      <w:r w:rsidR="00B45972" w:rsidRPr="00135E24">
        <w:rPr>
          <w:rFonts w:cs="Times New Roman"/>
          <w:i/>
          <w:szCs w:val="22"/>
          <w:lang w:val="en-US"/>
        </w:rPr>
        <w:t>Technical resources and assumptions</w:t>
      </w:r>
      <w:r w:rsidR="00B45972">
        <w:rPr>
          <w:rFonts w:cs="Times New Roman"/>
          <w:szCs w:val="22"/>
          <w:lang w:val="en-US"/>
        </w:rPr>
        <w:t xml:space="preserve"> for details of average charge and leak rate values used in calculations.</w:t>
      </w:r>
    </w:p>
    <w:p w14:paraId="58F74B73" w14:textId="3B546696" w:rsidR="00E96D15" w:rsidRPr="00E96D15" w:rsidRDefault="00E96D15" w:rsidP="00E96D15">
      <w:pPr>
        <w:rPr>
          <w:rFonts w:cs="Times New Roman"/>
          <w:szCs w:val="22"/>
          <w:lang w:val="en-US"/>
        </w:rPr>
      </w:pPr>
      <w:r w:rsidRPr="00E96D15">
        <w:rPr>
          <w:rFonts w:cs="Times New Roman"/>
          <w:szCs w:val="22"/>
          <w:lang w:val="en-US"/>
        </w:rPr>
        <w:t xml:space="preserve">DSEWPaC bulk import data provided detailed dissection of HCFC imports by type and blend, whereas HFC bulk import dissection was estimated based on reporting of HFC-134a, secondary refrigerants </w:t>
      </w:r>
      <w:r w:rsidR="0017032F">
        <w:rPr>
          <w:rFonts w:cs="Times New Roman"/>
          <w:szCs w:val="22"/>
          <w:lang w:val="en-US"/>
        </w:rPr>
        <w:t>(</w:t>
      </w:r>
      <w:r w:rsidR="0017032F" w:rsidRPr="0017032F">
        <w:rPr>
          <w:rFonts w:cs="Times New Roman"/>
          <w:szCs w:val="22"/>
          <w:lang w:val="en-US"/>
        </w:rPr>
        <w:t>HFC-23, HFC-32, HFC-125, HFC-143a, HFC-152a, HFC-227ea, HFC-236fa, HFC-245fa, HFC-365mfc, HFC-43-10mee, which are largely used in common refrigerant blends</w:t>
      </w:r>
      <w:r w:rsidR="0017032F">
        <w:rPr>
          <w:rFonts w:cs="Times New Roman"/>
          <w:szCs w:val="22"/>
          <w:lang w:val="en-US"/>
        </w:rPr>
        <w:t xml:space="preserve"> such as HFC-404A, HFC-410A and others</w:t>
      </w:r>
      <w:r w:rsidR="0017032F" w:rsidRPr="0017032F">
        <w:rPr>
          <w:rFonts w:cs="Times New Roman"/>
          <w:szCs w:val="22"/>
          <w:lang w:val="en-US"/>
        </w:rPr>
        <w:t xml:space="preserve">) </w:t>
      </w:r>
      <w:r w:rsidRPr="00E96D15">
        <w:rPr>
          <w:rFonts w:cs="Times New Roman"/>
          <w:szCs w:val="22"/>
          <w:lang w:val="en-US"/>
        </w:rPr>
        <w:t>and ‘exotic’ refrigerants</w:t>
      </w:r>
      <w:r w:rsidR="0017032F">
        <w:rPr>
          <w:rFonts w:cs="Times New Roman"/>
          <w:szCs w:val="22"/>
          <w:lang w:val="en-US"/>
        </w:rPr>
        <w:t xml:space="preserve"> typically used for laboratory research</w:t>
      </w:r>
      <w:r w:rsidRPr="00E96D15">
        <w:rPr>
          <w:rFonts w:cs="Times New Roman"/>
          <w:szCs w:val="22"/>
          <w:lang w:val="en-US"/>
        </w:rPr>
        <w:t xml:space="preserve">. Mid-way through 2011 full details of HFC bulk imports were provided by type and blend. Bulk gas is primarily imported for servicing and manufacturing RAC equipment, however other uses include charging new commercial refrigeration equipment with remote condensers which are predominantly </w:t>
      </w:r>
      <w:r w:rsidR="0017032F">
        <w:rPr>
          <w:rFonts w:cs="Times New Roman"/>
          <w:szCs w:val="22"/>
          <w:lang w:val="en-US"/>
        </w:rPr>
        <w:t xml:space="preserve">manufactured or imported with a nitrogen charge and </w:t>
      </w:r>
      <w:r w:rsidR="005E0833">
        <w:rPr>
          <w:rFonts w:cs="Times New Roman"/>
          <w:szCs w:val="22"/>
          <w:lang w:val="en-US"/>
        </w:rPr>
        <w:t>gassed</w:t>
      </w:r>
      <w:r w:rsidR="0017032F">
        <w:rPr>
          <w:rFonts w:cs="Times New Roman"/>
          <w:szCs w:val="22"/>
          <w:lang w:val="en-US"/>
        </w:rPr>
        <w:t xml:space="preserve"> </w:t>
      </w:r>
      <w:r w:rsidRPr="00E96D15">
        <w:rPr>
          <w:rFonts w:cs="Times New Roman"/>
          <w:szCs w:val="22"/>
          <w:lang w:val="en-US"/>
        </w:rPr>
        <w:t>on site. Smaller volumes are used in non-RAC applications including foam blowing, aerosols, fire protection and as cleaning agents</w:t>
      </w:r>
      <w:r w:rsidR="005E0833">
        <w:rPr>
          <w:rFonts w:cs="Times New Roman"/>
          <w:szCs w:val="22"/>
          <w:lang w:val="en-US"/>
        </w:rPr>
        <w:t xml:space="preserve"> (solvents)</w:t>
      </w:r>
      <w:r w:rsidRPr="00E96D15">
        <w:rPr>
          <w:rFonts w:cs="Times New Roman"/>
          <w:szCs w:val="22"/>
          <w:lang w:val="en-US"/>
        </w:rPr>
        <w:t>, electricity production.</w:t>
      </w:r>
    </w:p>
    <w:p w14:paraId="22165644" w14:textId="77777777" w:rsidR="00E96D15" w:rsidRPr="00E96D15" w:rsidRDefault="00E96D15" w:rsidP="00E96D15">
      <w:pPr>
        <w:rPr>
          <w:rFonts w:cs="Times New Roman"/>
          <w:szCs w:val="22"/>
          <w:lang w:val="en-US"/>
        </w:rPr>
      </w:pPr>
      <w:r w:rsidRPr="00E96D15">
        <w:rPr>
          <w:rFonts w:cs="Times New Roman"/>
          <w:szCs w:val="22"/>
          <w:lang w:val="en-US"/>
        </w:rPr>
        <w:t>The volumes of refrigerant gas required for manufacturing is known by directly surveying equipment manufacturers with regard to their manufacturing output, the species employed in the equipment they make and sell, or charge and sell, and the charges employed in that equipment. Many manufacturers have also provided data on the volumes of bulk gases purchased in any year for their production.</w:t>
      </w:r>
    </w:p>
    <w:p w14:paraId="4DF84039" w14:textId="06CBADCF" w:rsidR="00E96D15" w:rsidRPr="00BA4837" w:rsidRDefault="00E96D15" w:rsidP="00BA4837">
      <w:pPr>
        <w:spacing w:before="240"/>
        <w:rPr>
          <w:rFonts w:asciiTheme="majorHAnsi" w:hAnsiTheme="majorHAnsi"/>
          <w:b/>
          <w:sz w:val="24"/>
        </w:rPr>
      </w:pPr>
      <w:r w:rsidRPr="00BA4837">
        <w:rPr>
          <w:rFonts w:asciiTheme="majorHAnsi" w:hAnsiTheme="majorHAnsi"/>
          <w:b/>
          <w:sz w:val="24"/>
        </w:rPr>
        <w:t xml:space="preserve">Energy </w:t>
      </w:r>
      <w:r w:rsidR="00135E24">
        <w:rPr>
          <w:rFonts w:asciiTheme="majorHAnsi" w:hAnsiTheme="majorHAnsi"/>
          <w:b/>
          <w:sz w:val="24"/>
        </w:rPr>
        <w:t>c</w:t>
      </w:r>
      <w:r w:rsidRPr="00BA4837">
        <w:rPr>
          <w:rFonts w:asciiTheme="majorHAnsi" w:hAnsiTheme="majorHAnsi"/>
          <w:b/>
          <w:sz w:val="24"/>
        </w:rPr>
        <w:t>onsumption</w:t>
      </w:r>
    </w:p>
    <w:p w14:paraId="47C4BC86" w14:textId="77777777" w:rsidR="00E96D15" w:rsidRPr="00E96D15" w:rsidRDefault="00E96D15" w:rsidP="00E96D15">
      <w:pPr>
        <w:rPr>
          <w:rFonts w:cs="Times New Roman"/>
          <w:szCs w:val="22"/>
          <w:lang w:val="en-US"/>
        </w:rPr>
      </w:pPr>
      <w:r w:rsidRPr="00E96D15">
        <w:rPr>
          <w:rFonts w:cs="Times New Roman"/>
          <w:szCs w:val="22"/>
          <w:lang w:val="en-US"/>
        </w:rPr>
        <w:t xml:space="preserve">The electrical consumption of products is estimated to allow a calculation of energy related emissions produced by each product, equipment category and segment. </w:t>
      </w:r>
    </w:p>
    <w:p w14:paraId="61813725" w14:textId="08F0D1A3" w:rsidR="00E96D15" w:rsidRPr="00E96D15" w:rsidRDefault="00E96D15" w:rsidP="00E96D15">
      <w:pPr>
        <w:rPr>
          <w:rFonts w:cs="Times New Roman"/>
          <w:szCs w:val="22"/>
          <w:lang w:val="en-US"/>
        </w:rPr>
      </w:pPr>
      <w:r w:rsidRPr="00E96D15">
        <w:rPr>
          <w:rFonts w:cs="Times New Roman"/>
          <w:szCs w:val="22"/>
          <w:lang w:val="en-US"/>
        </w:rPr>
        <w:t xml:space="preserve">The electrical demand and efficiency of every product category is derived from a combination of sources including manufacturer’s data, E3 energy rating data by appliance for relevant technical standard (e.g. split systems </w:t>
      </w:r>
      <w:r w:rsidRPr="00BA4837">
        <w:rPr>
          <w:rFonts w:cs="Times New Roman"/>
          <w:i/>
          <w:szCs w:val="22"/>
          <w:lang w:val="en-US"/>
        </w:rPr>
        <w:t>AS/NZ 3823.2</w:t>
      </w:r>
      <w:r w:rsidRPr="00E96D15">
        <w:rPr>
          <w:rFonts w:cs="Times New Roman"/>
          <w:szCs w:val="22"/>
          <w:lang w:val="en-US"/>
        </w:rPr>
        <w:t xml:space="preserve">), and energy consumption modeling undertaken by the Department of Climate Change and Energy Efficiency (DCCEE), now referred to as the Department of Industry, Innovation, Climate Change, Science, Research and Tertiary Education, from the most current published regulatory impact statement or product profile. </w:t>
      </w:r>
    </w:p>
    <w:p w14:paraId="352D77CF" w14:textId="77777777" w:rsidR="00E96D15" w:rsidRPr="00E96D15" w:rsidRDefault="00E96D15" w:rsidP="00E96D15">
      <w:pPr>
        <w:rPr>
          <w:rFonts w:cs="Times New Roman"/>
          <w:szCs w:val="22"/>
          <w:lang w:val="en-US"/>
        </w:rPr>
      </w:pPr>
      <w:r w:rsidRPr="00E96D15">
        <w:rPr>
          <w:rFonts w:cs="Times New Roman"/>
          <w:szCs w:val="22"/>
          <w:lang w:val="en-US"/>
        </w:rPr>
        <w:lastRenderedPageBreak/>
        <w:t>The average running hours of the products per day and per annum is calculated based on accepted values for average daily use, and those used in DCCEE energy models. Where variable speed drives are employed, an average load factor is applied to arrive at a daily and annual electricity consumption value for a product.</w:t>
      </w:r>
    </w:p>
    <w:p w14:paraId="2C5A1339" w14:textId="40D54D69" w:rsidR="00E96D15" w:rsidRPr="00135E24" w:rsidRDefault="00E96D15" w:rsidP="00135E24">
      <w:pPr>
        <w:spacing w:before="240"/>
        <w:rPr>
          <w:rFonts w:asciiTheme="majorHAnsi" w:hAnsiTheme="majorHAnsi"/>
          <w:b/>
          <w:sz w:val="24"/>
        </w:rPr>
      </w:pPr>
      <w:r w:rsidRPr="00135E24">
        <w:rPr>
          <w:rFonts w:asciiTheme="majorHAnsi" w:hAnsiTheme="majorHAnsi"/>
          <w:b/>
          <w:sz w:val="24"/>
        </w:rPr>
        <w:t xml:space="preserve">Energy </w:t>
      </w:r>
      <w:r w:rsidR="00135E24">
        <w:rPr>
          <w:rFonts w:asciiTheme="majorHAnsi" w:hAnsiTheme="majorHAnsi"/>
          <w:b/>
          <w:sz w:val="24"/>
        </w:rPr>
        <w:t>r</w:t>
      </w:r>
      <w:r w:rsidRPr="00135E24">
        <w:rPr>
          <w:rFonts w:asciiTheme="majorHAnsi" w:hAnsiTheme="majorHAnsi"/>
          <w:b/>
          <w:sz w:val="24"/>
        </w:rPr>
        <w:t xml:space="preserve">elated </w:t>
      </w:r>
      <w:r w:rsidR="00135E24">
        <w:rPr>
          <w:rFonts w:asciiTheme="majorHAnsi" w:hAnsiTheme="majorHAnsi"/>
          <w:b/>
          <w:sz w:val="24"/>
        </w:rPr>
        <w:t>g</w:t>
      </w:r>
      <w:r w:rsidRPr="00135E24">
        <w:rPr>
          <w:rFonts w:asciiTheme="majorHAnsi" w:hAnsiTheme="majorHAnsi"/>
          <w:b/>
          <w:sz w:val="24"/>
        </w:rPr>
        <w:t xml:space="preserve">reenhouse </w:t>
      </w:r>
      <w:r w:rsidR="00135E24">
        <w:rPr>
          <w:rFonts w:asciiTheme="majorHAnsi" w:hAnsiTheme="majorHAnsi"/>
          <w:b/>
          <w:sz w:val="24"/>
        </w:rPr>
        <w:t>e</w:t>
      </w:r>
      <w:r w:rsidRPr="00135E24">
        <w:rPr>
          <w:rFonts w:asciiTheme="majorHAnsi" w:hAnsiTheme="majorHAnsi"/>
          <w:b/>
          <w:sz w:val="24"/>
        </w:rPr>
        <w:t>missions</w:t>
      </w:r>
    </w:p>
    <w:p w14:paraId="16A02F13" w14:textId="77777777" w:rsidR="00E96D15" w:rsidRPr="00E96D15" w:rsidRDefault="00E96D15" w:rsidP="00E96D15">
      <w:pPr>
        <w:rPr>
          <w:rFonts w:cs="Times New Roman"/>
          <w:szCs w:val="22"/>
          <w:lang w:val="en-US"/>
        </w:rPr>
      </w:pPr>
      <w:r w:rsidRPr="00E96D15">
        <w:rPr>
          <w:rFonts w:cs="Times New Roman"/>
          <w:szCs w:val="22"/>
          <w:lang w:val="en-US"/>
        </w:rPr>
        <w:t>The total hours each product is operated per annum is multiplied by the electricity demand of each product, and by a national average greenhouse intensity factor for electricity, to arrive at an estimate of indirect, energy related greenhouse gas emissions.</w:t>
      </w:r>
    </w:p>
    <w:p w14:paraId="1A3ABCAD" w14:textId="70B791DE" w:rsidR="00E96D15" w:rsidRPr="00E96D15" w:rsidRDefault="00E96D15" w:rsidP="00E96D15">
      <w:pPr>
        <w:rPr>
          <w:rFonts w:cs="Times New Roman"/>
          <w:szCs w:val="22"/>
          <w:lang w:val="en-US"/>
        </w:rPr>
      </w:pPr>
      <w:r w:rsidRPr="00E96D15">
        <w:rPr>
          <w:rFonts w:cs="Times New Roman"/>
          <w:szCs w:val="22"/>
          <w:lang w:val="en-US"/>
        </w:rPr>
        <w:t>In arriving at a national average greenhouse intensity factor for electricity, factors from the NGERS Reporting System Measurement Technical Guidelines for estimation of greenhouse gas emissions by facilities in Australia for the 2012-13 reporting year</w:t>
      </w:r>
      <w:r w:rsidR="00135E24">
        <w:rPr>
          <w:rFonts w:cs="Times New Roman"/>
          <w:szCs w:val="22"/>
          <w:lang w:val="en-US"/>
        </w:rPr>
        <w:t xml:space="preserve"> (</w:t>
      </w:r>
      <w:r w:rsidR="00135E24" w:rsidRPr="00135E24">
        <w:rPr>
          <w:rFonts w:cs="Times New Roman"/>
          <w:szCs w:val="22"/>
          <w:lang w:val="en-US"/>
        </w:rPr>
        <w:t>NGERS 2012</w:t>
      </w:r>
      <w:r w:rsidR="00135E24">
        <w:rPr>
          <w:rFonts w:cs="Times New Roman"/>
          <w:szCs w:val="22"/>
          <w:lang w:val="en-US"/>
        </w:rPr>
        <w:t>)</w:t>
      </w:r>
      <w:r w:rsidRPr="00E96D15">
        <w:rPr>
          <w:rFonts w:cs="Times New Roman"/>
          <w:szCs w:val="22"/>
          <w:lang w:val="en-US"/>
        </w:rPr>
        <w:t>, were used. State based indirect (scope 2) emission factors from consumption of purchased electricity from a grid was used to calculate a national weighted average based on population using data from ABS 3101.0</w:t>
      </w:r>
      <w:r w:rsidR="00135E24">
        <w:rPr>
          <w:rFonts w:cs="Times New Roman"/>
          <w:szCs w:val="22"/>
          <w:lang w:val="en-US"/>
        </w:rPr>
        <w:t xml:space="preserve">, </w:t>
      </w:r>
      <w:r w:rsidRPr="00E96D15">
        <w:rPr>
          <w:rFonts w:cs="Times New Roman"/>
          <w:szCs w:val="22"/>
          <w:lang w:val="en-US"/>
        </w:rPr>
        <w:t>Australian Demographic Statistics, June 2012</w:t>
      </w:r>
      <w:r w:rsidR="00135E24">
        <w:rPr>
          <w:rFonts w:cs="Times New Roman"/>
          <w:szCs w:val="22"/>
          <w:lang w:val="en-US"/>
        </w:rPr>
        <w:t xml:space="preserve"> (</w:t>
      </w:r>
      <w:r w:rsidR="00135E24" w:rsidRPr="00135E24">
        <w:rPr>
          <w:rFonts w:cs="Times New Roman"/>
          <w:szCs w:val="22"/>
          <w:lang w:val="en-US"/>
        </w:rPr>
        <w:t>ABS 3101.0 2012</w:t>
      </w:r>
      <w:r w:rsidR="00135E24">
        <w:rPr>
          <w:rFonts w:cs="Times New Roman"/>
          <w:szCs w:val="22"/>
          <w:lang w:val="en-US"/>
        </w:rPr>
        <w:t>)</w:t>
      </w:r>
      <w:r w:rsidRPr="00E96D15">
        <w:rPr>
          <w:rFonts w:cs="Times New Roman"/>
          <w:szCs w:val="22"/>
          <w:lang w:val="en-US"/>
        </w:rPr>
        <w:t>.</w:t>
      </w:r>
    </w:p>
    <w:p w14:paraId="5A650B58" w14:textId="77777777" w:rsidR="00E96D15" w:rsidRDefault="00E96D15" w:rsidP="00E96D15">
      <w:pPr>
        <w:rPr>
          <w:rFonts w:cs="Times New Roman"/>
          <w:szCs w:val="22"/>
          <w:lang w:val="en-US"/>
        </w:rPr>
      </w:pPr>
      <w:r w:rsidRPr="00E96D15">
        <w:rPr>
          <w:rFonts w:cs="Times New Roman"/>
          <w:szCs w:val="22"/>
          <w:lang w:val="en-US"/>
        </w:rPr>
        <w:t>Fuel combustion emissions for petrol and diesel used by transport refrigeration and mobile air conditioning was calculated using the relevant energy content emission factors for post 2004 vehicles.</w:t>
      </w:r>
    </w:p>
    <w:p w14:paraId="1BF69B0E" w14:textId="7D5E1DB8" w:rsidR="00135E24" w:rsidRPr="00E96D15" w:rsidRDefault="00135E24" w:rsidP="00E96D15">
      <w:pPr>
        <w:rPr>
          <w:rFonts w:cs="Times New Roman"/>
          <w:szCs w:val="22"/>
          <w:lang w:val="en-US"/>
        </w:rPr>
      </w:pPr>
      <w:r>
        <w:rPr>
          <w:rFonts w:cs="Times New Roman"/>
          <w:szCs w:val="22"/>
          <w:lang w:val="en-US"/>
        </w:rPr>
        <w:t xml:space="preserve">Refer to tables in </w:t>
      </w:r>
      <w:r w:rsidRPr="00482A8A">
        <w:rPr>
          <w:rFonts w:cs="Times New Roman"/>
          <w:i/>
          <w:szCs w:val="22"/>
          <w:lang w:val="en-US"/>
        </w:rPr>
        <w:t>Appendix B</w:t>
      </w:r>
      <w:r w:rsidRPr="00135E24">
        <w:rPr>
          <w:i/>
        </w:rPr>
        <w:t xml:space="preserve"> </w:t>
      </w:r>
      <w:r w:rsidRPr="00135E24">
        <w:rPr>
          <w:rFonts w:cs="Times New Roman"/>
          <w:i/>
          <w:szCs w:val="22"/>
          <w:lang w:val="en-US"/>
        </w:rPr>
        <w:t>Technical resources and assumptions</w:t>
      </w:r>
      <w:r>
        <w:rPr>
          <w:rFonts w:cs="Times New Roman"/>
          <w:szCs w:val="22"/>
          <w:lang w:val="en-US"/>
        </w:rPr>
        <w:t>, for actual factors used.</w:t>
      </w:r>
    </w:p>
    <w:p w14:paraId="71710848" w14:textId="77777777" w:rsidR="00E96D15" w:rsidRPr="00135E24" w:rsidRDefault="00E96D15" w:rsidP="00135E24">
      <w:pPr>
        <w:spacing w:before="240"/>
        <w:rPr>
          <w:rFonts w:asciiTheme="majorHAnsi" w:hAnsiTheme="majorHAnsi"/>
          <w:b/>
          <w:sz w:val="24"/>
        </w:rPr>
      </w:pPr>
      <w:r w:rsidRPr="00135E24">
        <w:rPr>
          <w:rFonts w:asciiTheme="majorHAnsi" w:hAnsiTheme="majorHAnsi"/>
          <w:b/>
          <w:sz w:val="24"/>
        </w:rPr>
        <w:t>Global Warming Potential (GWP)</w:t>
      </w:r>
    </w:p>
    <w:p w14:paraId="18579FC7" w14:textId="051F6C4C" w:rsidR="00E96D15" w:rsidRPr="00757B89" w:rsidRDefault="00E96D15" w:rsidP="00E96D15">
      <w:pPr>
        <w:rPr>
          <w:rFonts w:cs="Times New Roman"/>
          <w:szCs w:val="22"/>
          <w:lang w:val="en-US"/>
        </w:rPr>
      </w:pPr>
      <w:r w:rsidRPr="00757B89">
        <w:rPr>
          <w:rFonts w:cs="Times New Roman"/>
          <w:szCs w:val="22"/>
          <w:lang w:val="en-US"/>
        </w:rPr>
        <w:t>This report often has to refer to the GWP value of refrigerant gases. Unless otherwise stated, the GWP of any gas, or blend of gases is calculated using the values published in the Second Assessment Report (AR2) of the United Nations Framework Convention on Climate Change (UNFCCC), released in 1996</w:t>
      </w:r>
      <w:r w:rsidR="00C45BA1" w:rsidRPr="00757B89">
        <w:rPr>
          <w:rFonts w:cs="Times New Roman"/>
          <w:szCs w:val="22"/>
          <w:lang w:val="en-US"/>
        </w:rPr>
        <w:t xml:space="preserve"> by the Intergovernmental Panel on Climate Change</w:t>
      </w:r>
      <w:r w:rsidRPr="00757B89">
        <w:rPr>
          <w:rFonts w:cs="Times New Roman"/>
          <w:szCs w:val="22"/>
          <w:lang w:val="en-US"/>
        </w:rPr>
        <w:t xml:space="preserve">. </w:t>
      </w:r>
    </w:p>
    <w:p w14:paraId="0DD29389" w14:textId="5656462F" w:rsidR="002E123D" w:rsidRPr="00E037BC" w:rsidRDefault="00E96D15" w:rsidP="00E96D15">
      <w:pPr>
        <w:rPr>
          <w:rFonts w:cs="Times New Roman"/>
          <w:szCs w:val="22"/>
          <w:lang w:val="en-US"/>
        </w:rPr>
      </w:pPr>
      <w:r w:rsidRPr="00E037BC">
        <w:rPr>
          <w:rFonts w:cs="Times New Roman"/>
          <w:szCs w:val="22"/>
          <w:lang w:val="en-US"/>
        </w:rPr>
        <w:t>Revised GWP values were reported in the Fourth Assessment Report (AR4) in 2007, however the revised values have not been accepted by the parties to the UNFCCC to date. Australia’s legally binding emission obligations under the Kyoto Protocol are calculated based on AR2 and therefore Australian legislation, including the Ozone Protection and Synthetic Greenhouse Gas Management Act 19</w:t>
      </w:r>
      <w:r w:rsidR="005E42B0">
        <w:rPr>
          <w:rFonts w:cs="Times New Roman"/>
          <w:szCs w:val="22"/>
          <w:lang w:val="en-US"/>
        </w:rPr>
        <w:t>89</w:t>
      </w:r>
      <w:r w:rsidRPr="00E037BC">
        <w:rPr>
          <w:rFonts w:cs="Times New Roman"/>
          <w:szCs w:val="22"/>
          <w:lang w:val="en-US"/>
        </w:rPr>
        <w:t xml:space="preserve"> (OPSGGMA), cite GWPs from AR2. Where gases that were not included in the AR2 assessment are referred to, the AR4 value is used, if it is available, and that is noted in a superscript after the GWP value (e.g. GWP of HCFC-409A is 1,585</w:t>
      </w:r>
      <w:r w:rsidRPr="00E037BC">
        <w:rPr>
          <w:rFonts w:cs="Times New Roman"/>
          <w:szCs w:val="22"/>
          <w:vertAlign w:val="superscript"/>
          <w:lang w:val="en-US"/>
        </w:rPr>
        <w:t>AR4</w:t>
      </w:r>
      <w:r w:rsidRPr="00E037BC">
        <w:rPr>
          <w:rFonts w:cs="Times New Roman"/>
          <w:szCs w:val="22"/>
          <w:lang w:val="en-US"/>
        </w:rPr>
        <w:t xml:space="preserve">). </w:t>
      </w:r>
    </w:p>
    <w:p w14:paraId="7499653D" w14:textId="01BFFA9B" w:rsidR="00E96D15" w:rsidRPr="00E96D15" w:rsidRDefault="00E96D15" w:rsidP="00E96D15">
      <w:pPr>
        <w:rPr>
          <w:rFonts w:cs="Times New Roman"/>
          <w:szCs w:val="22"/>
          <w:lang w:val="en-US"/>
        </w:rPr>
      </w:pPr>
      <w:r w:rsidRPr="00E037BC">
        <w:rPr>
          <w:rFonts w:cs="Times New Roman"/>
          <w:szCs w:val="22"/>
          <w:lang w:val="en-US"/>
        </w:rPr>
        <w:t xml:space="preserve">A new class of substances, very low GWP HFCs or HFOs, was not available at the time of publication of AR4 and the claimed GWPs are based on industry data. </w:t>
      </w:r>
      <w:r w:rsidR="002E123D" w:rsidRPr="00E037BC">
        <w:rPr>
          <w:rFonts w:cs="Times New Roman"/>
          <w:szCs w:val="22"/>
          <w:lang w:val="en-US"/>
        </w:rPr>
        <w:t xml:space="preserve">The </w:t>
      </w:r>
      <w:r w:rsidR="005E42B0" w:rsidRPr="005E42B0">
        <w:rPr>
          <w:rFonts w:cs="Times New Roman"/>
          <w:szCs w:val="22"/>
          <w:lang w:val="en-US"/>
        </w:rPr>
        <w:t>Australian Government has indicated that it will adopt AR4 from July 2017</w:t>
      </w:r>
      <w:r w:rsidR="005E42B0">
        <w:rPr>
          <w:rFonts w:cs="Times New Roman"/>
          <w:szCs w:val="22"/>
          <w:lang w:val="en-US"/>
        </w:rPr>
        <w:t xml:space="preserve">, </w:t>
      </w:r>
      <w:r w:rsidR="002E123D" w:rsidRPr="00E037BC">
        <w:rPr>
          <w:rFonts w:cs="Times New Roman"/>
          <w:szCs w:val="22"/>
          <w:lang w:val="en-US"/>
        </w:rPr>
        <w:t>for the time being the AR2 values are being used as the basis for regulation.</w:t>
      </w:r>
    </w:p>
    <w:p w14:paraId="3A37F22D" w14:textId="38A1C9A5" w:rsidR="00E037BC" w:rsidRDefault="00E96D15" w:rsidP="00E96D15">
      <w:pPr>
        <w:rPr>
          <w:rFonts w:cs="Times New Roman"/>
          <w:szCs w:val="22"/>
          <w:lang w:val="en-US"/>
        </w:rPr>
      </w:pPr>
      <w:r w:rsidRPr="00E96D15">
        <w:rPr>
          <w:rFonts w:cs="Times New Roman"/>
          <w:szCs w:val="22"/>
          <w:lang w:val="en-US"/>
        </w:rPr>
        <w:t xml:space="preserve">A table has been provided </w:t>
      </w:r>
      <w:r w:rsidR="00E037BC">
        <w:rPr>
          <w:rFonts w:cs="Times New Roman"/>
          <w:szCs w:val="22"/>
          <w:lang w:val="en-US"/>
        </w:rPr>
        <w:t>in Appendix B</w:t>
      </w:r>
      <w:r w:rsidRPr="00E96D15">
        <w:rPr>
          <w:rFonts w:cs="Times New Roman"/>
          <w:szCs w:val="22"/>
          <w:lang w:val="en-US"/>
        </w:rPr>
        <w:t xml:space="preserve"> that compares the GWP values published in the Second and the Fourth Asses</w:t>
      </w:r>
      <w:r w:rsidR="00E037BC">
        <w:rPr>
          <w:rFonts w:cs="Times New Roman"/>
          <w:szCs w:val="22"/>
          <w:lang w:val="en-US"/>
        </w:rPr>
        <w:t>sments, and the chemical mass composition used to calculate the GWP values of common blends.</w:t>
      </w:r>
    </w:p>
    <w:p w14:paraId="3BCDCE18" w14:textId="24A06F9A" w:rsidR="00E96D15" w:rsidRPr="00E96D15" w:rsidRDefault="00E96D15" w:rsidP="00E96D15">
      <w:pPr>
        <w:rPr>
          <w:rFonts w:cs="Times New Roman"/>
          <w:szCs w:val="22"/>
          <w:lang w:val="en-US"/>
        </w:rPr>
      </w:pPr>
      <w:r w:rsidRPr="00E96D15">
        <w:rPr>
          <w:rFonts w:cs="Times New Roman"/>
          <w:szCs w:val="22"/>
          <w:lang w:val="en-US"/>
        </w:rPr>
        <w:t xml:space="preserve">The GWP values of HFO substances (HFO-1234yf) are those cited by DuPont (DuPont 2010) and Honeywell as based on AR4. The IPCC, Fifth Assessment Report (AR5) </w:t>
      </w:r>
      <w:r w:rsidR="00E14C8A" w:rsidRPr="00E14C8A">
        <w:rPr>
          <w:rFonts w:cs="Times New Roman"/>
          <w:szCs w:val="22"/>
          <w:lang w:val="en-US"/>
        </w:rPr>
        <w:t>is well advanced, however is not publically available at the time of writing this report</w:t>
      </w:r>
      <w:r w:rsidRPr="00E96D15">
        <w:rPr>
          <w:rFonts w:cs="Times New Roman"/>
          <w:szCs w:val="22"/>
          <w:lang w:val="en-US"/>
        </w:rPr>
        <w:t xml:space="preserve">. </w:t>
      </w:r>
    </w:p>
    <w:p w14:paraId="61684F26" w14:textId="77777777" w:rsidR="00E96D15" w:rsidRPr="00B45972" w:rsidRDefault="00E96D15" w:rsidP="00B45972">
      <w:pPr>
        <w:spacing w:before="240"/>
        <w:rPr>
          <w:rFonts w:asciiTheme="majorHAnsi" w:hAnsiTheme="majorHAnsi"/>
          <w:b/>
          <w:sz w:val="24"/>
        </w:rPr>
      </w:pPr>
      <w:r w:rsidRPr="00B45972">
        <w:rPr>
          <w:rFonts w:asciiTheme="majorHAnsi" w:hAnsiTheme="majorHAnsi"/>
          <w:b/>
          <w:sz w:val="24"/>
        </w:rPr>
        <w:t>Direct Emissions</w:t>
      </w:r>
    </w:p>
    <w:p w14:paraId="79B15C3D" w14:textId="25EFC845" w:rsidR="00E96D15" w:rsidRPr="00E96D15" w:rsidRDefault="00E96D15" w:rsidP="00E96D15">
      <w:pPr>
        <w:rPr>
          <w:rFonts w:cs="Times New Roman"/>
          <w:szCs w:val="22"/>
          <w:lang w:val="en-US"/>
        </w:rPr>
      </w:pPr>
      <w:r w:rsidRPr="00E96D15">
        <w:rPr>
          <w:rFonts w:cs="Times New Roman"/>
          <w:szCs w:val="22"/>
          <w:lang w:val="en-US"/>
        </w:rPr>
        <w:t>Annual emissions of refrigerant gases from each product are calculated using an annual leak rate from each product, and applying that to the bank of working gas that has been calculated as being employed in each product.</w:t>
      </w:r>
    </w:p>
    <w:p w14:paraId="21A62ABC" w14:textId="77777777" w:rsidR="003961CE" w:rsidRPr="003961CE" w:rsidRDefault="003961CE" w:rsidP="003961CE">
      <w:pPr>
        <w:rPr>
          <w:rFonts w:cs="Times New Roman"/>
          <w:szCs w:val="22"/>
          <w:lang w:val="en-US"/>
        </w:rPr>
      </w:pPr>
      <w:r w:rsidRPr="003961CE">
        <w:rPr>
          <w:rFonts w:cs="Times New Roman"/>
          <w:szCs w:val="22"/>
          <w:lang w:val="en-US"/>
        </w:rPr>
        <w:t>There are four main types of direct emissions from RAC equipment:</w:t>
      </w:r>
    </w:p>
    <w:p w14:paraId="7EC22AD6" w14:textId="77777777" w:rsidR="003961CE" w:rsidRPr="003961CE" w:rsidRDefault="003961CE" w:rsidP="00D05A74">
      <w:pPr>
        <w:pStyle w:val="ListParagraph"/>
        <w:numPr>
          <w:ilvl w:val="0"/>
          <w:numId w:val="10"/>
        </w:numPr>
        <w:spacing w:before="120" w:after="0" w:line="240" w:lineRule="auto"/>
        <w:contextualSpacing w:val="0"/>
        <w:jc w:val="both"/>
        <w:rPr>
          <w:rFonts w:ascii="Times New Roman" w:hAnsi="Times New Roman"/>
          <w:lang w:val="en-US"/>
        </w:rPr>
      </w:pPr>
      <w:r w:rsidRPr="003961CE">
        <w:rPr>
          <w:rFonts w:ascii="Times New Roman" w:hAnsi="Times New Roman"/>
          <w:lang w:val="en-US"/>
        </w:rPr>
        <w:t>Gradual leaks during normal operation;</w:t>
      </w:r>
    </w:p>
    <w:p w14:paraId="79F24AF3" w14:textId="77777777" w:rsidR="003961CE" w:rsidRPr="003961CE" w:rsidRDefault="003961CE" w:rsidP="00D05A74">
      <w:pPr>
        <w:pStyle w:val="ListParagraph"/>
        <w:numPr>
          <w:ilvl w:val="0"/>
          <w:numId w:val="10"/>
        </w:numPr>
        <w:spacing w:before="120" w:after="0" w:line="240" w:lineRule="auto"/>
        <w:contextualSpacing w:val="0"/>
        <w:jc w:val="both"/>
        <w:rPr>
          <w:rFonts w:ascii="Times New Roman" w:hAnsi="Times New Roman"/>
          <w:lang w:val="en-US"/>
        </w:rPr>
      </w:pPr>
      <w:r w:rsidRPr="003961CE">
        <w:rPr>
          <w:rFonts w:ascii="Times New Roman" w:hAnsi="Times New Roman"/>
          <w:lang w:val="en-US"/>
        </w:rPr>
        <w:lastRenderedPageBreak/>
        <w:t>Catastrophic losses during normal operation;</w:t>
      </w:r>
    </w:p>
    <w:p w14:paraId="5F324C2E" w14:textId="77777777" w:rsidR="003961CE" w:rsidRPr="003961CE" w:rsidRDefault="003961CE" w:rsidP="00D05A74">
      <w:pPr>
        <w:pStyle w:val="ListParagraph"/>
        <w:numPr>
          <w:ilvl w:val="0"/>
          <w:numId w:val="10"/>
        </w:numPr>
        <w:spacing w:before="120" w:after="0" w:line="240" w:lineRule="auto"/>
        <w:contextualSpacing w:val="0"/>
        <w:jc w:val="both"/>
        <w:rPr>
          <w:rFonts w:ascii="Times New Roman" w:hAnsi="Times New Roman"/>
          <w:lang w:val="en-US"/>
        </w:rPr>
      </w:pPr>
      <w:r w:rsidRPr="003961CE">
        <w:rPr>
          <w:rFonts w:ascii="Times New Roman" w:hAnsi="Times New Roman"/>
          <w:lang w:val="en-US"/>
        </w:rPr>
        <w:t>Losses during equipment service and maintenance, and</w:t>
      </w:r>
    </w:p>
    <w:p w14:paraId="27A15CF3" w14:textId="77777777" w:rsidR="003961CE" w:rsidRPr="003961CE" w:rsidRDefault="003961CE" w:rsidP="00D05A74">
      <w:pPr>
        <w:pStyle w:val="ListParagraph"/>
        <w:numPr>
          <w:ilvl w:val="0"/>
          <w:numId w:val="10"/>
        </w:numPr>
        <w:spacing w:before="120" w:after="0" w:line="240" w:lineRule="auto"/>
        <w:contextualSpacing w:val="0"/>
        <w:jc w:val="both"/>
        <w:rPr>
          <w:rFonts w:ascii="Times New Roman" w:hAnsi="Times New Roman"/>
          <w:lang w:val="en-US"/>
        </w:rPr>
      </w:pPr>
      <w:r w:rsidRPr="003961CE">
        <w:rPr>
          <w:rFonts w:ascii="Times New Roman" w:hAnsi="Times New Roman"/>
          <w:lang w:val="en-US"/>
        </w:rPr>
        <w:t>Losses at end of equipment life.</w:t>
      </w:r>
    </w:p>
    <w:p w14:paraId="0ABBC27E" w14:textId="59AFF044" w:rsidR="003961CE" w:rsidRPr="003961CE" w:rsidRDefault="003961CE" w:rsidP="003961CE">
      <w:pPr>
        <w:rPr>
          <w:rFonts w:cs="Times New Roman"/>
          <w:szCs w:val="22"/>
          <w:lang w:val="en-US"/>
        </w:rPr>
      </w:pPr>
      <w:r w:rsidRPr="003961CE">
        <w:rPr>
          <w:rFonts w:cs="Times New Roman"/>
          <w:szCs w:val="22"/>
          <w:lang w:val="en-US"/>
        </w:rPr>
        <w:t xml:space="preserve">The annual leak rate referred to in this </w:t>
      </w:r>
      <w:r w:rsidRPr="00491313">
        <w:rPr>
          <w:rFonts w:cs="Times New Roman"/>
          <w:szCs w:val="22"/>
        </w:rPr>
        <w:t>report</w:t>
      </w:r>
      <w:r w:rsidRPr="003961CE">
        <w:rPr>
          <w:rFonts w:cs="Times New Roman"/>
          <w:szCs w:val="22"/>
          <w:lang w:val="en-US"/>
        </w:rPr>
        <w:t xml:space="preserve"> is expressed as a percentage of the initial charge</w:t>
      </w:r>
      <w:r>
        <w:rPr>
          <w:rFonts w:cs="Times New Roman"/>
          <w:szCs w:val="22"/>
          <w:lang w:val="en-US"/>
        </w:rPr>
        <w:t xml:space="preserve"> per annum and is calculated as the </w:t>
      </w:r>
      <w:r w:rsidRPr="003961CE">
        <w:rPr>
          <w:rFonts w:cs="Times New Roman"/>
          <w:szCs w:val="22"/>
          <w:lang w:val="en-US"/>
        </w:rPr>
        <w:t>sum of gradual leaks during normal operation plus;</w:t>
      </w:r>
      <w:r>
        <w:rPr>
          <w:rFonts w:cs="Times New Roman"/>
          <w:szCs w:val="22"/>
          <w:lang w:val="en-US"/>
        </w:rPr>
        <w:t xml:space="preserve"> c</w:t>
      </w:r>
      <w:r w:rsidRPr="003961CE">
        <w:rPr>
          <w:rFonts w:cs="Times New Roman"/>
          <w:szCs w:val="22"/>
          <w:lang w:val="en-US"/>
        </w:rPr>
        <w:t>atastrophic losses amortised over the life of the equipment plus;</w:t>
      </w:r>
      <w:r>
        <w:rPr>
          <w:rFonts w:cs="Times New Roman"/>
          <w:szCs w:val="22"/>
          <w:lang w:val="en-US"/>
        </w:rPr>
        <w:t xml:space="preserve"> </w:t>
      </w:r>
      <w:r w:rsidRPr="003961CE">
        <w:rPr>
          <w:rFonts w:cs="Times New Roman"/>
          <w:szCs w:val="22"/>
          <w:lang w:val="en-US"/>
        </w:rPr>
        <w:t>losses during service and maintenance.</w:t>
      </w:r>
    </w:p>
    <w:p w14:paraId="60211C6F" w14:textId="77777777" w:rsidR="003961CE" w:rsidRPr="003961CE" w:rsidRDefault="003961CE" w:rsidP="003961CE">
      <w:pPr>
        <w:rPr>
          <w:rFonts w:cs="Times New Roman"/>
          <w:szCs w:val="22"/>
          <w:lang w:val="en-US"/>
        </w:rPr>
      </w:pPr>
      <w:r w:rsidRPr="003961CE">
        <w:rPr>
          <w:rFonts w:cs="Times New Roman"/>
          <w:szCs w:val="22"/>
          <w:lang w:val="en-US"/>
        </w:rPr>
        <w:t xml:space="preserve"> In the case of mobile air conditioning equipment, the annual leak rate takes into account losses from vehicle crashes, which are classed as catastrophic losses.</w:t>
      </w:r>
    </w:p>
    <w:p w14:paraId="714CC528" w14:textId="77777777" w:rsidR="003961CE" w:rsidRPr="00491313" w:rsidRDefault="003961CE" w:rsidP="00491313">
      <w:pPr>
        <w:spacing w:before="240"/>
        <w:rPr>
          <w:rFonts w:asciiTheme="majorHAnsi" w:hAnsiTheme="majorHAnsi"/>
          <w:b/>
          <w:sz w:val="24"/>
        </w:rPr>
      </w:pPr>
      <w:r w:rsidRPr="00491313">
        <w:rPr>
          <w:rFonts w:asciiTheme="majorHAnsi" w:hAnsiTheme="majorHAnsi"/>
          <w:b/>
          <w:sz w:val="24"/>
        </w:rPr>
        <w:t xml:space="preserve">Losses at end-of-life are treated separately as potential emissions. </w:t>
      </w:r>
    </w:p>
    <w:p w14:paraId="293492E2" w14:textId="77777777" w:rsidR="003961CE" w:rsidRPr="003961CE" w:rsidRDefault="003961CE" w:rsidP="003961CE">
      <w:pPr>
        <w:rPr>
          <w:rFonts w:cs="Times New Roman"/>
          <w:szCs w:val="22"/>
          <w:lang w:val="en-US"/>
        </w:rPr>
      </w:pPr>
      <w:r w:rsidRPr="003961CE">
        <w:rPr>
          <w:rFonts w:cs="Times New Roman"/>
          <w:szCs w:val="22"/>
          <w:lang w:val="en-US"/>
        </w:rPr>
        <w:t xml:space="preserve">Refrigerant recovery is compulsory under the OPSGGMA and the associated Regulations, and Refrigerant Reclaim Australia (RRA), a not-for-profit organisation, is authorised by the Australian Competition and Consumer Commission (ACCC) to work with industry to recover, reclaim and destroy ozone depleting and synthetic greenhouse gases. </w:t>
      </w:r>
    </w:p>
    <w:p w14:paraId="60F3AB9C" w14:textId="1572F594" w:rsidR="003961CE" w:rsidRPr="003961CE" w:rsidRDefault="003961CE" w:rsidP="003961CE">
      <w:pPr>
        <w:rPr>
          <w:rFonts w:cs="Times New Roman"/>
          <w:szCs w:val="22"/>
          <w:lang w:val="en-US"/>
        </w:rPr>
      </w:pPr>
      <w:r w:rsidRPr="003961CE">
        <w:rPr>
          <w:rFonts w:cs="Times New Roman"/>
          <w:szCs w:val="22"/>
          <w:lang w:val="en-US"/>
        </w:rPr>
        <w:t xml:space="preserve">The potential end-of-life emissions </w:t>
      </w:r>
      <w:r w:rsidR="003C6CAB">
        <w:rPr>
          <w:rFonts w:cs="Times New Roman"/>
          <w:szCs w:val="22"/>
          <w:lang w:val="en-US"/>
        </w:rPr>
        <w:t xml:space="preserve">are </w:t>
      </w:r>
      <w:r w:rsidRPr="003961CE">
        <w:rPr>
          <w:rFonts w:cs="Times New Roman"/>
          <w:szCs w:val="22"/>
          <w:lang w:val="en-US"/>
        </w:rPr>
        <w:t xml:space="preserve">calculated by multiplying the average refrigerant charge by the EOL factor </w:t>
      </w:r>
      <w:r w:rsidR="003C6CAB">
        <w:rPr>
          <w:rFonts w:cs="Times New Roman"/>
          <w:szCs w:val="22"/>
          <w:lang w:val="en-US"/>
        </w:rPr>
        <w:t xml:space="preserve">proportion </w:t>
      </w:r>
      <w:r w:rsidRPr="003961CE">
        <w:rPr>
          <w:rFonts w:cs="Times New Roman"/>
          <w:szCs w:val="22"/>
          <w:lang w:val="en-US"/>
        </w:rPr>
        <w:t>of original charge remaining for each applications sector. The EOL factors used were generally consistent with those used by the IPCC and ICF International in a variety of technical papers</w:t>
      </w:r>
      <w:r w:rsidR="00491313">
        <w:rPr>
          <w:rFonts w:cs="Times New Roman"/>
          <w:szCs w:val="22"/>
          <w:lang w:val="en-US"/>
        </w:rPr>
        <w:t xml:space="preserve"> (ICF 2010)</w:t>
      </w:r>
      <w:r w:rsidRPr="003961CE">
        <w:rPr>
          <w:rFonts w:cs="Times New Roman"/>
          <w:szCs w:val="22"/>
          <w:lang w:val="en-US"/>
        </w:rPr>
        <w:t xml:space="preserve">. The EOL charge multiplied by the technically recoverable factor equates to the recoverable gas. </w:t>
      </w:r>
    </w:p>
    <w:p w14:paraId="7F0B72C2" w14:textId="77777777" w:rsidR="003961CE" w:rsidRPr="003961CE" w:rsidRDefault="003961CE" w:rsidP="003961CE">
      <w:pPr>
        <w:rPr>
          <w:rFonts w:cs="Times New Roman"/>
          <w:szCs w:val="22"/>
          <w:lang w:val="en-US"/>
        </w:rPr>
      </w:pPr>
      <w:r w:rsidRPr="003961CE">
        <w:rPr>
          <w:rFonts w:cs="Times New Roman"/>
          <w:szCs w:val="22"/>
          <w:lang w:val="en-US"/>
        </w:rPr>
        <w:t>Deducting the recycling factor leaves the amount that is available for either reclaim or destruction. Between 30 June 2007, and 30 June 2012, an average of about 500 tonnes of waste HCFCs and HFCs was collected and destroyed annually in Australia via the RRA scheme. The balance that is not destroyed, re-used nor reclaimed is considered a direct emission.</w:t>
      </w:r>
    </w:p>
    <w:p w14:paraId="753E7CAD" w14:textId="7AE2D1DC" w:rsidR="003961CE" w:rsidRPr="003961CE" w:rsidRDefault="003961CE" w:rsidP="003961CE">
      <w:pPr>
        <w:rPr>
          <w:rFonts w:cs="Times New Roman"/>
          <w:szCs w:val="22"/>
          <w:lang w:val="en-US"/>
        </w:rPr>
      </w:pPr>
      <w:r w:rsidRPr="003961CE">
        <w:rPr>
          <w:rFonts w:cs="Times New Roman"/>
          <w:szCs w:val="22"/>
          <w:lang w:val="en-US"/>
        </w:rPr>
        <w:t xml:space="preserve">With some products, such as with roof top mounted and wall hung split air conditioners, calculations of direct emissions include leaks from the equipment during operation, plus losses in handling the equipment and charging or adding refrigerant to the equipment during installation, commissioning and maintenance. </w:t>
      </w:r>
    </w:p>
    <w:p w14:paraId="7941F0F4" w14:textId="77777777" w:rsidR="003961CE" w:rsidRPr="003961CE" w:rsidRDefault="003961CE" w:rsidP="003961CE">
      <w:pPr>
        <w:rPr>
          <w:rFonts w:cs="Times New Roman"/>
          <w:szCs w:val="22"/>
          <w:lang w:val="en-US"/>
        </w:rPr>
      </w:pPr>
      <w:r w:rsidRPr="003961CE">
        <w:rPr>
          <w:rFonts w:cs="Times New Roman"/>
          <w:szCs w:val="22"/>
          <w:lang w:val="en-US"/>
        </w:rPr>
        <w:t>For some products direct emissions include losses calculated for appliances and equipment reaching the end of the products useful life. The assumption for some products, such as domestic refrigerators, portable and mobile air conditioners, and smaller wall hung split systems, is that all of the remaining charge of working gas is lost to air and none is recovered.</w:t>
      </w:r>
    </w:p>
    <w:p w14:paraId="71C5C76F" w14:textId="6691E7AA" w:rsidR="003961CE" w:rsidRPr="00491313" w:rsidRDefault="003961CE" w:rsidP="00491313">
      <w:pPr>
        <w:spacing w:before="240"/>
        <w:rPr>
          <w:rFonts w:asciiTheme="majorHAnsi" w:hAnsiTheme="majorHAnsi"/>
          <w:b/>
          <w:sz w:val="24"/>
        </w:rPr>
      </w:pPr>
      <w:r w:rsidRPr="00491313">
        <w:rPr>
          <w:rFonts w:asciiTheme="majorHAnsi" w:hAnsiTheme="majorHAnsi"/>
          <w:b/>
          <w:sz w:val="24"/>
        </w:rPr>
        <w:t xml:space="preserve">Annual </w:t>
      </w:r>
      <w:r w:rsidR="00491313">
        <w:rPr>
          <w:rFonts w:asciiTheme="majorHAnsi" w:hAnsiTheme="majorHAnsi"/>
          <w:b/>
          <w:sz w:val="24"/>
        </w:rPr>
        <w:t>e</w:t>
      </w:r>
      <w:r w:rsidRPr="00491313">
        <w:rPr>
          <w:rFonts w:asciiTheme="majorHAnsi" w:hAnsiTheme="majorHAnsi"/>
          <w:b/>
          <w:sz w:val="24"/>
        </w:rPr>
        <w:t>xpenditure</w:t>
      </w:r>
    </w:p>
    <w:p w14:paraId="4B80E4D6" w14:textId="77777777" w:rsidR="003961CE" w:rsidRPr="003961CE" w:rsidRDefault="003961CE" w:rsidP="003961CE">
      <w:pPr>
        <w:rPr>
          <w:rFonts w:cs="Times New Roman"/>
          <w:szCs w:val="22"/>
          <w:lang w:val="en-US"/>
        </w:rPr>
      </w:pPr>
      <w:r w:rsidRPr="003961CE">
        <w:rPr>
          <w:rFonts w:cs="Times New Roman"/>
          <w:szCs w:val="22"/>
          <w:lang w:val="en-US"/>
        </w:rPr>
        <w:t>The number of pieces of any product being imported, manufactured, sold, installed and commissioned in any year is known from the stock model. The average cost to the end-user of that product is known from surveys of the market and interviews with suppliers. These two factors allow the calculation of total expenditure on RAC equipment in any year.</w:t>
      </w:r>
    </w:p>
    <w:p w14:paraId="2AD7B4CB" w14:textId="77777777" w:rsidR="003961CE" w:rsidRPr="003961CE" w:rsidRDefault="003961CE" w:rsidP="003961CE">
      <w:pPr>
        <w:rPr>
          <w:rFonts w:cs="Times New Roman"/>
          <w:szCs w:val="22"/>
          <w:lang w:val="en-US"/>
        </w:rPr>
      </w:pPr>
      <w:r w:rsidRPr="003961CE">
        <w:rPr>
          <w:rFonts w:cs="Times New Roman"/>
          <w:szCs w:val="22"/>
          <w:lang w:val="en-US"/>
        </w:rPr>
        <w:t>The quantity of refrigerant gases that are imported every year is known from DSEWPaC bulk import data. The uses to which that gas is put is deduced from the data underlying the calculation of the bank of working gases. The value to the end-users of that gas is known from market surveys and information from wholesalers (i.e. list prices and discounts) and service contractors (i.e. mark-ups to end-users). These factors allow the calculation of total annual expenditure by end-users on refrigerant gas.</w:t>
      </w:r>
    </w:p>
    <w:p w14:paraId="303F9B6D" w14:textId="77777777" w:rsidR="003961CE" w:rsidRPr="003961CE" w:rsidRDefault="003961CE" w:rsidP="003961CE">
      <w:pPr>
        <w:rPr>
          <w:rFonts w:cs="Times New Roman"/>
          <w:szCs w:val="22"/>
          <w:lang w:val="en-US"/>
        </w:rPr>
      </w:pPr>
      <w:r w:rsidRPr="003961CE">
        <w:rPr>
          <w:rFonts w:cs="Times New Roman"/>
          <w:szCs w:val="22"/>
          <w:lang w:val="en-US"/>
        </w:rPr>
        <w:t>The quantity of electricity consumed in RAC equipment is calculated and an average per kWh price applied to provide an estimate of annual expenditure by equipment and appliance owners on electricity consumed in the equipment. Two national average rates were used, one for commercial end-users of 18c/kWh, and 25c/kWh for residential. A rate of 13c/kWh was used for large commercial end-users such as cold storage facilities.</w:t>
      </w:r>
    </w:p>
    <w:p w14:paraId="133A699C" w14:textId="6EFB807B" w:rsidR="003961CE" w:rsidRPr="003961CE" w:rsidRDefault="003961CE" w:rsidP="003961CE">
      <w:pPr>
        <w:rPr>
          <w:rFonts w:cs="Times New Roman"/>
          <w:szCs w:val="22"/>
          <w:lang w:val="en-US"/>
        </w:rPr>
      </w:pPr>
      <w:r w:rsidRPr="003961CE">
        <w:rPr>
          <w:rFonts w:cs="Times New Roman"/>
          <w:szCs w:val="22"/>
          <w:lang w:val="en-US"/>
        </w:rPr>
        <w:t>The assumptions made about the proportion of different classes of air conditioning equipment found in commercial applications</w:t>
      </w:r>
      <w:r w:rsidR="00491313">
        <w:rPr>
          <w:rFonts w:cs="Times New Roman"/>
          <w:szCs w:val="22"/>
          <w:lang w:val="en-US"/>
        </w:rPr>
        <w:t xml:space="preserve"> are tabulated </w:t>
      </w:r>
      <w:r w:rsidR="00491313" w:rsidRPr="003961CE">
        <w:rPr>
          <w:rFonts w:cs="Times New Roman"/>
          <w:szCs w:val="22"/>
          <w:lang w:val="en-US"/>
        </w:rPr>
        <w:t xml:space="preserve">in </w:t>
      </w:r>
      <w:r w:rsidR="00491313" w:rsidRPr="00491313">
        <w:rPr>
          <w:rFonts w:cs="Times New Roman"/>
          <w:i/>
          <w:szCs w:val="22"/>
          <w:lang w:val="en-US"/>
        </w:rPr>
        <w:t>Appendix B: Technical resources and assumptions</w:t>
      </w:r>
      <w:r w:rsidRPr="003961CE">
        <w:rPr>
          <w:rFonts w:cs="Times New Roman"/>
          <w:szCs w:val="22"/>
          <w:lang w:val="en-US"/>
        </w:rPr>
        <w:t xml:space="preserve">. These </w:t>
      </w:r>
      <w:r w:rsidRPr="003961CE">
        <w:rPr>
          <w:rFonts w:cs="Times New Roman"/>
          <w:szCs w:val="22"/>
          <w:lang w:val="en-US"/>
        </w:rPr>
        <w:lastRenderedPageBreak/>
        <w:t xml:space="preserve">estimates are based on information provided by major importers and manufacturers, and on first-hand experience of the market for air conditioning equipment in Australia where some large ducted systems are used in the residential sector, and many small units are found being employed in commercial and retail applications. </w:t>
      </w:r>
    </w:p>
    <w:p w14:paraId="42F24450" w14:textId="77777777" w:rsidR="003961CE" w:rsidRDefault="003961CE" w:rsidP="003961CE">
      <w:pPr>
        <w:rPr>
          <w:rFonts w:cs="Times New Roman"/>
          <w:szCs w:val="22"/>
          <w:lang w:val="en-US"/>
        </w:rPr>
      </w:pPr>
      <w:r w:rsidRPr="003961CE">
        <w:rPr>
          <w:rFonts w:cs="Times New Roman"/>
          <w:szCs w:val="22"/>
          <w:lang w:val="en-US"/>
        </w:rPr>
        <w:t>The proportion of equipment used in commercial applications influences the result of the calculation of the energy spend because of the different hours of use of commercial equipment versus residential equipment, and because of the different electricity prices applied to commercial equipment.</w:t>
      </w:r>
    </w:p>
    <w:p w14:paraId="4FA565F2" w14:textId="4A21E417" w:rsidR="00EF7EDD" w:rsidRPr="003961CE" w:rsidRDefault="00EF7EDD" w:rsidP="003961CE">
      <w:pPr>
        <w:rPr>
          <w:rFonts w:cs="Times New Roman"/>
          <w:szCs w:val="22"/>
          <w:lang w:val="en-US"/>
        </w:rPr>
      </w:pPr>
      <w:r w:rsidRPr="00EF7EDD">
        <w:rPr>
          <w:rFonts w:cs="Times New Roman"/>
          <w:szCs w:val="22"/>
          <w:lang w:val="en-US"/>
        </w:rPr>
        <w:t>All domestic refrigeration equipment used the residential tariff, and devices in the refrigerated cold food chain used the commercial rate.</w:t>
      </w:r>
    </w:p>
    <w:p w14:paraId="4C3EB128" w14:textId="77777777" w:rsidR="00D509BE" w:rsidRDefault="00D509BE">
      <w:pPr>
        <w:spacing w:before="0"/>
        <w:jc w:val="left"/>
        <w:rPr>
          <w:szCs w:val="22"/>
        </w:rPr>
      </w:pPr>
    </w:p>
    <w:p w14:paraId="1C1F2A65" w14:textId="77777777" w:rsidR="00D509BE" w:rsidRDefault="00D509BE">
      <w:pPr>
        <w:spacing w:before="0"/>
        <w:jc w:val="left"/>
        <w:rPr>
          <w:szCs w:val="22"/>
        </w:rPr>
      </w:pPr>
    </w:p>
    <w:p w14:paraId="324EC34B" w14:textId="77777777" w:rsidR="00EF7EDD" w:rsidRDefault="00EF7EDD">
      <w:pPr>
        <w:spacing w:before="0"/>
        <w:jc w:val="left"/>
        <w:rPr>
          <w:rFonts w:asciiTheme="majorHAnsi" w:hAnsiTheme="majorHAnsi"/>
          <w:b/>
          <w:sz w:val="32"/>
          <w:szCs w:val="32"/>
        </w:rPr>
      </w:pPr>
      <w:r>
        <w:rPr>
          <w:rFonts w:asciiTheme="majorHAnsi" w:hAnsiTheme="majorHAnsi"/>
          <w:b/>
          <w:sz w:val="32"/>
          <w:szCs w:val="32"/>
        </w:rPr>
        <w:br w:type="page"/>
      </w:r>
    </w:p>
    <w:p w14:paraId="1D4367FC" w14:textId="11382777" w:rsidR="00D509BE" w:rsidRPr="00220AB1" w:rsidRDefault="00D509BE" w:rsidP="00D509BE">
      <w:pPr>
        <w:spacing w:before="0"/>
        <w:jc w:val="left"/>
        <w:rPr>
          <w:rFonts w:asciiTheme="majorHAnsi" w:hAnsiTheme="majorHAnsi"/>
          <w:b/>
          <w:sz w:val="32"/>
          <w:szCs w:val="32"/>
        </w:rPr>
      </w:pPr>
      <w:r w:rsidRPr="00220AB1">
        <w:rPr>
          <w:rFonts w:asciiTheme="majorHAnsi" w:hAnsiTheme="majorHAnsi"/>
          <w:b/>
          <w:sz w:val="32"/>
          <w:szCs w:val="32"/>
        </w:rPr>
        <w:lastRenderedPageBreak/>
        <w:t>Appendix</w:t>
      </w:r>
      <w:r>
        <w:rPr>
          <w:rFonts w:asciiTheme="majorHAnsi" w:hAnsiTheme="majorHAnsi"/>
          <w:b/>
          <w:sz w:val="32"/>
          <w:szCs w:val="32"/>
        </w:rPr>
        <w:t xml:space="preserve"> </w:t>
      </w:r>
      <w:r w:rsidRPr="00482A8A">
        <w:rPr>
          <w:rFonts w:asciiTheme="majorHAnsi" w:hAnsiTheme="majorHAnsi"/>
          <w:b/>
          <w:sz w:val="32"/>
          <w:szCs w:val="32"/>
        </w:rPr>
        <w:t>B:</w:t>
      </w:r>
      <w:r w:rsidRPr="00220AB1">
        <w:rPr>
          <w:rFonts w:asciiTheme="majorHAnsi" w:hAnsiTheme="majorHAnsi"/>
          <w:b/>
          <w:sz w:val="32"/>
          <w:szCs w:val="32"/>
        </w:rPr>
        <w:t xml:space="preserve"> Technical resources and assumptions</w:t>
      </w:r>
    </w:p>
    <w:p w14:paraId="7FAF1DD4" w14:textId="77777777" w:rsidR="00D509BE" w:rsidRDefault="00D509BE">
      <w:pPr>
        <w:spacing w:before="0"/>
        <w:jc w:val="left"/>
        <w:rPr>
          <w:szCs w:val="22"/>
        </w:rPr>
      </w:pPr>
    </w:p>
    <w:p w14:paraId="29A0C000" w14:textId="268D503F" w:rsidR="00925DF3" w:rsidRDefault="00CC13DC">
      <w:pPr>
        <w:spacing w:before="0"/>
        <w:jc w:val="left"/>
        <w:rPr>
          <w:szCs w:val="22"/>
        </w:rPr>
      </w:pPr>
      <w:r>
        <w:rPr>
          <w:szCs w:val="22"/>
        </w:rPr>
        <w:t xml:space="preserve">This appendix </w:t>
      </w:r>
      <w:r w:rsidR="00220AB1">
        <w:rPr>
          <w:szCs w:val="22"/>
        </w:rPr>
        <w:t xml:space="preserve">summarises the </w:t>
      </w:r>
      <w:r w:rsidR="00925DF3">
        <w:rPr>
          <w:szCs w:val="22"/>
        </w:rPr>
        <w:t>main assumptions</w:t>
      </w:r>
      <w:r>
        <w:rPr>
          <w:szCs w:val="22"/>
        </w:rPr>
        <w:t xml:space="preserve"> </w:t>
      </w:r>
      <w:r w:rsidR="00220AB1">
        <w:rPr>
          <w:szCs w:val="22"/>
        </w:rPr>
        <w:t xml:space="preserve">used </w:t>
      </w:r>
      <w:r>
        <w:rPr>
          <w:szCs w:val="22"/>
        </w:rPr>
        <w:t>in the study, and provides other technical resources used in calculations.</w:t>
      </w:r>
    </w:p>
    <w:p w14:paraId="48211687" w14:textId="77777777" w:rsidR="00CC13DC" w:rsidRPr="005D159D" w:rsidRDefault="00CC13DC" w:rsidP="00CC13DC">
      <w:pPr>
        <w:rPr>
          <w:i/>
          <w:szCs w:val="22"/>
        </w:rPr>
      </w:pPr>
      <w:bookmarkStart w:id="106" w:name="_Toc233084080"/>
      <w:r w:rsidRPr="005D159D">
        <w:rPr>
          <w:i/>
          <w:szCs w:val="22"/>
        </w:rPr>
        <w:t xml:space="preserve">Table </w:t>
      </w:r>
      <w:r w:rsidRPr="005D159D">
        <w:rPr>
          <w:i/>
          <w:szCs w:val="22"/>
        </w:rPr>
        <w:fldChar w:fldCharType="begin"/>
      </w:r>
      <w:r w:rsidRPr="005D159D">
        <w:rPr>
          <w:i/>
          <w:szCs w:val="22"/>
        </w:rPr>
        <w:instrText xml:space="preserve"> SEQ Table \* ARABIC </w:instrText>
      </w:r>
      <w:r w:rsidRPr="005D159D">
        <w:rPr>
          <w:i/>
          <w:szCs w:val="22"/>
        </w:rPr>
        <w:fldChar w:fldCharType="separate"/>
      </w:r>
      <w:r w:rsidR="00196462">
        <w:rPr>
          <w:i/>
          <w:noProof/>
          <w:szCs w:val="22"/>
        </w:rPr>
        <w:t>36</w:t>
      </w:r>
      <w:r w:rsidRPr="005D159D">
        <w:rPr>
          <w:i/>
          <w:szCs w:val="22"/>
        </w:rPr>
        <w:fldChar w:fldCharType="end"/>
      </w:r>
      <w:r w:rsidRPr="005D159D">
        <w:rPr>
          <w:i/>
          <w:szCs w:val="22"/>
        </w:rPr>
        <w:t xml:space="preserve">: </w:t>
      </w:r>
      <w:r w:rsidRPr="00C02F5E">
        <w:rPr>
          <w:i/>
          <w:szCs w:val="22"/>
        </w:rPr>
        <w:t xml:space="preserve">GWP </w:t>
      </w:r>
      <w:r>
        <w:rPr>
          <w:i/>
          <w:szCs w:val="22"/>
        </w:rPr>
        <w:t>factors</w:t>
      </w:r>
      <w:r w:rsidRPr="00C02F5E">
        <w:rPr>
          <w:i/>
          <w:szCs w:val="22"/>
        </w:rPr>
        <w:t xml:space="preserve"> of main refrigerant gas species</w:t>
      </w:r>
      <w:bookmarkEnd w:id="1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09"/>
        <w:gridCol w:w="3248"/>
        <w:gridCol w:w="3248"/>
      </w:tblGrid>
      <w:tr w:rsidR="00CC13DC" w:rsidRPr="001C4E9E" w14:paraId="69E9B08A" w14:textId="77777777" w:rsidTr="00CC13DC">
        <w:tc>
          <w:tcPr>
            <w:tcW w:w="3119" w:type="dxa"/>
            <w:tcBorders>
              <w:top w:val="single" w:sz="4" w:space="0" w:color="FFFFFF"/>
              <w:left w:val="single" w:sz="4" w:space="0" w:color="auto"/>
              <w:bottom w:val="single" w:sz="4" w:space="0" w:color="000000"/>
              <w:right w:val="single" w:sz="4" w:space="0" w:color="FFFFFF"/>
            </w:tcBorders>
            <w:shd w:val="clear" w:color="auto" w:fill="000000"/>
            <w:vAlign w:val="center"/>
          </w:tcPr>
          <w:p w14:paraId="386A211F" w14:textId="77777777" w:rsidR="00CC13DC" w:rsidRPr="001C4E9E" w:rsidRDefault="00CC13DC" w:rsidP="00CC13DC">
            <w:pPr>
              <w:spacing w:before="240" w:after="240"/>
              <w:jc w:val="left"/>
            </w:pPr>
            <w:r w:rsidRPr="001C4E9E">
              <w:t>Common substances</w:t>
            </w:r>
          </w:p>
        </w:tc>
        <w:tc>
          <w:tcPr>
            <w:tcW w:w="3260" w:type="dxa"/>
            <w:tcBorders>
              <w:top w:val="single" w:sz="4" w:space="0" w:color="FFFFFF"/>
              <w:left w:val="single" w:sz="4" w:space="0" w:color="FFFFFF"/>
              <w:bottom w:val="single" w:sz="4" w:space="0" w:color="000000"/>
              <w:right w:val="single" w:sz="4" w:space="0" w:color="FFFFFF"/>
            </w:tcBorders>
            <w:shd w:val="clear" w:color="auto" w:fill="000000"/>
            <w:vAlign w:val="center"/>
          </w:tcPr>
          <w:p w14:paraId="5A856133" w14:textId="6A99DA1C" w:rsidR="00CC13DC" w:rsidRPr="001C4E9E" w:rsidRDefault="00CC13DC" w:rsidP="00CC13DC">
            <w:pPr>
              <w:spacing w:before="240" w:after="240"/>
              <w:jc w:val="center"/>
            </w:pPr>
            <w:r>
              <w:t>AR2</w:t>
            </w:r>
            <w:r w:rsidRPr="001C4E9E">
              <w:t xml:space="preserve"> GWP-100</w:t>
            </w:r>
            <w:r w:rsidR="00522F8F">
              <w:t xml:space="preserve"> Year</w:t>
            </w:r>
          </w:p>
        </w:tc>
        <w:tc>
          <w:tcPr>
            <w:tcW w:w="3260" w:type="dxa"/>
            <w:tcBorders>
              <w:top w:val="single" w:sz="4" w:space="0" w:color="FFFFFF"/>
              <w:left w:val="single" w:sz="4" w:space="0" w:color="FFFFFF"/>
              <w:bottom w:val="single" w:sz="4" w:space="0" w:color="000000"/>
              <w:right w:val="single" w:sz="4" w:space="0" w:color="auto"/>
            </w:tcBorders>
            <w:shd w:val="clear" w:color="auto" w:fill="000000"/>
            <w:vAlign w:val="center"/>
          </w:tcPr>
          <w:p w14:paraId="49EED18B" w14:textId="1ABDA76C" w:rsidR="00CC13DC" w:rsidRPr="001C4E9E" w:rsidRDefault="00CC13DC" w:rsidP="00CC13DC">
            <w:pPr>
              <w:spacing w:before="240" w:after="240"/>
              <w:jc w:val="center"/>
            </w:pPr>
            <w:r w:rsidRPr="001C4E9E">
              <w:t>AR4 GWP-100</w:t>
            </w:r>
            <w:r w:rsidR="00522F8F">
              <w:t xml:space="preserve"> Year</w:t>
            </w:r>
          </w:p>
        </w:tc>
      </w:tr>
      <w:tr w:rsidR="00CC13DC" w:rsidRPr="00AC6172" w14:paraId="70EF1074" w14:textId="77777777" w:rsidTr="00CC13DC">
        <w:tc>
          <w:tcPr>
            <w:tcW w:w="9639" w:type="dxa"/>
            <w:gridSpan w:val="3"/>
            <w:tcBorders>
              <w:top w:val="single" w:sz="4" w:space="0" w:color="000000"/>
            </w:tcBorders>
            <w:shd w:val="clear" w:color="auto" w:fill="CCFFFF"/>
            <w:vAlign w:val="center"/>
          </w:tcPr>
          <w:p w14:paraId="45267F51" w14:textId="77777777" w:rsidR="00CC13DC" w:rsidRPr="00AC6172" w:rsidRDefault="00CC13DC" w:rsidP="00CC13DC">
            <w:pPr>
              <w:spacing w:before="60" w:after="60"/>
              <w:rPr>
                <w:sz w:val="20"/>
              </w:rPr>
            </w:pPr>
            <w:r w:rsidRPr="00AC6172">
              <w:rPr>
                <w:sz w:val="20"/>
              </w:rPr>
              <w:t>Substances controlled by the Montreal Protocol</w:t>
            </w:r>
          </w:p>
        </w:tc>
      </w:tr>
      <w:tr w:rsidR="00CC13DC" w:rsidRPr="00AC6172" w14:paraId="0BBDE940" w14:textId="77777777" w:rsidTr="00CC13DC">
        <w:tc>
          <w:tcPr>
            <w:tcW w:w="3119" w:type="dxa"/>
            <w:vAlign w:val="center"/>
          </w:tcPr>
          <w:p w14:paraId="1E571DAA" w14:textId="77777777" w:rsidR="00CC13DC" w:rsidRPr="00AC6172" w:rsidRDefault="00CC13DC" w:rsidP="00CC13DC">
            <w:pPr>
              <w:spacing w:before="60" w:after="60"/>
              <w:rPr>
                <w:sz w:val="20"/>
              </w:rPr>
            </w:pPr>
            <w:r w:rsidRPr="00AC6172">
              <w:rPr>
                <w:sz w:val="20"/>
              </w:rPr>
              <w:t>CFC-11</w:t>
            </w:r>
            <w:r>
              <w:rPr>
                <w:sz w:val="20"/>
              </w:rPr>
              <w:t xml:space="preserve"> </w:t>
            </w:r>
            <w:r w:rsidRPr="00690A68">
              <w:rPr>
                <w:sz w:val="20"/>
                <w:szCs w:val="20"/>
                <w:vertAlign w:val="superscript"/>
              </w:rPr>
              <w:t>(1)</w:t>
            </w:r>
          </w:p>
        </w:tc>
        <w:tc>
          <w:tcPr>
            <w:tcW w:w="3260" w:type="dxa"/>
            <w:vAlign w:val="center"/>
          </w:tcPr>
          <w:p w14:paraId="0F19CF6A" w14:textId="77777777" w:rsidR="00CC13DC" w:rsidRPr="00AC6172" w:rsidRDefault="00CC13DC" w:rsidP="00CC13DC">
            <w:pPr>
              <w:spacing w:before="60" w:after="60"/>
              <w:jc w:val="center"/>
              <w:rPr>
                <w:sz w:val="20"/>
              </w:rPr>
            </w:pPr>
            <w:r w:rsidRPr="00AC6172">
              <w:rPr>
                <w:sz w:val="20"/>
              </w:rPr>
              <w:t>3,800</w:t>
            </w:r>
          </w:p>
        </w:tc>
        <w:tc>
          <w:tcPr>
            <w:tcW w:w="3260" w:type="dxa"/>
            <w:vAlign w:val="center"/>
          </w:tcPr>
          <w:p w14:paraId="6C36C203" w14:textId="77777777" w:rsidR="00CC13DC" w:rsidRPr="00AC6172" w:rsidRDefault="00CC13DC" w:rsidP="00CC13DC">
            <w:pPr>
              <w:spacing w:before="60" w:after="60"/>
              <w:jc w:val="center"/>
              <w:rPr>
                <w:sz w:val="20"/>
              </w:rPr>
            </w:pPr>
            <w:r w:rsidRPr="00AC6172">
              <w:rPr>
                <w:sz w:val="20"/>
              </w:rPr>
              <w:t>4,750</w:t>
            </w:r>
          </w:p>
        </w:tc>
      </w:tr>
      <w:tr w:rsidR="00CC13DC" w:rsidRPr="00AC6172" w14:paraId="151B1835" w14:textId="77777777" w:rsidTr="00CC13DC">
        <w:tc>
          <w:tcPr>
            <w:tcW w:w="3119" w:type="dxa"/>
            <w:vAlign w:val="center"/>
          </w:tcPr>
          <w:p w14:paraId="0FA9EEFB" w14:textId="77777777" w:rsidR="00CC13DC" w:rsidRPr="00AC6172" w:rsidRDefault="00CC13DC" w:rsidP="00CC13DC">
            <w:pPr>
              <w:spacing w:before="60" w:after="60"/>
              <w:rPr>
                <w:sz w:val="20"/>
              </w:rPr>
            </w:pPr>
            <w:r w:rsidRPr="00AC6172">
              <w:rPr>
                <w:sz w:val="20"/>
              </w:rPr>
              <w:t>CFC-12</w:t>
            </w:r>
            <w:r>
              <w:rPr>
                <w:sz w:val="20"/>
              </w:rPr>
              <w:t xml:space="preserve"> </w:t>
            </w:r>
            <w:r w:rsidRPr="00690A68">
              <w:rPr>
                <w:sz w:val="20"/>
                <w:szCs w:val="20"/>
                <w:vertAlign w:val="superscript"/>
              </w:rPr>
              <w:t>(1)</w:t>
            </w:r>
          </w:p>
        </w:tc>
        <w:tc>
          <w:tcPr>
            <w:tcW w:w="3260" w:type="dxa"/>
            <w:vAlign w:val="center"/>
          </w:tcPr>
          <w:p w14:paraId="0541C58A" w14:textId="77777777" w:rsidR="00CC13DC" w:rsidRPr="00AC6172" w:rsidRDefault="00CC13DC" w:rsidP="00CC13DC">
            <w:pPr>
              <w:spacing w:before="60" w:after="60"/>
              <w:jc w:val="center"/>
              <w:rPr>
                <w:sz w:val="20"/>
              </w:rPr>
            </w:pPr>
            <w:r w:rsidRPr="00AC6172">
              <w:rPr>
                <w:sz w:val="20"/>
              </w:rPr>
              <w:t>8,100</w:t>
            </w:r>
          </w:p>
        </w:tc>
        <w:tc>
          <w:tcPr>
            <w:tcW w:w="3260" w:type="dxa"/>
            <w:vAlign w:val="center"/>
          </w:tcPr>
          <w:p w14:paraId="4743F502" w14:textId="77777777" w:rsidR="00CC13DC" w:rsidRPr="00AC6172" w:rsidRDefault="00CC13DC" w:rsidP="00CC13DC">
            <w:pPr>
              <w:spacing w:before="60" w:after="60"/>
              <w:jc w:val="center"/>
              <w:rPr>
                <w:sz w:val="20"/>
              </w:rPr>
            </w:pPr>
            <w:r w:rsidRPr="00AC6172">
              <w:rPr>
                <w:sz w:val="20"/>
              </w:rPr>
              <w:t>10,900</w:t>
            </w:r>
          </w:p>
        </w:tc>
      </w:tr>
      <w:tr w:rsidR="00CC13DC" w:rsidRPr="00AC6172" w14:paraId="4C3E7C6F" w14:textId="77777777" w:rsidTr="00CC13DC">
        <w:tc>
          <w:tcPr>
            <w:tcW w:w="3119" w:type="dxa"/>
            <w:vAlign w:val="center"/>
          </w:tcPr>
          <w:p w14:paraId="4B7C71DC" w14:textId="77777777" w:rsidR="00CC13DC" w:rsidRPr="00AC6172" w:rsidRDefault="00CC13DC" w:rsidP="00CC13DC">
            <w:pPr>
              <w:spacing w:before="60" w:after="60"/>
              <w:rPr>
                <w:sz w:val="20"/>
              </w:rPr>
            </w:pPr>
            <w:r w:rsidRPr="00AC6172">
              <w:rPr>
                <w:sz w:val="20"/>
              </w:rPr>
              <w:t>HCFC-123</w:t>
            </w:r>
          </w:p>
        </w:tc>
        <w:tc>
          <w:tcPr>
            <w:tcW w:w="3260" w:type="dxa"/>
            <w:vAlign w:val="center"/>
          </w:tcPr>
          <w:p w14:paraId="0028DF24" w14:textId="77777777" w:rsidR="00CC13DC" w:rsidRPr="00AC6172" w:rsidRDefault="00CC13DC" w:rsidP="00CC13DC">
            <w:pPr>
              <w:spacing w:before="60" w:after="60"/>
              <w:jc w:val="center"/>
              <w:rPr>
                <w:sz w:val="20"/>
              </w:rPr>
            </w:pPr>
            <w:r w:rsidRPr="00AC6172">
              <w:rPr>
                <w:sz w:val="20"/>
              </w:rPr>
              <w:t>90</w:t>
            </w:r>
          </w:p>
        </w:tc>
        <w:tc>
          <w:tcPr>
            <w:tcW w:w="3260" w:type="dxa"/>
            <w:vAlign w:val="center"/>
          </w:tcPr>
          <w:p w14:paraId="3B050FDE" w14:textId="77777777" w:rsidR="00CC13DC" w:rsidRPr="00AC6172" w:rsidRDefault="00CC13DC" w:rsidP="00CC13DC">
            <w:pPr>
              <w:spacing w:before="60" w:after="60"/>
              <w:jc w:val="center"/>
              <w:rPr>
                <w:sz w:val="20"/>
              </w:rPr>
            </w:pPr>
            <w:r w:rsidRPr="00AC6172">
              <w:rPr>
                <w:sz w:val="20"/>
              </w:rPr>
              <w:t>77</w:t>
            </w:r>
          </w:p>
        </w:tc>
      </w:tr>
      <w:tr w:rsidR="00CC13DC" w:rsidRPr="00AC6172" w14:paraId="64C220FD" w14:textId="77777777" w:rsidTr="00CC13DC">
        <w:tc>
          <w:tcPr>
            <w:tcW w:w="3119" w:type="dxa"/>
            <w:vAlign w:val="center"/>
          </w:tcPr>
          <w:p w14:paraId="14388CD0" w14:textId="77777777" w:rsidR="00CC13DC" w:rsidRPr="00AC6172" w:rsidRDefault="00CC13DC" w:rsidP="00CC13DC">
            <w:pPr>
              <w:spacing w:before="60" w:after="60"/>
              <w:rPr>
                <w:sz w:val="20"/>
              </w:rPr>
            </w:pPr>
            <w:r w:rsidRPr="00AC6172">
              <w:rPr>
                <w:sz w:val="20"/>
              </w:rPr>
              <w:t>HCFC-22</w:t>
            </w:r>
          </w:p>
        </w:tc>
        <w:tc>
          <w:tcPr>
            <w:tcW w:w="3260" w:type="dxa"/>
            <w:vAlign w:val="center"/>
          </w:tcPr>
          <w:p w14:paraId="587EBCE9" w14:textId="77777777" w:rsidR="00CC13DC" w:rsidRPr="00AC6172" w:rsidRDefault="00CC13DC" w:rsidP="00CC13DC">
            <w:pPr>
              <w:spacing w:before="60" w:after="60"/>
              <w:jc w:val="center"/>
              <w:rPr>
                <w:sz w:val="20"/>
              </w:rPr>
            </w:pPr>
            <w:r w:rsidRPr="00AC6172">
              <w:rPr>
                <w:sz w:val="20"/>
              </w:rPr>
              <w:t>1,500</w:t>
            </w:r>
          </w:p>
        </w:tc>
        <w:tc>
          <w:tcPr>
            <w:tcW w:w="3260" w:type="dxa"/>
            <w:vAlign w:val="center"/>
          </w:tcPr>
          <w:p w14:paraId="11221D13" w14:textId="77777777" w:rsidR="00CC13DC" w:rsidRPr="00AC6172" w:rsidRDefault="00CC13DC" w:rsidP="00CC13DC">
            <w:pPr>
              <w:spacing w:before="60" w:after="60"/>
              <w:jc w:val="center"/>
              <w:rPr>
                <w:sz w:val="20"/>
              </w:rPr>
            </w:pPr>
            <w:r w:rsidRPr="00AC6172">
              <w:rPr>
                <w:sz w:val="20"/>
              </w:rPr>
              <w:t>1,810</w:t>
            </w:r>
          </w:p>
        </w:tc>
      </w:tr>
      <w:tr w:rsidR="00CC13DC" w:rsidRPr="00AC6172" w14:paraId="71643015" w14:textId="77777777" w:rsidTr="00CC13DC">
        <w:tc>
          <w:tcPr>
            <w:tcW w:w="3119" w:type="dxa"/>
            <w:vAlign w:val="center"/>
          </w:tcPr>
          <w:p w14:paraId="067887DE" w14:textId="77777777" w:rsidR="00CC13DC" w:rsidRPr="00AC6172" w:rsidRDefault="00CC13DC" w:rsidP="00CC13DC">
            <w:pPr>
              <w:spacing w:before="60" w:after="60"/>
              <w:rPr>
                <w:sz w:val="20"/>
              </w:rPr>
            </w:pPr>
            <w:r w:rsidRPr="00AC6172">
              <w:rPr>
                <w:sz w:val="20"/>
              </w:rPr>
              <w:t>HCFC-141b</w:t>
            </w:r>
          </w:p>
        </w:tc>
        <w:tc>
          <w:tcPr>
            <w:tcW w:w="3260" w:type="dxa"/>
            <w:vAlign w:val="center"/>
          </w:tcPr>
          <w:p w14:paraId="59011016" w14:textId="77777777" w:rsidR="00CC13DC" w:rsidRPr="00AC6172" w:rsidRDefault="00CC13DC" w:rsidP="00CC13DC">
            <w:pPr>
              <w:spacing w:before="60" w:after="60"/>
              <w:jc w:val="center"/>
              <w:rPr>
                <w:sz w:val="20"/>
              </w:rPr>
            </w:pPr>
            <w:r w:rsidRPr="00AC6172">
              <w:rPr>
                <w:sz w:val="20"/>
              </w:rPr>
              <w:t>-</w:t>
            </w:r>
          </w:p>
        </w:tc>
        <w:tc>
          <w:tcPr>
            <w:tcW w:w="3260" w:type="dxa"/>
            <w:vAlign w:val="center"/>
          </w:tcPr>
          <w:p w14:paraId="18D2FDED" w14:textId="77777777" w:rsidR="00CC13DC" w:rsidRPr="00AC6172" w:rsidRDefault="00CC13DC" w:rsidP="00CC13DC">
            <w:pPr>
              <w:spacing w:before="60" w:after="60"/>
              <w:jc w:val="center"/>
              <w:rPr>
                <w:sz w:val="20"/>
              </w:rPr>
            </w:pPr>
            <w:r w:rsidRPr="00AC6172">
              <w:rPr>
                <w:sz w:val="20"/>
              </w:rPr>
              <w:t>725</w:t>
            </w:r>
          </w:p>
        </w:tc>
      </w:tr>
      <w:tr w:rsidR="00CC13DC" w:rsidRPr="00AC6172" w14:paraId="6A629AFB" w14:textId="77777777" w:rsidTr="00CC13DC">
        <w:tc>
          <w:tcPr>
            <w:tcW w:w="3119" w:type="dxa"/>
            <w:vAlign w:val="center"/>
          </w:tcPr>
          <w:p w14:paraId="2B957E4E" w14:textId="77777777" w:rsidR="00CC13DC" w:rsidRPr="00AC6172" w:rsidRDefault="00CC13DC" w:rsidP="00CC13DC">
            <w:pPr>
              <w:spacing w:before="60" w:after="60"/>
              <w:rPr>
                <w:sz w:val="20"/>
              </w:rPr>
            </w:pPr>
            <w:r w:rsidRPr="00AC6172">
              <w:rPr>
                <w:sz w:val="20"/>
              </w:rPr>
              <w:t>HCFC-142b</w:t>
            </w:r>
          </w:p>
        </w:tc>
        <w:tc>
          <w:tcPr>
            <w:tcW w:w="3260" w:type="dxa"/>
            <w:vAlign w:val="center"/>
          </w:tcPr>
          <w:p w14:paraId="211B46BC" w14:textId="77777777" w:rsidR="00CC13DC" w:rsidRPr="00AC6172" w:rsidRDefault="00CC13DC" w:rsidP="00CC13DC">
            <w:pPr>
              <w:spacing w:before="60" w:after="60"/>
              <w:jc w:val="center"/>
              <w:rPr>
                <w:sz w:val="20"/>
              </w:rPr>
            </w:pPr>
            <w:r w:rsidRPr="00AC6172">
              <w:rPr>
                <w:sz w:val="20"/>
              </w:rPr>
              <w:t>1,800</w:t>
            </w:r>
          </w:p>
        </w:tc>
        <w:tc>
          <w:tcPr>
            <w:tcW w:w="3260" w:type="dxa"/>
            <w:vAlign w:val="center"/>
          </w:tcPr>
          <w:p w14:paraId="2E757051" w14:textId="77777777" w:rsidR="00CC13DC" w:rsidRPr="00AC6172" w:rsidRDefault="00CC13DC" w:rsidP="00CC13DC">
            <w:pPr>
              <w:spacing w:before="60" w:after="60"/>
              <w:jc w:val="center"/>
              <w:rPr>
                <w:sz w:val="20"/>
              </w:rPr>
            </w:pPr>
            <w:r w:rsidRPr="00AC6172">
              <w:rPr>
                <w:sz w:val="20"/>
              </w:rPr>
              <w:t>2,310</w:t>
            </w:r>
          </w:p>
        </w:tc>
      </w:tr>
      <w:tr w:rsidR="00CC13DC" w:rsidRPr="00AC6172" w14:paraId="07CCD92F" w14:textId="77777777" w:rsidTr="00CC13DC">
        <w:tc>
          <w:tcPr>
            <w:tcW w:w="3119" w:type="dxa"/>
            <w:vAlign w:val="center"/>
          </w:tcPr>
          <w:p w14:paraId="63E07AEE" w14:textId="77777777" w:rsidR="00CC13DC" w:rsidRPr="00AC6172" w:rsidRDefault="00CC13DC" w:rsidP="00CC13DC">
            <w:pPr>
              <w:spacing w:before="60" w:after="60"/>
              <w:rPr>
                <w:sz w:val="20"/>
              </w:rPr>
            </w:pPr>
            <w:r w:rsidRPr="00AC6172">
              <w:rPr>
                <w:sz w:val="20"/>
              </w:rPr>
              <w:t>HCFC-406A</w:t>
            </w:r>
          </w:p>
        </w:tc>
        <w:tc>
          <w:tcPr>
            <w:tcW w:w="3260" w:type="dxa"/>
            <w:vAlign w:val="center"/>
          </w:tcPr>
          <w:p w14:paraId="35D8DDF2" w14:textId="77777777" w:rsidR="00CC13DC" w:rsidRPr="00AC6172" w:rsidRDefault="00CC13DC" w:rsidP="00CC13DC">
            <w:pPr>
              <w:spacing w:before="60" w:after="60"/>
              <w:jc w:val="center"/>
              <w:rPr>
                <w:sz w:val="20"/>
              </w:rPr>
            </w:pPr>
            <w:r w:rsidRPr="00AC6172">
              <w:rPr>
                <w:sz w:val="20"/>
              </w:rPr>
              <w:t>-</w:t>
            </w:r>
          </w:p>
        </w:tc>
        <w:tc>
          <w:tcPr>
            <w:tcW w:w="3260" w:type="dxa"/>
            <w:vAlign w:val="center"/>
          </w:tcPr>
          <w:p w14:paraId="5BC74C74" w14:textId="77777777" w:rsidR="00CC13DC" w:rsidRPr="00AC6172" w:rsidRDefault="00CC13DC" w:rsidP="00CC13DC">
            <w:pPr>
              <w:spacing w:before="60" w:after="60"/>
              <w:jc w:val="center"/>
              <w:rPr>
                <w:sz w:val="20"/>
              </w:rPr>
            </w:pPr>
            <w:r w:rsidRPr="00AC6172">
              <w:rPr>
                <w:sz w:val="20"/>
              </w:rPr>
              <w:t>1,943</w:t>
            </w:r>
          </w:p>
        </w:tc>
      </w:tr>
      <w:tr w:rsidR="00CC13DC" w:rsidRPr="00AC6172" w14:paraId="58641585" w14:textId="77777777" w:rsidTr="00CC13DC">
        <w:tc>
          <w:tcPr>
            <w:tcW w:w="3119" w:type="dxa"/>
            <w:vAlign w:val="center"/>
          </w:tcPr>
          <w:p w14:paraId="58B487C9" w14:textId="77777777" w:rsidR="00CC13DC" w:rsidRPr="00AC6172" w:rsidRDefault="00CC13DC" w:rsidP="00CC13DC">
            <w:pPr>
              <w:spacing w:before="60" w:after="60"/>
              <w:rPr>
                <w:sz w:val="20"/>
              </w:rPr>
            </w:pPr>
            <w:r w:rsidRPr="00AC6172">
              <w:rPr>
                <w:sz w:val="20"/>
              </w:rPr>
              <w:t>HCFC-408A</w:t>
            </w:r>
          </w:p>
        </w:tc>
        <w:tc>
          <w:tcPr>
            <w:tcW w:w="3260" w:type="dxa"/>
            <w:vAlign w:val="center"/>
          </w:tcPr>
          <w:p w14:paraId="20CA0E33" w14:textId="77777777" w:rsidR="00CC13DC" w:rsidRPr="00AC6172" w:rsidRDefault="00CC13DC" w:rsidP="00CC13DC">
            <w:pPr>
              <w:spacing w:before="60" w:after="60"/>
              <w:jc w:val="center"/>
              <w:rPr>
                <w:sz w:val="20"/>
              </w:rPr>
            </w:pPr>
            <w:r w:rsidRPr="00AC6172">
              <w:rPr>
                <w:sz w:val="20"/>
              </w:rPr>
              <w:t>-</w:t>
            </w:r>
          </w:p>
        </w:tc>
        <w:tc>
          <w:tcPr>
            <w:tcW w:w="3260" w:type="dxa"/>
            <w:vAlign w:val="center"/>
          </w:tcPr>
          <w:p w14:paraId="028F8EC0" w14:textId="77777777" w:rsidR="00CC13DC" w:rsidRPr="00AC6172" w:rsidRDefault="00CC13DC" w:rsidP="00CC13DC">
            <w:pPr>
              <w:spacing w:before="60" w:after="60"/>
              <w:jc w:val="center"/>
              <w:rPr>
                <w:sz w:val="20"/>
              </w:rPr>
            </w:pPr>
            <w:r w:rsidRPr="00AC6172">
              <w:rPr>
                <w:sz w:val="20"/>
              </w:rPr>
              <w:t>3,152</w:t>
            </w:r>
          </w:p>
        </w:tc>
      </w:tr>
      <w:tr w:rsidR="00CC13DC" w:rsidRPr="00AC6172" w14:paraId="6B9CBA7A" w14:textId="77777777" w:rsidTr="00CC13DC">
        <w:tc>
          <w:tcPr>
            <w:tcW w:w="3119" w:type="dxa"/>
            <w:vAlign w:val="center"/>
          </w:tcPr>
          <w:p w14:paraId="129A6AE2" w14:textId="77777777" w:rsidR="00CC13DC" w:rsidRPr="00AC6172" w:rsidRDefault="00CC13DC" w:rsidP="00CC13DC">
            <w:pPr>
              <w:spacing w:before="60" w:after="60"/>
              <w:rPr>
                <w:sz w:val="20"/>
              </w:rPr>
            </w:pPr>
            <w:r w:rsidRPr="00AC6172">
              <w:rPr>
                <w:sz w:val="20"/>
              </w:rPr>
              <w:t>HCFC-409A</w:t>
            </w:r>
          </w:p>
        </w:tc>
        <w:tc>
          <w:tcPr>
            <w:tcW w:w="3260" w:type="dxa"/>
            <w:vAlign w:val="center"/>
          </w:tcPr>
          <w:p w14:paraId="4903293B" w14:textId="77777777" w:rsidR="00CC13DC" w:rsidRPr="00AC6172" w:rsidRDefault="00CC13DC" w:rsidP="00CC13DC">
            <w:pPr>
              <w:spacing w:before="60" w:after="60"/>
              <w:jc w:val="center"/>
              <w:rPr>
                <w:sz w:val="20"/>
              </w:rPr>
            </w:pPr>
            <w:r w:rsidRPr="00AC6172">
              <w:rPr>
                <w:sz w:val="20"/>
              </w:rPr>
              <w:t>-</w:t>
            </w:r>
          </w:p>
        </w:tc>
        <w:tc>
          <w:tcPr>
            <w:tcW w:w="3260" w:type="dxa"/>
            <w:vAlign w:val="center"/>
          </w:tcPr>
          <w:p w14:paraId="1951A111" w14:textId="77777777" w:rsidR="00CC13DC" w:rsidRPr="00AC6172" w:rsidRDefault="00CC13DC" w:rsidP="00CC13DC">
            <w:pPr>
              <w:spacing w:before="60" w:after="60"/>
              <w:jc w:val="center"/>
              <w:rPr>
                <w:sz w:val="20"/>
              </w:rPr>
            </w:pPr>
            <w:r w:rsidRPr="00AC6172">
              <w:rPr>
                <w:sz w:val="20"/>
              </w:rPr>
              <w:t>1,585</w:t>
            </w:r>
          </w:p>
        </w:tc>
      </w:tr>
      <w:tr w:rsidR="00CC13DC" w:rsidRPr="00AC6172" w14:paraId="49A26819" w14:textId="77777777" w:rsidTr="00CC13DC">
        <w:tc>
          <w:tcPr>
            <w:tcW w:w="3119" w:type="dxa"/>
            <w:vAlign w:val="center"/>
          </w:tcPr>
          <w:p w14:paraId="76AAC816" w14:textId="77777777" w:rsidR="00CC13DC" w:rsidRPr="00AC6172" w:rsidRDefault="00CC13DC" w:rsidP="00CC13DC">
            <w:pPr>
              <w:spacing w:before="60" w:after="60"/>
              <w:rPr>
                <w:sz w:val="20"/>
              </w:rPr>
            </w:pPr>
            <w:r w:rsidRPr="00AC6172">
              <w:rPr>
                <w:sz w:val="20"/>
              </w:rPr>
              <w:t>HCFC-225ca</w:t>
            </w:r>
            <w:r>
              <w:rPr>
                <w:sz w:val="20"/>
              </w:rPr>
              <w:t xml:space="preserve"> </w:t>
            </w:r>
            <w:r w:rsidRPr="00690A68">
              <w:rPr>
                <w:sz w:val="20"/>
                <w:szCs w:val="20"/>
                <w:vertAlign w:val="superscript"/>
              </w:rPr>
              <w:t>(</w:t>
            </w:r>
            <w:r>
              <w:rPr>
                <w:sz w:val="20"/>
                <w:szCs w:val="20"/>
                <w:vertAlign w:val="superscript"/>
              </w:rPr>
              <w:t>4</w:t>
            </w:r>
            <w:r w:rsidRPr="00690A68">
              <w:rPr>
                <w:sz w:val="20"/>
                <w:szCs w:val="20"/>
                <w:vertAlign w:val="superscript"/>
              </w:rPr>
              <w:t>)</w:t>
            </w:r>
          </w:p>
        </w:tc>
        <w:tc>
          <w:tcPr>
            <w:tcW w:w="3260" w:type="dxa"/>
            <w:vAlign w:val="center"/>
          </w:tcPr>
          <w:p w14:paraId="10CAF83E" w14:textId="77777777" w:rsidR="00CC13DC" w:rsidRPr="00AC6172" w:rsidRDefault="00CC13DC" w:rsidP="00CC13DC">
            <w:pPr>
              <w:spacing w:before="60" w:after="60"/>
              <w:jc w:val="center"/>
              <w:rPr>
                <w:sz w:val="20"/>
              </w:rPr>
            </w:pPr>
            <w:r w:rsidRPr="00AC6172">
              <w:rPr>
                <w:sz w:val="20"/>
              </w:rPr>
              <w:t>-</w:t>
            </w:r>
          </w:p>
        </w:tc>
        <w:tc>
          <w:tcPr>
            <w:tcW w:w="3260" w:type="dxa"/>
            <w:vAlign w:val="center"/>
          </w:tcPr>
          <w:p w14:paraId="55A22CED" w14:textId="77777777" w:rsidR="00CC13DC" w:rsidRPr="00AC6172" w:rsidRDefault="00CC13DC" w:rsidP="00CC13DC">
            <w:pPr>
              <w:spacing w:before="60" w:after="60"/>
              <w:jc w:val="center"/>
              <w:rPr>
                <w:sz w:val="20"/>
              </w:rPr>
            </w:pPr>
            <w:r w:rsidRPr="00AC6172">
              <w:rPr>
                <w:sz w:val="20"/>
              </w:rPr>
              <w:t>122</w:t>
            </w:r>
          </w:p>
        </w:tc>
      </w:tr>
      <w:tr w:rsidR="00CC13DC" w:rsidRPr="00AC6172" w14:paraId="2AD40C1E" w14:textId="77777777" w:rsidTr="00CC13DC">
        <w:tc>
          <w:tcPr>
            <w:tcW w:w="3119" w:type="dxa"/>
            <w:tcBorders>
              <w:bottom w:val="single" w:sz="4" w:space="0" w:color="000000"/>
            </w:tcBorders>
            <w:vAlign w:val="center"/>
          </w:tcPr>
          <w:p w14:paraId="7680656A" w14:textId="77777777" w:rsidR="00CC13DC" w:rsidRPr="00AC6172" w:rsidRDefault="00CC13DC" w:rsidP="00CC13DC">
            <w:pPr>
              <w:spacing w:before="60" w:after="60"/>
              <w:rPr>
                <w:sz w:val="20"/>
              </w:rPr>
            </w:pPr>
            <w:r w:rsidRPr="00AC6172">
              <w:rPr>
                <w:sz w:val="20"/>
              </w:rPr>
              <w:t>HCFC-225cb</w:t>
            </w:r>
            <w:r>
              <w:rPr>
                <w:sz w:val="20"/>
              </w:rPr>
              <w:t xml:space="preserve"> </w:t>
            </w:r>
            <w:r w:rsidRPr="00690A68">
              <w:rPr>
                <w:sz w:val="20"/>
                <w:szCs w:val="20"/>
                <w:vertAlign w:val="superscript"/>
              </w:rPr>
              <w:t>(</w:t>
            </w:r>
            <w:r>
              <w:rPr>
                <w:sz w:val="20"/>
                <w:szCs w:val="20"/>
                <w:vertAlign w:val="superscript"/>
              </w:rPr>
              <w:t>4</w:t>
            </w:r>
            <w:r w:rsidRPr="00690A68">
              <w:rPr>
                <w:sz w:val="20"/>
                <w:szCs w:val="20"/>
                <w:vertAlign w:val="superscript"/>
              </w:rPr>
              <w:t>)</w:t>
            </w:r>
          </w:p>
        </w:tc>
        <w:tc>
          <w:tcPr>
            <w:tcW w:w="3260" w:type="dxa"/>
            <w:tcBorders>
              <w:bottom w:val="single" w:sz="4" w:space="0" w:color="000000"/>
            </w:tcBorders>
            <w:vAlign w:val="center"/>
          </w:tcPr>
          <w:p w14:paraId="36BF87A6" w14:textId="77777777" w:rsidR="00CC13DC" w:rsidRPr="00AC6172" w:rsidRDefault="00CC13DC" w:rsidP="00CC13DC">
            <w:pPr>
              <w:spacing w:before="60" w:after="60"/>
              <w:jc w:val="center"/>
              <w:rPr>
                <w:sz w:val="20"/>
              </w:rPr>
            </w:pPr>
            <w:r w:rsidRPr="00AC6172">
              <w:rPr>
                <w:sz w:val="20"/>
              </w:rPr>
              <w:t>-</w:t>
            </w:r>
          </w:p>
        </w:tc>
        <w:tc>
          <w:tcPr>
            <w:tcW w:w="3260" w:type="dxa"/>
            <w:tcBorders>
              <w:bottom w:val="single" w:sz="4" w:space="0" w:color="000000"/>
            </w:tcBorders>
            <w:vAlign w:val="center"/>
          </w:tcPr>
          <w:p w14:paraId="6CC3B3C2" w14:textId="77777777" w:rsidR="00CC13DC" w:rsidRPr="00AC6172" w:rsidRDefault="00CC13DC" w:rsidP="00CC13DC">
            <w:pPr>
              <w:spacing w:before="60" w:after="60"/>
              <w:jc w:val="center"/>
              <w:rPr>
                <w:sz w:val="20"/>
              </w:rPr>
            </w:pPr>
            <w:r w:rsidRPr="00AC6172">
              <w:rPr>
                <w:sz w:val="20"/>
              </w:rPr>
              <w:t>595</w:t>
            </w:r>
          </w:p>
        </w:tc>
      </w:tr>
      <w:tr w:rsidR="00CC13DC" w:rsidRPr="00AC6172" w14:paraId="24610E06" w14:textId="77777777" w:rsidTr="00CC13DC">
        <w:tc>
          <w:tcPr>
            <w:tcW w:w="9639" w:type="dxa"/>
            <w:gridSpan w:val="3"/>
            <w:shd w:val="clear" w:color="auto" w:fill="CCFFFF"/>
            <w:vAlign w:val="center"/>
          </w:tcPr>
          <w:p w14:paraId="23E1B171" w14:textId="77777777" w:rsidR="00CC13DC" w:rsidRPr="00AC6172" w:rsidRDefault="00CC13DC" w:rsidP="00CC13DC">
            <w:pPr>
              <w:spacing w:before="60" w:after="60"/>
              <w:rPr>
                <w:sz w:val="20"/>
              </w:rPr>
            </w:pPr>
            <w:r w:rsidRPr="00AC6172">
              <w:rPr>
                <w:sz w:val="20"/>
              </w:rPr>
              <w:t>Hydrofluorocarbons (HFCs)</w:t>
            </w:r>
            <w:r>
              <w:rPr>
                <w:sz w:val="20"/>
              </w:rPr>
              <w:t xml:space="preserve"> </w:t>
            </w:r>
            <w:r w:rsidRPr="00690A68">
              <w:rPr>
                <w:sz w:val="20"/>
                <w:szCs w:val="20"/>
                <w:vertAlign w:val="superscript"/>
              </w:rPr>
              <w:t>(</w:t>
            </w:r>
            <w:r>
              <w:rPr>
                <w:sz w:val="20"/>
                <w:szCs w:val="20"/>
                <w:vertAlign w:val="superscript"/>
              </w:rPr>
              <w:t>2</w:t>
            </w:r>
            <w:r w:rsidRPr="00690A68">
              <w:rPr>
                <w:sz w:val="20"/>
                <w:szCs w:val="20"/>
                <w:vertAlign w:val="superscript"/>
              </w:rPr>
              <w:t>)</w:t>
            </w:r>
          </w:p>
        </w:tc>
      </w:tr>
      <w:tr w:rsidR="00CC13DC" w:rsidRPr="00AC6172" w14:paraId="39ED9418" w14:textId="77777777" w:rsidTr="00CC13DC">
        <w:tc>
          <w:tcPr>
            <w:tcW w:w="3119" w:type="dxa"/>
            <w:vAlign w:val="center"/>
          </w:tcPr>
          <w:p w14:paraId="3A63CB14" w14:textId="77777777" w:rsidR="00CC13DC" w:rsidRPr="00AC6172" w:rsidRDefault="00CC13DC" w:rsidP="00CC13DC">
            <w:pPr>
              <w:spacing w:before="60" w:after="60"/>
              <w:rPr>
                <w:sz w:val="20"/>
              </w:rPr>
            </w:pPr>
            <w:r w:rsidRPr="00AC6172">
              <w:rPr>
                <w:sz w:val="20"/>
              </w:rPr>
              <w:t>HFC-134a</w:t>
            </w:r>
          </w:p>
        </w:tc>
        <w:tc>
          <w:tcPr>
            <w:tcW w:w="3260" w:type="dxa"/>
            <w:vAlign w:val="center"/>
          </w:tcPr>
          <w:p w14:paraId="2172A25F" w14:textId="77777777" w:rsidR="00CC13DC" w:rsidRPr="00AC6172" w:rsidRDefault="00CC13DC" w:rsidP="00CC13DC">
            <w:pPr>
              <w:spacing w:before="60" w:after="60"/>
              <w:jc w:val="center"/>
              <w:rPr>
                <w:sz w:val="20"/>
              </w:rPr>
            </w:pPr>
            <w:r w:rsidRPr="00AC6172">
              <w:rPr>
                <w:sz w:val="20"/>
              </w:rPr>
              <w:t>1,300</w:t>
            </w:r>
          </w:p>
        </w:tc>
        <w:tc>
          <w:tcPr>
            <w:tcW w:w="3260" w:type="dxa"/>
            <w:vAlign w:val="center"/>
          </w:tcPr>
          <w:p w14:paraId="45CBE3C3" w14:textId="77777777" w:rsidR="00CC13DC" w:rsidRPr="00AC6172" w:rsidRDefault="00CC13DC" w:rsidP="00CC13DC">
            <w:pPr>
              <w:spacing w:before="60" w:after="60"/>
              <w:jc w:val="center"/>
              <w:rPr>
                <w:sz w:val="20"/>
              </w:rPr>
            </w:pPr>
            <w:r w:rsidRPr="00AC6172">
              <w:rPr>
                <w:sz w:val="20"/>
              </w:rPr>
              <w:t>1</w:t>
            </w:r>
            <w:r>
              <w:rPr>
                <w:sz w:val="20"/>
              </w:rPr>
              <w:t>,</w:t>
            </w:r>
            <w:r w:rsidRPr="00AC6172">
              <w:rPr>
                <w:sz w:val="20"/>
              </w:rPr>
              <w:t>430</w:t>
            </w:r>
          </w:p>
        </w:tc>
      </w:tr>
      <w:tr w:rsidR="00CC13DC" w:rsidRPr="00AC6172" w14:paraId="73BBA80A" w14:textId="77777777" w:rsidTr="00CC13DC">
        <w:tc>
          <w:tcPr>
            <w:tcW w:w="3119" w:type="dxa"/>
            <w:vAlign w:val="center"/>
          </w:tcPr>
          <w:p w14:paraId="6A5737E7" w14:textId="77777777" w:rsidR="00CC13DC" w:rsidRPr="00AC6172" w:rsidRDefault="00CC13DC" w:rsidP="00CC13DC">
            <w:pPr>
              <w:spacing w:before="60" w:after="60"/>
              <w:rPr>
                <w:sz w:val="20"/>
              </w:rPr>
            </w:pPr>
            <w:r w:rsidRPr="00AC6172">
              <w:rPr>
                <w:sz w:val="20"/>
              </w:rPr>
              <w:t>HFC-404A</w:t>
            </w:r>
          </w:p>
        </w:tc>
        <w:tc>
          <w:tcPr>
            <w:tcW w:w="3260" w:type="dxa"/>
            <w:vAlign w:val="center"/>
          </w:tcPr>
          <w:p w14:paraId="2F089B4B" w14:textId="77777777" w:rsidR="00CC13DC" w:rsidRPr="00AC6172" w:rsidRDefault="00CC13DC" w:rsidP="00CC13DC">
            <w:pPr>
              <w:spacing w:before="60" w:after="60"/>
              <w:jc w:val="center"/>
              <w:rPr>
                <w:sz w:val="20"/>
              </w:rPr>
            </w:pPr>
            <w:r w:rsidRPr="00AC6172">
              <w:rPr>
                <w:sz w:val="20"/>
              </w:rPr>
              <w:t>3,260</w:t>
            </w:r>
          </w:p>
        </w:tc>
        <w:tc>
          <w:tcPr>
            <w:tcW w:w="3260" w:type="dxa"/>
            <w:vAlign w:val="center"/>
          </w:tcPr>
          <w:p w14:paraId="783A682E" w14:textId="77777777" w:rsidR="00CC13DC" w:rsidRPr="00AC6172" w:rsidRDefault="00CC13DC" w:rsidP="00CC13DC">
            <w:pPr>
              <w:spacing w:before="60" w:after="60"/>
              <w:jc w:val="center"/>
              <w:rPr>
                <w:sz w:val="20"/>
              </w:rPr>
            </w:pPr>
            <w:r w:rsidRPr="00AC6172">
              <w:rPr>
                <w:sz w:val="20"/>
              </w:rPr>
              <w:t>3,922</w:t>
            </w:r>
          </w:p>
        </w:tc>
      </w:tr>
      <w:tr w:rsidR="00CC13DC" w:rsidRPr="00AC6172" w14:paraId="67670683" w14:textId="77777777" w:rsidTr="00CC13DC">
        <w:tc>
          <w:tcPr>
            <w:tcW w:w="3119" w:type="dxa"/>
            <w:vAlign w:val="center"/>
          </w:tcPr>
          <w:p w14:paraId="012A873D" w14:textId="77777777" w:rsidR="00CC13DC" w:rsidRPr="00AC6172" w:rsidRDefault="00CC13DC" w:rsidP="00CC13DC">
            <w:pPr>
              <w:spacing w:before="60" w:after="60"/>
              <w:rPr>
                <w:sz w:val="20"/>
              </w:rPr>
            </w:pPr>
            <w:r w:rsidRPr="00AC6172">
              <w:rPr>
                <w:sz w:val="20"/>
              </w:rPr>
              <w:t>HFC-407C</w:t>
            </w:r>
          </w:p>
        </w:tc>
        <w:tc>
          <w:tcPr>
            <w:tcW w:w="3260" w:type="dxa"/>
            <w:vAlign w:val="center"/>
          </w:tcPr>
          <w:p w14:paraId="5792EF86" w14:textId="77777777" w:rsidR="00CC13DC" w:rsidRPr="00AC6172" w:rsidRDefault="00CC13DC" w:rsidP="00CC13DC">
            <w:pPr>
              <w:spacing w:before="60" w:after="60"/>
              <w:jc w:val="center"/>
              <w:rPr>
                <w:sz w:val="20"/>
              </w:rPr>
            </w:pPr>
            <w:r w:rsidRPr="00AC6172">
              <w:rPr>
                <w:sz w:val="20"/>
              </w:rPr>
              <w:t>1,526</w:t>
            </w:r>
          </w:p>
        </w:tc>
        <w:tc>
          <w:tcPr>
            <w:tcW w:w="3260" w:type="dxa"/>
            <w:vAlign w:val="center"/>
          </w:tcPr>
          <w:p w14:paraId="3AFBC2A5" w14:textId="77777777" w:rsidR="00CC13DC" w:rsidRPr="00AC6172" w:rsidRDefault="00CC13DC" w:rsidP="00CC13DC">
            <w:pPr>
              <w:spacing w:before="60" w:after="60"/>
              <w:jc w:val="center"/>
              <w:rPr>
                <w:sz w:val="20"/>
              </w:rPr>
            </w:pPr>
            <w:r w:rsidRPr="00AC6172">
              <w:rPr>
                <w:sz w:val="20"/>
              </w:rPr>
              <w:t>1,774</w:t>
            </w:r>
          </w:p>
        </w:tc>
      </w:tr>
      <w:tr w:rsidR="00EE24C5" w:rsidRPr="00AC6172" w14:paraId="66146F36" w14:textId="77777777" w:rsidTr="00CC13DC">
        <w:tc>
          <w:tcPr>
            <w:tcW w:w="3119" w:type="dxa"/>
            <w:vAlign w:val="center"/>
          </w:tcPr>
          <w:p w14:paraId="1DC82CC0" w14:textId="57CBB812" w:rsidR="00EE24C5" w:rsidRPr="00AC6172" w:rsidRDefault="00EE24C5" w:rsidP="00CC13DC">
            <w:pPr>
              <w:spacing w:before="60" w:after="60"/>
              <w:rPr>
                <w:sz w:val="20"/>
              </w:rPr>
            </w:pPr>
            <w:r>
              <w:rPr>
                <w:sz w:val="20"/>
              </w:rPr>
              <w:t>HFC-407F</w:t>
            </w:r>
          </w:p>
        </w:tc>
        <w:tc>
          <w:tcPr>
            <w:tcW w:w="3260" w:type="dxa"/>
            <w:vAlign w:val="center"/>
          </w:tcPr>
          <w:p w14:paraId="23697AD9" w14:textId="62E0EEE3" w:rsidR="00EE24C5" w:rsidRPr="00AC6172" w:rsidRDefault="00EE24C5" w:rsidP="00CC13DC">
            <w:pPr>
              <w:spacing w:before="60" w:after="60"/>
              <w:jc w:val="center"/>
              <w:rPr>
                <w:sz w:val="20"/>
              </w:rPr>
            </w:pPr>
            <w:r>
              <w:rPr>
                <w:sz w:val="20"/>
              </w:rPr>
              <w:t>1,824</w:t>
            </w:r>
          </w:p>
        </w:tc>
        <w:tc>
          <w:tcPr>
            <w:tcW w:w="3260" w:type="dxa"/>
            <w:vAlign w:val="center"/>
          </w:tcPr>
          <w:p w14:paraId="209A9A0C" w14:textId="1143686C" w:rsidR="00EE24C5" w:rsidRPr="00AC6172" w:rsidRDefault="00EE24C5" w:rsidP="00CC13DC">
            <w:pPr>
              <w:spacing w:before="60" w:after="60"/>
              <w:jc w:val="center"/>
              <w:rPr>
                <w:sz w:val="20"/>
              </w:rPr>
            </w:pPr>
            <w:r>
              <w:rPr>
                <w:sz w:val="20"/>
              </w:rPr>
              <w:t>2,107</w:t>
            </w:r>
          </w:p>
        </w:tc>
      </w:tr>
      <w:tr w:rsidR="00CC13DC" w:rsidRPr="00AC6172" w14:paraId="5C106C30" w14:textId="77777777" w:rsidTr="00CC13DC">
        <w:tc>
          <w:tcPr>
            <w:tcW w:w="3119" w:type="dxa"/>
            <w:vAlign w:val="center"/>
          </w:tcPr>
          <w:p w14:paraId="7671AFDF" w14:textId="77777777" w:rsidR="00CC13DC" w:rsidRPr="00AC6172" w:rsidRDefault="00CC13DC" w:rsidP="00CC13DC">
            <w:pPr>
              <w:spacing w:before="60" w:after="60"/>
              <w:rPr>
                <w:sz w:val="20"/>
              </w:rPr>
            </w:pPr>
            <w:r w:rsidRPr="00AC6172">
              <w:rPr>
                <w:sz w:val="20"/>
              </w:rPr>
              <w:t>HFC-410A</w:t>
            </w:r>
          </w:p>
        </w:tc>
        <w:tc>
          <w:tcPr>
            <w:tcW w:w="3260" w:type="dxa"/>
            <w:vAlign w:val="center"/>
          </w:tcPr>
          <w:p w14:paraId="0274E784" w14:textId="77777777" w:rsidR="00CC13DC" w:rsidRPr="00AC6172" w:rsidRDefault="00CC13DC" w:rsidP="00CC13DC">
            <w:pPr>
              <w:spacing w:before="60" w:after="60"/>
              <w:jc w:val="center"/>
              <w:rPr>
                <w:sz w:val="20"/>
              </w:rPr>
            </w:pPr>
            <w:r w:rsidRPr="00AC6172">
              <w:rPr>
                <w:sz w:val="20"/>
              </w:rPr>
              <w:t>1,725</w:t>
            </w:r>
          </w:p>
        </w:tc>
        <w:tc>
          <w:tcPr>
            <w:tcW w:w="3260" w:type="dxa"/>
            <w:vAlign w:val="center"/>
          </w:tcPr>
          <w:p w14:paraId="59E25CD6" w14:textId="77777777" w:rsidR="00CC13DC" w:rsidRPr="00AC6172" w:rsidRDefault="00CC13DC" w:rsidP="00CC13DC">
            <w:pPr>
              <w:spacing w:before="60" w:after="60"/>
              <w:jc w:val="center"/>
              <w:rPr>
                <w:sz w:val="20"/>
              </w:rPr>
            </w:pPr>
            <w:r w:rsidRPr="00AC6172">
              <w:rPr>
                <w:sz w:val="20"/>
              </w:rPr>
              <w:t>2,088</w:t>
            </w:r>
          </w:p>
        </w:tc>
      </w:tr>
      <w:tr w:rsidR="00CC13DC" w:rsidRPr="00AC6172" w14:paraId="25572AF0" w14:textId="77777777" w:rsidTr="00CC13DC">
        <w:tc>
          <w:tcPr>
            <w:tcW w:w="3119" w:type="dxa"/>
            <w:vAlign w:val="center"/>
          </w:tcPr>
          <w:p w14:paraId="7D13543C" w14:textId="77777777" w:rsidR="00CC13DC" w:rsidRPr="00AC6172" w:rsidRDefault="00CC13DC" w:rsidP="00CC13DC">
            <w:pPr>
              <w:spacing w:before="60" w:after="60"/>
              <w:rPr>
                <w:sz w:val="20"/>
              </w:rPr>
            </w:pPr>
            <w:r w:rsidRPr="00AC6172">
              <w:rPr>
                <w:sz w:val="20"/>
              </w:rPr>
              <w:t>HFC-417A</w:t>
            </w:r>
          </w:p>
        </w:tc>
        <w:tc>
          <w:tcPr>
            <w:tcW w:w="3260" w:type="dxa"/>
            <w:vAlign w:val="center"/>
          </w:tcPr>
          <w:p w14:paraId="69938A17" w14:textId="77777777" w:rsidR="00CC13DC" w:rsidRPr="00AC6172" w:rsidRDefault="00CC13DC" w:rsidP="00CC13DC">
            <w:pPr>
              <w:spacing w:before="60" w:after="60"/>
              <w:jc w:val="center"/>
              <w:rPr>
                <w:sz w:val="20"/>
              </w:rPr>
            </w:pPr>
            <w:r w:rsidRPr="00AC6172">
              <w:rPr>
                <w:sz w:val="20"/>
              </w:rPr>
              <w:t>1,955</w:t>
            </w:r>
          </w:p>
        </w:tc>
        <w:tc>
          <w:tcPr>
            <w:tcW w:w="3260" w:type="dxa"/>
            <w:vAlign w:val="center"/>
          </w:tcPr>
          <w:p w14:paraId="5C257DC7" w14:textId="77777777" w:rsidR="00CC13DC" w:rsidRPr="00AC6172" w:rsidRDefault="00CC13DC" w:rsidP="00CC13DC">
            <w:pPr>
              <w:spacing w:before="60" w:after="60"/>
              <w:jc w:val="center"/>
              <w:rPr>
                <w:sz w:val="20"/>
              </w:rPr>
            </w:pPr>
            <w:r w:rsidRPr="00AC6172">
              <w:rPr>
                <w:sz w:val="20"/>
              </w:rPr>
              <w:t>2,346</w:t>
            </w:r>
          </w:p>
        </w:tc>
      </w:tr>
      <w:tr w:rsidR="00CC13DC" w:rsidRPr="00AC6172" w14:paraId="14020DD6" w14:textId="77777777" w:rsidTr="00CC13DC">
        <w:tc>
          <w:tcPr>
            <w:tcW w:w="3119" w:type="dxa"/>
            <w:vAlign w:val="center"/>
          </w:tcPr>
          <w:p w14:paraId="1C170564" w14:textId="77777777" w:rsidR="00CC13DC" w:rsidRPr="00AC6172" w:rsidRDefault="00CC13DC" w:rsidP="00CC13DC">
            <w:pPr>
              <w:spacing w:before="60" w:after="60"/>
              <w:rPr>
                <w:sz w:val="20"/>
              </w:rPr>
            </w:pPr>
            <w:r w:rsidRPr="00AC6172">
              <w:rPr>
                <w:sz w:val="20"/>
              </w:rPr>
              <w:t>HFC-227ea</w:t>
            </w:r>
            <w:r>
              <w:rPr>
                <w:sz w:val="20"/>
              </w:rPr>
              <w:t xml:space="preserve"> </w:t>
            </w:r>
            <w:r w:rsidRPr="00690A68">
              <w:rPr>
                <w:sz w:val="20"/>
                <w:szCs w:val="20"/>
                <w:vertAlign w:val="superscript"/>
              </w:rPr>
              <w:t>(</w:t>
            </w:r>
            <w:r>
              <w:rPr>
                <w:sz w:val="20"/>
                <w:szCs w:val="20"/>
                <w:vertAlign w:val="superscript"/>
              </w:rPr>
              <w:t>4</w:t>
            </w:r>
            <w:r w:rsidRPr="00690A68">
              <w:rPr>
                <w:sz w:val="20"/>
                <w:szCs w:val="20"/>
                <w:vertAlign w:val="superscript"/>
              </w:rPr>
              <w:t>)</w:t>
            </w:r>
          </w:p>
        </w:tc>
        <w:tc>
          <w:tcPr>
            <w:tcW w:w="3260" w:type="dxa"/>
            <w:vAlign w:val="center"/>
          </w:tcPr>
          <w:p w14:paraId="3A369CC1" w14:textId="77777777" w:rsidR="00CC13DC" w:rsidRPr="00AC6172" w:rsidRDefault="00CC13DC" w:rsidP="00CC13DC">
            <w:pPr>
              <w:spacing w:before="60" w:after="60"/>
              <w:jc w:val="center"/>
              <w:rPr>
                <w:sz w:val="20"/>
              </w:rPr>
            </w:pPr>
            <w:r w:rsidRPr="00AC6172">
              <w:rPr>
                <w:sz w:val="20"/>
              </w:rPr>
              <w:t>2,900</w:t>
            </w:r>
          </w:p>
        </w:tc>
        <w:tc>
          <w:tcPr>
            <w:tcW w:w="3260" w:type="dxa"/>
            <w:vAlign w:val="center"/>
          </w:tcPr>
          <w:p w14:paraId="5C286045" w14:textId="77777777" w:rsidR="00CC13DC" w:rsidRPr="00AC6172" w:rsidRDefault="00CC13DC" w:rsidP="00CC13DC">
            <w:pPr>
              <w:spacing w:before="60" w:after="60"/>
              <w:jc w:val="center"/>
              <w:rPr>
                <w:sz w:val="20"/>
              </w:rPr>
            </w:pPr>
            <w:r w:rsidRPr="00AC6172">
              <w:rPr>
                <w:sz w:val="20"/>
              </w:rPr>
              <w:t>3,220</w:t>
            </w:r>
          </w:p>
        </w:tc>
      </w:tr>
      <w:tr w:rsidR="00CC13DC" w:rsidRPr="00AC6172" w14:paraId="0C0EF5FB" w14:textId="77777777" w:rsidTr="00CC13DC">
        <w:tc>
          <w:tcPr>
            <w:tcW w:w="3119" w:type="dxa"/>
            <w:vAlign w:val="center"/>
          </w:tcPr>
          <w:p w14:paraId="2DD98B42" w14:textId="77777777" w:rsidR="00CC13DC" w:rsidRPr="00AC6172" w:rsidRDefault="00CC13DC" w:rsidP="00CC13DC">
            <w:pPr>
              <w:spacing w:before="60" w:after="60"/>
              <w:rPr>
                <w:sz w:val="20"/>
              </w:rPr>
            </w:pPr>
            <w:r w:rsidRPr="00AC6172">
              <w:rPr>
                <w:sz w:val="20"/>
              </w:rPr>
              <w:t>HFC-245fa</w:t>
            </w:r>
            <w:r>
              <w:rPr>
                <w:sz w:val="20"/>
              </w:rPr>
              <w:t xml:space="preserve"> </w:t>
            </w:r>
            <w:r w:rsidRPr="00690A68">
              <w:rPr>
                <w:sz w:val="20"/>
                <w:szCs w:val="20"/>
                <w:vertAlign w:val="superscript"/>
              </w:rPr>
              <w:t>(</w:t>
            </w:r>
            <w:r>
              <w:rPr>
                <w:sz w:val="20"/>
                <w:szCs w:val="20"/>
                <w:vertAlign w:val="superscript"/>
              </w:rPr>
              <w:t>4</w:t>
            </w:r>
            <w:r w:rsidRPr="00690A68">
              <w:rPr>
                <w:sz w:val="20"/>
                <w:szCs w:val="20"/>
                <w:vertAlign w:val="superscript"/>
              </w:rPr>
              <w:t>)</w:t>
            </w:r>
          </w:p>
        </w:tc>
        <w:tc>
          <w:tcPr>
            <w:tcW w:w="3260" w:type="dxa"/>
            <w:vAlign w:val="center"/>
          </w:tcPr>
          <w:p w14:paraId="0DC02584" w14:textId="77777777" w:rsidR="00CC13DC" w:rsidRPr="00AC6172" w:rsidRDefault="00CC13DC" w:rsidP="00CC13DC">
            <w:pPr>
              <w:spacing w:before="60" w:after="60"/>
              <w:jc w:val="center"/>
              <w:rPr>
                <w:sz w:val="20"/>
              </w:rPr>
            </w:pPr>
            <w:r w:rsidRPr="00AC6172">
              <w:rPr>
                <w:sz w:val="20"/>
              </w:rPr>
              <w:t>-</w:t>
            </w:r>
          </w:p>
        </w:tc>
        <w:tc>
          <w:tcPr>
            <w:tcW w:w="3260" w:type="dxa"/>
            <w:vAlign w:val="center"/>
          </w:tcPr>
          <w:p w14:paraId="1F6BF7D2" w14:textId="77777777" w:rsidR="00CC13DC" w:rsidRPr="00AC6172" w:rsidRDefault="00CC13DC" w:rsidP="00CC13DC">
            <w:pPr>
              <w:spacing w:before="60" w:after="60"/>
              <w:jc w:val="center"/>
              <w:rPr>
                <w:sz w:val="20"/>
              </w:rPr>
            </w:pPr>
            <w:r w:rsidRPr="00AC6172">
              <w:rPr>
                <w:sz w:val="20"/>
              </w:rPr>
              <w:t>1,030</w:t>
            </w:r>
          </w:p>
        </w:tc>
      </w:tr>
      <w:tr w:rsidR="00CC13DC" w:rsidRPr="00AC6172" w14:paraId="5362589E" w14:textId="77777777" w:rsidTr="00CC13DC">
        <w:tc>
          <w:tcPr>
            <w:tcW w:w="3119" w:type="dxa"/>
            <w:tcBorders>
              <w:bottom w:val="single" w:sz="4" w:space="0" w:color="000000"/>
            </w:tcBorders>
            <w:vAlign w:val="center"/>
          </w:tcPr>
          <w:p w14:paraId="34FF449F" w14:textId="77777777" w:rsidR="00CC13DC" w:rsidRPr="00AC6172" w:rsidRDefault="00CC13DC" w:rsidP="00CC13DC">
            <w:pPr>
              <w:spacing w:before="60" w:after="60"/>
              <w:rPr>
                <w:sz w:val="20"/>
              </w:rPr>
            </w:pPr>
            <w:r w:rsidRPr="00AC6172">
              <w:rPr>
                <w:sz w:val="20"/>
              </w:rPr>
              <w:t>HFC-365mfc</w:t>
            </w:r>
            <w:r>
              <w:rPr>
                <w:sz w:val="20"/>
              </w:rPr>
              <w:t xml:space="preserve"> </w:t>
            </w:r>
            <w:r w:rsidRPr="00690A68">
              <w:rPr>
                <w:sz w:val="20"/>
                <w:szCs w:val="20"/>
                <w:vertAlign w:val="superscript"/>
              </w:rPr>
              <w:t>(</w:t>
            </w:r>
            <w:r>
              <w:rPr>
                <w:sz w:val="20"/>
                <w:szCs w:val="20"/>
                <w:vertAlign w:val="superscript"/>
              </w:rPr>
              <w:t>4</w:t>
            </w:r>
            <w:r w:rsidRPr="00690A68">
              <w:rPr>
                <w:sz w:val="20"/>
                <w:szCs w:val="20"/>
                <w:vertAlign w:val="superscript"/>
              </w:rPr>
              <w:t>)</w:t>
            </w:r>
          </w:p>
        </w:tc>
        <w:tc>
          <w:tcPr>
            <w:tcW w:w="3260" w:type="dxa"/>
            <w:tcBorders>
              <w:bottom w:val="single" w:sz="4" w:space="0" w:color="000000"/>
            </w:tcBorders>
            <w:vAlign w:val="center"/>
          </w:tcPr>
          <w:p w14:paraId="3FF86892" w14:textId="77777777" w:rsidR="00CC13DC" w:rsidRPr="00AC6172" w:rsidRDefault="00CC13DC" w:rsidP="00CC13DC">
            <w:pPr>
              <w:spacing w:before="60" w:after="60"/>
              <w:jc w:val="center"/>
              <w:rPr>
                <w:sz w:val="20"/>
              </w:rPr>
            </w:pPr>
            <w:r w:rsidRPr="00AC6172">
              <w:rPr>
                <w:sz w:val="20"/>
              </w:rPr>
              <w:t>-</w:t>
            </w:r>
          </w:p>
        </w:tc>
        <w:tc>
          <w:tcPr>
            <w:tcW w:w="3260" w:type="dxa"/>
            <w:tcBorders>
              <w:bottom w:val="single" w:sz="4" w:space="0" w:color="000000"/>
            </w:tcBorders>
            <w:vAlign w:val="center"/>
          </w:tcPr>
          <w:p w14:paraId="37D07697" w14:textId="77777777" w:rsidR="00CC13DC" w:rsidRPr="00AC6172" w:rsidRDefault="00CC13DC" w:rsidP="00CC13DC">
            <w:pPr>
              <w:spacing w:before="60" w:after="60"/>
              <w:jc w:val="center"/>
              <w:rPr>
                <w:sz w:val="20"/>
              </w:rPr>
            </w:pPr>
            <w:r w:rsidRPr="00AC6172">
              <w:rPr>
                <w:sz w:val="20"/>
              </w:rPr>
              <w:t>794</w:t>
            </w:r>
          </w:p>
        </w:tc>
      </w:tr>
      <w:tr w:rsidR="00CC13DC" w:rsidRPr="00AC6172" w14:paraId="220F30BE" w14:textId="77777777" w:rsidTr="00CC13DC">
        <w:tc>
          <w:tcPr>
            <w:tcW w:w="9639" w:type="dxa"/>
            <w:gridSpan w:val="3"/>
            <w:shd w:val="clear" w:color="auto" w:fill="CCFFFF"/>
            <w:vAlign w:val="center"/>
          </w:tcPr>
          <w:p w14:paraId="7EEE9676" w14:textId="77777777" w:rsidR="00CC13DC" w:rsidRPr="00AC6172" w:rsidRDefault="00CC13DC" w:rsidP="00CC13DC">
            <w:pPr>
              <w:spacing w:before="60" w:after="60"/>
              <w:rPr>
                <w:sz w:val="20"/>
              </w:rPr>
            </w:pPr>
            <w:r w:rsidRPr="00AC6172">
              <w:rPr>
                <w:sz w:val="20"/>
              </w:rPr>
              <w:t>Low GWP alternatives</w:t>
            </w:r>
            <w:r>
              <w:rPr>
                <w:sz w:val="20"/>
              </w:rPr>
              <w:t xml:space="preserve"> </w:t>
            </w:r>
            <w:r w:rsidRPr="00690A68">
              <w:rPr>
                <w:sz w:val="20"/>
                <w:szCs w:val="20"/>
                <w:vertAlign w:val="superscript"/>
              </w:rPr>
              <w:t>(</w:t>
            </w:r>
            <w:r>
              <w:rPr>
                <w:sz w:val="20"/>
                <w:szCs w:val="20"/>
                <w:vertAlign w:val="superscript"/>
              </w:rPr>
              <w:t>3</w:t>
            </w:r>
            <w:r w:rsidRPr="00690A68">
              <w:rPr>
                <w:sz w:val="20"/>
                <w:szCs w:val="20"/>
                <w:vertAlign w:val="superscript"/>
              </w:rPr>
              <w:t>)</w:t>
            </w:r>
          </w:p>
        </w:tc>
      </w:tr>
      <w:tr w:rsidR="00CC13DC" w:rsidRPr="00AC6172" w14:paraId="29E3917A" w14:textId="77777777" w:rsidTr="00CC13DC">
        <w:tc>
          <w:tcPr>
            <w:tcW w:w="3119" w:type="dxa"/>
            <w:vAlign w:val="center"/>
          </w:tcPr>
          <w:p w14:paraId="3BCDB6E0" w14:textId="77777777" w:rsidR="00CC13DC" w:rsidRPr="00AC6172" w:rsidRDefault="00CC13DC" w:rsidP="00CC13DC">
            <w:pPr>
              <w:spacing w:before="60" w:after="60"/>
              <w:rPr>
                <w:sz w:val="20"/>
              </w:rPr>
            </w:pPr>
            <w:r w:rsidRPr="00AC6172">
              <w:rPr>
                <w:sz w:val="20"/>
              </w:rPr>
              <w:t>HC-600a</w:t>
            </w:r>
          </w:p>
        </w:tc>
        <w:tc>
          <w:tcPr>
            <w:tcW w:w="3260" w:type="dxa"/>
            <w:vAlign w:val="center"/>
          </w:tcPr>
          <w:p w14:paraId="5DED7EA6" w14:textId="77777777" w:rsidR="00CC13DC" w:rsidRPr="00AC6172" w:rsidRDefault="00CC13DC" w:rsidP="00CC13DC">
            <w:pPr>
              <w:spacing w:before="60" w:after="60"/>
              <w:jc w:val="center"/>
              <w:rPr>
                <w:sz w:val="20"/>
              </w:rPr>
            </w:pPr>
            <w:r w:rsidRPr="00AC6172">
              <w:rPr>
                <w:sz w:val="20"/>
              </w:rPr>
              <w:t>-</w:t>
            </w:r>
          </w:p>
        </w:tc>
        <w:tc>
          <w:tcPr>
            <w:tcW w:w="3260" w:type="dxa"/>
            <w:vAlign w:val="center"/>
          </w:tcPr>
          <w:p w14:paraId="7B2086E2" w14:textId="77777777" w:rsidR="00CC13DC" w:rsidRPr="00AC6172" w:rsidRDefault="00CC13DC" w:rsidP="00CC13DC">
            <w:pPr>
              <w:spacing w:before="60" w:after="60"/>
              <w:jc w:val="center"/>
              <w:rPr>
                <w:sz w:val="20"/>
              </w:rPr>
            </w:pPr>
            <w:r w:rsidRPr="00AC6172">
              <w:rPr>
                <w:sz w:val="20"/>
              </w:rPr>
              <w:t>3</w:t>
            </w:r>
          </w:p>
        </w:tc>
      </w:tr>
      <w:tr w:rsidR="00CC13DC" w:rsidRPr="00AC6172" w14:paraId="2AA748D7" w14:textId="77777777" w:rsidTr="00CC13DC">
        <w:tc>
          <w:tcPr>
            <w:tcW w:w="3119" w:type="dxa"/>
            <w:vAlign w:val="center"/>
          </w:tcPr>
          <w:p w14:paraId="1A50B516" w14:textId="77777777" w:rsidR="00CC13DC" w:rsidRPr="00AC6172" w:rsidRDefault="00CC13DC" w:rsidP="00CC13DC">
            <w:pPr>
              <w:spacing w:before="60" w:after="60"/>
              <w:rPr>
                <w:sz w:val="20"/>
              </w:rPr>
            </w:pPr>
            <w:r w:rsidRPr="00AC6172">
              <w:rPr>
                <w:sz w:val="20"/>
              </w:rPr>
              <w:t>HC-290</w:t>
            </w:r>
          </w:p>
        </w:tc>
        <w:tc>
          <w:tcPr>
            <w:tcW w:w="3260" w:type="dxa"/>
            <w:vAlign w:val="center"/>
          </w:tcPr>
          <w:p w14:paraId="253FD693" w14:textId="77777777" w:rsidR="00CC13DC" w:rsidRPr="00AC6172" w:rsidRDefault="00CC13DC" w:rsidP="00CC13DC">
            <w:pPr>
              <w:spacing w:before="60" w:after="60"/>
              <w:jc w:val="center"/>
              <w:rPr>
                <w:sz w:val="20"/>
              </w:rPr>
            </w:pPr>
            <w:r w:rsidRPr="00AC6172">
              <w:rPr>
                <w:sz w:val="20"/>
              </w:rPr>
              <w:t>-</w:t>
            </w:r>
          </w:p>
        </w:tc>
        <w:tc>
          <w:tcPr>
            <w:tcW w:w="3260" w:type="dxa"/>
            <w:vAlign w:val="center"/>
          </w:tcPr>
          <w:p w14:paraId="1D17871E" w14:textId="77777777" w:rsidR="00CC13DC" w:rsidRPr="00AC6172" w:rsidRDefault="00CC13DC" w:rsidP="00CC13DC">
            <w:pPr>
              <w:spacing w:before="60" w:after="60"/>
              <w:jc w:val="center"/>
              <w:rPr>
                <w:sz w:val="20"/>
              </w:rPr>
            </w:pPr>
            <w:r w:rsidRPr="00AC6172">
              <w:rPr>
                <w:sz w:val="20"/>
              </w:rPr>
              <w:t>3</w:t>
            </w:r>
          </w:p>
        </w:tc>
      </w:tr>
      <w:tr w:rsidR="00CC13DC" w:rsidRPr="00AC6172" w14:paraId="0EB58146" w14:textId="77777777" w:rsidTr="00CC13DC">
        <w:tc>
          <w:tcPr>
            <w:tcW w:w="3119" w:type="dxa"/>
            <w:vAlign w:val="center"/>
          </w:tcPr>
          <w:p w14:paraId="6EA229C2" w14:textId="77777777" w:rsidR="00CC13DC" w:rsidRPr="00AC6172" w:rsidRDefault="00CC13DC" w:rsidP="00CC13DC">
            <w:pPr>
              <w:spacing w:before="60" w:after="60"/>
              <w:rPr>
                <w:sz w:val="20"/>
              </w:rPr>
            </w:pPr>
            <w:r w:rsidRPr="00AC6172">
              <w:rPr>
                <w:sz w:val="20"/>
              </w:rPr>
              <w:t>CO</w:t>
            </w:r>
            <w:r w:rsidRPr="008C5E3F">
              <w:rPr>
                <w:sz w:val="20"/>
                <w:vertAlign w:val="subscript"/>
              </w:rPr>
              <w:t>2</w:t>
            </w:r>
            <w:r w:rsidRPr="00AC6172">
              <w:rPr>
                <w:sz w:val="20"/>
              </w:rPr>
              <w:t xml:space="preserve"> (R744)</w:t>
            </w:r>
          </w:p>
        </w:tc>
        <w:tc>
          <w:tcPr>
            <w:tcW w:w="3260" w:type="dxa"/>
            <w:vAlign w:val="center"/>
          </w:tcPr>
          <w:p w14:paraId="5E28E685" w14:textId="77777777" w:rsidR="00CC13DC" w:rsidRPr="00AC6172" w:rsidRDefault="00CC13DC" w:rsidP="00CC13DC">
            <w:pPr>
              <w:spacing w:before="60" w:after="60"/>
              <w:jc w:val="center"/>
              <w:rPr>
                <w:sz w:val="20"/>
              </w:rPr>
            </w:pPr>
            <w:r w:rsidRPr="00AC6172">
              <w:rPr>
                <w:sz w:val="20"/>
              </w:rPr>
              <w:t>-</w:t>
            </w:r>
          </w:p>
        </w:tc>
        <w:tc>
          <w:tcPr>
            <w:tcW w:w="3260" w:type="dxa"/>
            <w:vAlign w:val="center"/>
          </w:tcPr>
          <w:p w14:paraId="62205DA6" w14:textId="77777777" w:rsidR="00CC13DC" w:rsidRPr="00AC6172" w:rsidRDefault="00CC13DC" w:rsidP="00CC13DC">
            <w:pPr>
              <w:spacing w:before="60" w:after="60"/>
              <w:jc w:val="center"/>
              <w:rPr>
                <w:sz w:val="20"/>
              </w:rPr>
            </w:pPr>
            <w:r w:rsidRPr="00AC6172">
              <w:rPr>
                <w:sz w:val="20"/>
              </w:rPr>
              <w:t>1</w:t>
            </w:r>
          </w:p>
        </w:tc>
      </w:tr>
      <w:tr w:rsidR="00CC13DC" w:rsidRPr="00AC6172" w14:paraId="73B33AAD" w14:textId="77777777" w:rsidTr="00CC13DC">
        <w:tc>
          <w:tcPr>
            <w:tcW w:w="3119" w:type="dxa"/>
            <w:vAlign w:val="center"/>
          </w:tcPr>
          <w:p w14:paraId="642D1758" w14:textId="77777777" w:rsidR="00CC13DC" w:rsidRPr="00AC6172" w:rsidRDefault="00CC13DC" w:rsidP="00CC13DC">
            <w:pPr>
              <w:spacing w:before="60" w:after="60"/>
              <w:rPr>
                <w:sz w:val="20"/>
              </w:rPr>
            </w:pPr>
            <w:r w:rsidRPr="00AC6172">
              <w:rPr>
                <w:sz w:val="20"/>
              </w:rPr>
              <w:t>Ammonia (R717)</w:t>
            </w:r>
          </w:p>
        </w:tc>
        <w:tc>
          <w:tcPr>
            <w:tcW w:w="3260" w:type="dxa"/>
            <w:vAlign w:val="center"/>
          </w:tcPr>
          <w:p w14:paraId="30E57EA9" w14:textId="77777777" w:rsidR="00CC13DC" w:rsidRPr="00AC6172" w:rsidRDefault="00CC13DC" w:rsidP="00CC13DC">
            <w:pPr>
              <w:spacing w:before="60" w:after="60"/>
              <w:jc w:val="center"/>
              <w:rPr>
                <w:sz w:val="20"/>
              </w:rPr>
            </w:pPr>
            <w:r w:rsidRPr="00AC6172">
              <w:rPr>
                <w:sz w:val="20"/>
              </w:rPr>
              <w:t>-</w:t>
            </w:r>
          </w:p>
        </w:tc>
        <w:tc>
          <w:tcPr>
            <w:tcW w:w="3260" w:type="dxa"/>
            <w:vAlign w:val="center"/>
          </w:tcPr>
          <w:p w14:paraId="6F38DE40" w14:textId="77777777" w:rsidR="00CC13DC" w:rsidRPr="00AC6172" w:rsidRDefault="00CC13DC" w:rsidP="00CC13DC">
            <w:pPr>
              <w:spacing w:before="60" w:after="60"/>
              <w:jc w:val="center"/>
              <w:rPr>
                <w:sz w:val="20"/>
              </w:rPr>
            </w:pPr>
            <w:r w:rsidRPr="00AC6172">
              <w:rPr>
                <w:sz w:val="20"/>
              </w:rPr>
              <w:t>0</w:t>
            </w:r>
          </w:p>
        </w:tc>
      </w:tr>
      <w:tr w:rsidR="00CC13DC" w:rsidRPr="00AC6172" w14:paraId="7B83100A" w14:textId="77777777" w:rsidTr="00CC13DC">
        <w:tc>
          <w:tcPr>
            <w:tcW w:w="3119" w:type="dxa"/>
            <w:vAlign w:val="center"/>
          </w:tcPr>
          <w:p w14:paraId="3DDF01BF" w14:textId="77777777" w:rsidR="00CC13DC" w:rsidRPr="00AC6172" w:rsidRDefault="00CC13DC" w:rsidP="00CC13DC">
            <w:pPr>
              <w:spacing w:before="60" w:after="60"/>
              <w:rPr>
                <w:sz w:val="20"/>
              </w:rPr>
            </w:pPr>
            <w:r w:rsidRPr="00AC6172">
              <w:rPr>
                <w:sz w:val="20"/>
              </w:rPr>
              <w:t>HFO-1234yf</w:t>
            </w:r>
          </w:p>
        </w:tc>
        <w:tc>
          <w:tcPr>
            <w:tcW w:w="3260" w:type="dxa"/>
            <w:vAlign w:val="center"/>
          </w:tcPr>
          <w:p w14:paraId="2F52E2D1" w14:textId="77777777" w:rsidR="00CC13DC" w:rsidRPr="00AC6172" w:rsidRDefault="00CC13DC" w:rsidP="00CC13DC">
            <w:pPr>
              <w:spacing w:before="60" w:after="60"/>
              <w:jc w:val="center"/>
              <w:rPr>
                <w:sz w:val="20"/>
              </w:rPr>
            </w:pPr>
            <w:r w:rsidRPr="00AC6172">
              <w:rPr>
                <w:sz w:val="20"/>
              </w:rPr>
              <w:t>-</w:t>
            </w:r>
          </w:p>
        </w:tc>
        <w:tc>
          <w:tcPr>
            <w:tcW w:w="3260" w:type="dxa"/>
            <w:vAlign w:val="center"/>
          </w:tcPr>
          <w:p w14:paraId="19D42B05" w14:textId="77777777" w:rsidR="00CC13DC" w:rsidRPr="00AC6172" w:rsidRDefault="00CC13DC" w:rsidP="00CC13DC">
            <w:pPr>
              <w:spacing w:before="60" w:after="60"/>
              <w:jc w:val="center"/>
              <w:rPr>
                <w:sz w:val="20"/>
              </w:rPr>
            </w:pPr>
            <w:r w:rsidRPr="00AC6172">
              <w:rPr>
                <w:sz w:val="20"/>
              </w:rPr>
              <w:t>4</w:t>
            </w:r>
          </w:p>
        </w:tc>
      </w:tr>
      <w:tr w:rsidR="00CC13DC" w:rsidRPr="00AC6172" w14:paraId="62BC0DBA" w14:textId="77777777" w:rsidTr="00CC13DC">
        <w:tc>
          <w:tcPr>
            <w:tcW w:w="3119" w:type="dxa"/>
            <w:vAlign w:val="center"/>
          </w:tcPr>
          <w:p w14:paraId="6E0B5CCC" w14:textId="77777777" w:rsidR="00CC13DC" w:rsidRPr="00AC6172" w:rsidRDefault="00CC13DC" w:rsidP="00CC13DC">
            <w:pPr>
              <w:spacing w:before="60" w:after="60"/>
              <w:rPr>
                <w:sz w:val="20"/>
              </w:rPr>
            </w:pPr>
            <w:r w:rsidRPr="00AC6172">
              <w:rPr>
                <w:sz w:val="20"/>
              </w:rPr>
              <w:t>HFO-1234ze</w:t>
            </w:r>
          </w:p>
        </w:tc>
        <w:tc>
          <w:tcPr>
            <w:tcW w:w="3260" w:type="dxa"/>
            <w:vAlign w:val="center"/>
          </w:tcPr>
          <w:p w14:paraId="44F3E00A" w14:textId="77777777" w:rsidR="00CC13DC" w:rsidRPr="00AC6172" w:rsidRDefault="00CC13DC" w:rsidP="00CC13DC">
            <w:pPr>
              <w:spacing w:before="60" w:after="60"/>
              <w:jc w:val="center"/>
              <w:rPr>
                <w:sz w:val="20"/>
              </w:rPr>
            </w:pPr>
            <w:r w:rsidRPr="00AC6172">
              <w:rPr>
                <w:sz w:val="20"/>
              </w:rPr>
              <w:t>-</w:t>
            </w:r>
          </w:p>
        </w:tc>
        <w:tc>
          <w:tcPr>
            <w:tcW w:w="3260" w:type="dxa"/>
            <w:vAlign w:val="center"/>
          </w:tcPr>
          <w:p w14:paraId="5AE6C90E" w14:textId="77777777" w:rsidR="00CC13DC" w:rsidRPr="00AC6172" w:rsidRDefault="00CC13DC" w:rsidP="00CC13DC">
            <w:pPr>
              <w:spacing w:before="60" w:after="60"/>
              <w:jc w:val="center"/>
              <w:rPr>
                <w:sz w:val="20"/>
              </w:rPr>
            </w:pPr>
            <w:r w:rsidRPr="00AC6172">
              <w:rPr>
                <w:sz w:val="20"/>
              </w:rPr>
              <w:t>6</w:t>
            </w:r>
          </w:p>
        </w:tc>
      </w:tr>
      <w:tr w:rsidR="00CC13DC" w:rsidRPr="00AC6172" w14:paraId="117EE291" w14:textId="77777777" w:rsidTr="00CC13DC">
        <w:tc>
          <w:tcPr>
            <w:tcW w:w="3119" w:type="dxa"/>
            <w:vAlign w:val="center"/>
          </w:tcPr>
          <w:p w14:paraId="63678B22" w14:textId="77777777" w:rsidR="00CC13DC" w:rsidRPr="00AC6172" w:rsidRDefault="00CC13DC" w:rsidP="00CC13DC">
            <w:pPr>
              <w:spacing w:before="60" w:after="60"/>
              <w:rPr>
                <w:sz w:val="20"/>
              </w:rPr>
            </w:pPr>
            <w:r w:rsidRPr="00AC6172">
              <w:rPr>
                <w:sz w:val="20"/>
              </w:rPr>
              <w:t>HFO</w:t>
            </w:r>
            <w:r>
              <w:rPr>
                <w:sz w:val="20"/>
              </w:rPr>
              <w:t>-HFC</w:t>
            </w:r>
            <w:r w:rsidRPr="00AC6172">
              <w:rPr>
                <w:sz w:val="20"/>
              </w:rPr>
              <w:t xml:space="preserve"> blend (XP10)</w:t>
            </w:r>
          </w:p>
        </w:tc>
        <w:tc>
          <w:tcPr>
            <w:tcW w:w="3260" w:type="dxa"/>
            <w:vAlign w:val="center"/>
          </w:tcPr>
          <w:p w14:paraId="16518D24" w14:textId="77777777" w:rsidR="00CC13DC" w:rsidRPr="00AC6172" w:rsidRDefault="00CC13DC" w:rsidP="00CC13DC">
            <w:pPr>
              <w:spacing w:before="60" w:after="60"/>
              <w:jc w:val="center"/>
              <w:rPr>
                <w:sz w:val="20"/>
              </w:rPr>
            </w:pPr>
            <w:r w:rsidRPr="00AC6172">
              <w:rPr>
                <w:sz w:val="20"/>
              </w:rPr>
              <w:t>-</w:t>
            </w:r>
          </w:p>
        </w:tc>
        <w:tc>
          <w:tcPr>
            <w:tcW w:w="3260" w:type="dxa"/>
            <w:vAlign w:val="center"/>
          </w:tcPr>
          <w:p w14:paraId="51A0663C" w14:textId="77777777" w:rsidR="00CC13DC" w:rsidRPr="00AC6172" w:rsidRDefault="00CC13DC" w:rsidP="00CC13DC">
            <w:pPr>
              <w:spacing w:before="60" w:after="60"/>
              <w:jc w:val="center"/>
              <w:rPr>
                <w:sz w:val="20"/>
              </w:rPr>
            </w:pPr>
            <w:r w:rsidRPr="00AC6172">
              <w:rPr>
                <w:sz w:val="20"/>
              </w:rPr>
              <w:t>600</w:t>
            </w:r>
          </w:p>
        </w:tc>
      </w:tr>
      <w:tr w:rsidR="00CC13DC" w:rsidRPr="00AC6172" w14:paraId="356FDFA5" w14:textId="77777777" w:rsidTr="00CC13DC">
        <w:tc>
          <w:tcPr>
            <w:tcW w:w="3119" w:type="dxa"/>
            <w:vAlign w:val="center"/>
          </w:tcPr>
          <w:p w14:paraId="4BC69530" w14:textId="77777777" w:rsidR="00CC13DC" w:rsidRPr="00AC6172" w:rsidRDefault="00CC13DC" w:rsidP="00CC13DC">
            <w:pPr>
              <w:spacing w:before="60" w:after="60"/>
              <w:rPr>
                <w:sz w:val="20"/>
              </w:rPr>
            </w:pPr>
            <w:r w:rsidRPr="00AC6172">
              <w:rPr>
                <w:sz w:val="20"/>
              </w:rPr>
              <w:t>HFC-152a</w:t>
            </w:r>
          </w:p>
        </w:tc>
        <w:tc>
          <w:tcPr>
            <w:tcW w:w="3260" w:type="dxa"/>
            <w:vAlign w:val="center"/>
          </w:tcPr>
          <w:p w14:paraId="1C563B57" w14:textId="77777777" w:rsidR="00CC13DC" w:rsidRPr="00AC6172" w:rsidRDefault="00CC13DC" w:rsidP="00CC13DC">
            <w:pPr>
              <w:spacing w:before="60" w:after="60"/>
              <w:jc w:val="center"/>
              <w:rPr>
                <w:sz w:val="20"/>
              </w:rPr>
            </w:pPr>
            <w:r w:rsidRPr="00AC6172">
              <w:rPr>
                <w:sz w:val="20"/>
              </w:rPr>
              <w:t>140</w:t>
            </w:r>
          </w:p>
        </w:tc>
        <w:tc>
          <w:tcPr>
            <w:tcW w:w="3260" w:type="dxa"/>
            <w:vAlign w:val="center"/>
          </w:tcPr>
          <w:p w14:paraId="332F3779" w14:textId="77777777" w:rsidR="00CC13DC" w:rsidRPr="00AC6172" w:rsidRDefault="00CC13DC" w:rsidP="00CC13DC">
            <w:pPr>
              <w:spacing w:before="60" w:after="60"/>
              <w:jc w:val="center"/>
              <w:rPr>
                <w:sz w:val="20"/>
              </w:rPr>
            </w:pPr>
            <w:r w:rsidRPr="00AC6172">
              <w:rPr>
                <w:sz w:val="20"/>
              </w:rPr>
              <w:t>124</w:t>
            </w:r>
          </w:p>
        </w:tc>
      </w:tr>
      <w:tr w:rsidR="00CC13DC" w:rsidRPr="00AC6172" w14:paraId="2C64EA4D" w14:textId="77777777" w:rsidTr="00CC13DC">
        <w:tc>
          <w:tcPr>
            <w:tcW w:w="3119" w:type="dxa"/>
            <w:vAlign w:val="center"/>
          </w:tcPr>
          <w:p w14:paraId="1FE389BF" w14:textId="77777777" w:rsidR="00CC13DC" w:rsidRPr="00AC6172" w:rsidRDefault="00CC13DC" w:rsidP="00CC13DC">
            <w:pPr>
              <w:spacing w:before="60" w:after="60"/>
              <w:rPr>
                <w:sz w:val="20"/>
              </w:rPr>
            </w:pPr>
            <w:r>
              <w:rPr>
                <w:sz w:val="20"/>
              </w:rPr>
              <w:t>HFC-32</w:t>
            </w:r>
          </w:p>
        </w:tc>
        <w:tc>
          <w:tcPr>
            <w:tcW w:w="3260" w:type="dxa"/>
            <w:vAlign w:val="center"/>
          </w:tcPr>
          <w:p w14:paraId="77281ED4" w14:textId="77777777" w:rsidR="00CC13DC" w:rsidRPr="00AC6172" w:rsidRDefault="00CC13DC" w:rsidP="00CC13DC">
            <w:pPr>
              <w:spacing w:before="60" w:after="60"/>
              <w:jc w:val="center"/>
              <w:rPr>
                <w:sz w:val="20"/>
              </w:rPr>
            </w:pPr>
            <w:r>
              <w:rPr>
                <w:sz w:val="20"/>
              </w:rPr>
              <w:t>650</w:t>
            </w:r>
          </w:p>
        </w:tc>
        <w:tc>
          <w:tcPr>
            <w:tcW w:w="3260" w:type="dxa"/>
            <w:vAlign w:val="center"/>
          </w:tcPr>
          <w:p w14:paraId="59339EEE" w14:textId="77777777" w:rsidR="00CC13DC" w:rsidRPr="00AC6172" w:rsidRDefault="00CC13DC" w:rsidP="00CC13DC">
            <w:pPr>
              <w:spacing w:before="60" w:after="60"/>
              <w:jc w:val="center"/>
              <w:rPr>
                <w:sz w:val="20"/>
              </w:rPr>
            </w:pPr>
            <w:r>
              <w:rPr>
                <w:sz w:val="20"/>
              </w:rPr>
              <w:t>675</w:t>
            </w:r>
          </w:p>
        </w:tc>
      </w:tr>
    </w:tbl>
    <w:p w14:paraId="367D5DA5" w14:textId="77777777" w:rsidR="00CC13DC" w:rsidRPr="005169C2" w:rsidRDefault="00CC13DC" w:rsidP="00D05A74">
      <w:pPr>
        <w:pStyle w:val="ListParagraph"/>
        <w:numPr>
          <w:ilvl w:val="0"/>
          <w:numId w:val="14"/>
        </w:numPr>
        <w:spacing w:before="60" w:after="0" w:line="240" w:lineRule="auto"/>
        <w:ind w:left="357" w:hanging="357"/>
        <w:contextualSpacing w:val="0"/>
        <w:jc w:val="both"/>
        <w:rPr>
          <w:rFonts w:ascii="Times New Roman" w:hAnsi="Times New Roman"/>
          <w:sz w:val="20"/>
          <w:szCs w:val="20"/>
        </w:rPr>
      </w:pPr>
      <w:r w:rsidRPr="005169C2">
        <w:rPr>
          <w:rFonts w:ascii="Times New Roman" w:hAnsi="Times New Roman"/>
          <w:sz w:val="20"/>
          <w:szCs w:val="20"/>
        </w:rPr>
        <w:lastRenderedPageBreak/>
        <w:t>No longer in common use, banned in 1996. GWP values of blends such as HFC-404A and others are calculated based on the mass composition of substances listed in the IPCC assessment reports.</w:t>
      </w:r>
    </w:p>
    <w:p w14:paraId="027E5C56" w14:textId="77777777" w:rsidR="00CC13DC" w:rsidRPr="005169C2" w:rsidRDefault="00CC13DC" w:rsidP="00D05A74">
      <w:pPr>
        <w:pStyle w:val="ListParagraph"/>
        <w:numPr>
          <w:ilvl w:val="0"/>
          <w:numId w:val="14"/>
        </w:numPr>
        <w:spacing w:before="60" w:after="0" w:line="240" w:lineRule="auto"/>
        <w:ind w:left="357" w:hanging="357"/>
        <w:contextualSpacing w:val="0"/>
        <w:jc w:val="both"/>
        <w:rPr>
          <w:rFonts w:ascii="Times New Roman" w:hAnsi="Times New Roman"/>
          <w:sz w:val="20"/>
          <w:szCs w:val="20"/>
        </w:rPr>
      </w:pPr>
      <w:r w:rsidRPr="005169C2">
        <w:rPr>
          <w:rFonts w:ascii="Times New Roman" w:hAnsi="Times New Roman"/>
          <w:sz w:val="20"/>
          <w:szCs w:val="20"/>
        </w:rPr>
        <w:t>The GWP values of HFO substances are those cited by DuPont (DuPont 2010) and Honeywell as based on AR4. These are new and were not reviewed, included or published in the IPCC, Fourth Assessment Report published in 2007. HC-600a and HC-290 are not published in the AR2 or AR4.</w:t>
      </w:r>
    </w:p>
    <w:p w14:paraId="44A8F71B" w14:textId="77777777" w:rsidR="00CC13DC" w:rsidRPr="005169C2" w:rsidRDefault="00CC13DC" w:rsidP="00D05A74">
      <w:pPr>
        <w:pStyle w:val="ListParagraph"/>
        <w:numPr>
          <w:ilvl w:val="0"/>
          <w:numId w:val="14"/>
        </w:numPr>
        <w:spacing w:before="60" w:after="0" w:line="240" w:lineRule="auto"/>
        <w:ind w:left="357" w:hanging="357"/>
        <w:contextualSpacing w:val="0"/>
        <w:jc w:val="both"/>
        <w:rPr>
          <w:rFonts w:ascii="Times New Roman" w:hAnsi="Times New Roman"/>
          <w:sz w:val="20"/>
          <w:szCs w:val="20"/>
        </w:rPr>
      </w:pPr>
      <w:r w:rsidRPr="005169C2">
        <w:rPr>
          <w:rFonts w:ascii="Times New Roman" w:hAnsi="Times New Roman"/>
          <w:sz w:val="20"/>
          <w:szCs w:val="20"/>
        </w:rPr>
        <w:t>All references to HFC-404A include both HFC-404A with a chemical composition of HFC-125/143a/134a (44.0/52.0/4.0) and HFC-507A with a chemical composition of HFC-125/143a (50.0/50.0) as they are very similar in mass composition and service the same applications.</w:t>
      </w:r>
    </w:p>
    <w:p w14:paraId="211C9291" w14:textId="77777777" w:rsidR="00CC13DC" w:rsidRPr="005169C2" w:rsidRDefault="00CC13DC" w:rsidP="00D05A74">
      <w:pPr>
        <w:pStyle w:val="ListParagraph"/>
        <w:numPr>
          <w:ilvl w:val="0"/>
          <w:numId w:val="14"/>
        </w:numPr>
        <w:spacing w:before="60" w:after="0" w:line="240" w:lineRule="auto"/>
        <w:ind w:left="357" w:hanging="357"/>
        <w:contextualSpacing w:val="0"/>
        <w:jc w:val="both"/>
        <w:rPr>
          <w:rFonts w:ascii="Times New Roman" w:hAnsi="Times New Roman"/>
          <w:sz w:val="20"/>
          <w:szCs w:val="20"/>
        </w:rPr>
      </w:pPr>
      <w:r w:rsidRPr="005169C2">
        <w:rPr>
          <w:rFonts w:ascii="Times New Roman" w:hAnsi="Times New Roman"/>
          <w:sz w:val="20"/>
          <w:szCs w:val="20"/>
        </w:rPr>
        <w:t>Not used as refrigerant in RAC applications, substances used for foam blowing applications, fire protection and as solvents.</w:t>
      </w:r>
    </w:p>
    <w:p w14:paraId="4F5C970F" w14:textId="57421168" w:rsidR="00CC13DC" w:rsidRPr="00CC13DC" w:rsidRDefault="00CC13DC" w:rsidP="00CC13DC">
      <w:r w:rsidRPr="00CC13DC">
        <w:t xml:space="preserve">The </w:t>
      </w:r>
      <w:r>
        <w:t>ASHRAE r</w:t>
      </w:r>
      <w:r w:rsidR="00220AB1">
        <w:t xml:space="preserve">efrigerant </w:t>
      </w:r>
      <w:r w:rsidRPr="00CC13DC">
        <w:t>mass chemical compositions are used to calculate the GWP values of these blends from the Second Assessment Report (AR2) of the United Nations Framework Convention on Climate Change (UNFCCC), released in 1996 (IPCC 1996). While these values have since been superseded by the Fourth Assessment Report (AR4) in 2007, all of the Australian legislation that refers to the GWP of HFCs use the values listed originally in AR2, based on Australia’s obligation under the Kyoto Protocol.</w:t>
      </w:r>
    </w:p>
    <w:p w14:paraId="16F28B28" w14:textId="77777777" w:rsidR="00925DF3" w:rsidRDefault="00925DF3">
      <w:pPr>
        <w:spacing w:before="0"/>
        <w:jc w:val="left"/>
        <w:rPr>
          <w:szCs w:val="22"/>
        </w:rPr>
      </w:pPr>
    </w:p>
    <w:p w14:paraId="70C617F4" w14:textId="416DD04D" w:rsidR="00925DF3" w:rsidRPr="000226CB" w:rsidRDefault="00925DF3" w:rsidP="00925DF3">
      <w:pPr>
        <w:rPr>
          <w:i/>
          <w:szCs w:val="22"/>
        </w:rPr>
      </w:pPr>
      <w:bookmarkStart w:id="107" w:name="_Toc233084081"/>
      <w:r w:rsidRPr="000226CB">
        <w:rPr>
          <w:i/>
          <w:szCs w:val="22"/>
        </w:rPr>
        <w:t xml:space="preserve">Table </w:t>
      </w:r>
      <w:r w:rsidRPr="000226CB">
        <w:rPr>
          <w:i/>
          <w:szCs w:val="22"/>
        </w:rPr>
        <w:fldChar w:fldCharType="begin"/>
      </w:r>
      <w:r w:rsidRPr="000226CB">
        <w:rPr>
          <w:i/>
          <w:szCs w:val="22"/>
        </w:rPr>
        <w:instrText xml:space="preserve"> SEQ Table \* ARABIC </w:instrText>
      </w:r>
      <w:r w:rsidRPr="000226CB">
        <w:rPr>
          <w:i/>
          <w:szCs w:val="22"/>
        </w:rPr>
        <w:fldChar w:fldCharType="separate"/>
      </w:r>
      <w:r w:rsidR="00196462">
        <w:rPr>
          <w:i/>
          <w:noProof/>
          <w:szCs w:val="22"/>
        </w:rPr>
        <w:t>37</w:t>
      </w:r>
      <w:r w:rsidRPr="000226CB">
        <w:rPr>
          <w:i/>
          <w:szCs w:val="22"/>
        </w:rPr>
        <w:fldChar w:fldCharType="end"/>
      </w:r>
      <w:r w:rsidRPr="000226CB">
        <w:rPr>
          <w:i/>
          <w:szCs w:val="22"/>
        </w:rPr>
        <w:t xml:space="preserve">: </w:t>
      </w:r>
      <w:r w:rsidR="00390AC1" w:rsidRPr="00390AC1">
        <w:rPr>
          <w:i/>
          <w:szCs w:val="22"/>
        </w:rPr>
        <w:t xml:space="preserve">ASHRAE Refrigerant designation </w:t>
      </w:r>
      <w:r w:rsidR="00390AC1">
        <w:rPr>
          <w:i/>
          <w:szCs w:val="22"/>
        </w:rPr>
        <w:t>and refrigerant mass composition of common blends used in Australia</w:t>
      </w:r>
      <w:bookmarkEnd w:id="1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5139"/>
      </w:tblGrid>
      <w:tr w:rsidR="00925DF3" w:rsidRPr="00923150" w14:paraId="56560121" w14:textId="77777777" w:rsidTr="005F2CFD">
        <w:trPr>
          <w:trHeight w:val="684"/>
        </w:trPr>
        <w:tc>
          <w:tcPr>
            <w:tcW w:w="4500" w:type="dxa"/>
            <w:tcBorders>
              <w:top w:val="single" w:sz="8" w:space="0" w:color="auto"/>
              <w:left w:val="single" w:sz="8" w:space="0" w:color="auto"/>
              <w:bottom w:val="single" w:sz="4" w:space="0" w:color="000000"/>
              <w:right w:val="single" w:sz="4" w:space="0" w:color="FFFFFF"/>
            </w:tcBorders>
            <w:shd w:val="clear" w:color="auto" w:fill="000000"/>
            <w:vAlign w:val="center"/>
          </w:tcPr>
          <w:p w14:paraId="7A91E94B" w14:textId="0F3EDA74" w:rsidR="00925DF3" w:rsidRPr="00923150" w:rsidRDefault="00925DF3" w:rsidP="00925DF3">
            <w:pPr>
              <w:spacing w:after="120"/>
              <w:ind w:left="34"/>
              <w:jc w:val="left"/>
            </w:pPr>
            <w:r w:rsidRPr="00925DF3">
              <w:t>ASHRAE Refrigerant designation</w:t>
            </w:r>
          </w:p>
        </w:tc>
        <w:tc>
          <w:tcPr>
            <w:tcW w:w="5139" w:type="dxa"/>
            <w:tcBorders>
              <w:top w:val="single" w:sz="8" w:space="0" w:color="auto"/>
              <w:left w:val="single" w:sz="4" w:space="0" w:color="FFFFFF"/>
              <w:bottom w:val="single" w:sz="4" w:space="0" w:color="000000"/>
              <w:right w:val="single" w:sz="8" w:space="0" w:color="auto"/>
            </w:tcBorders>
            <w:shd w:val="clear" w:color="auto" w:fill="000000"/>
            <w:vAlign w:val="center"/>
          </w:tcPr>
          <w:p w14:paraId="4AAFD39D" w14:textId="0B43560A" w:rsidR="00925DF3" w:rsidRPr="00923150" w:rsidRDefault="00925DF3" w:rsidP="003C6CAB">
            <w:pPr>
              <w:spacing w:after="120"/>
              <w:jc w:val="center"/>
            </w:pPr>
            <w:r w:rsidRPr="00F52619">
              <w:t xml:space="preserve">Refrigerant </w:t>
            </w:r>
            <w:r w:rsidR="001672F5">
              <w:t>c</w:t>
            </w:r>
            <w:r w:rsidR="003C6CAB">
              <w:t>omposition (Mass %)</w:t>
            </w:r>
          </w:p>
        </w:tc>
      </w:tr>
      <w:tr w:rsidR="00925DF3" w:rsidRPr="00923150" w14:paraId="5A100376" w14:textId="77777777" w:rsidTr="00390AC1">
        <w:trPr>
          <w:trHeight w:val="456"/>
        </w:trPr>
        <w:tc>
          <w:tcPr>
            <w:tcW w:w="9639" w:type="dxa"/>
            <w:gridSpan w:val="2"/>
            <w:shd w:val="clear" w:color="auto" w:fill="CCFFFF"/>
            <w:vAlign w:val="center"/>
          </w:tcPr>
          <w:p w14:paraId="3870CA5C" w14:textId="0BA97CAF" w:rsidR="00925DF3" w:rsidRPr="00C179F1" w:rsidRDefault="00925DF3" w:rsidP="001672F5">
            <w:pPr>
              <w:spacing w:before="60" w:after="60"/>
              <w:jc w:val="center"/>
            </w:pPr>
            <w:r w:rsidRPr="00925DF3">
              <w:t xml:space="preserve">Refrigerant </w:t>
            </w:r>
            <w:r w:rsidR="001672F5">
              <w:t>b</w:t>
            </w:r>
            <w:r w:rsidRPr="00925DF3">
              <w:t>lends: Zeotropes</w:t>
            </w:r>
          </w:p>
        </w:tc>
      </w:tr>
      <w:tr w:rsidR="00925DF3" w:rsidRPr="00923150" w14:paraId="10CE30BB" w14:textId="77777777" w:rsidTr="00390AC1">
        <w:trPr>
          <w:trHeight w:val="456"/>
        </w:trPr>
        <w:tc>
          <w:tcPr>
            <w:tcW w:w="4500" w:type="dxa"/>
            <w:vAlign w:val="center"/>
          </w:tcPr>
          <w:p w14:paraId="3C7639B0" w14:textId="63110786" w:rsidR="00925DF3" w:rsidRPr="00876FAE" w:rsidRDefault="00925DF3" w:rsidP="00390AC1">
            <w:pPr>
              <w:spacing w:before="60" w:after="60"/>
              <w:ind w:left="34"/>
              <w:jc w:val="center"/>
            </w:pPr>
            <w:r w:rsidRPr="00942B4C">
              <w:t>404A</w:t>
            </w:r>
          </w:p>
        </w:tc>
        <w:tc>
          <w:tcPr>
            <w:tcW w:w="5139" w:type="dxa"/>
            <w:vAlign w:val="center"/>
          </w:tcPr>
          <w:p w14:paraId="1E8FE197" w14:textId="6DD4EAE6" w:rsidR="00925DF3" w:rsidRPr="00876FAE" w:rsidRDefault="00925DF3" w:rsidP="00925DF3">
            <w:pPr>
              <w:spacing w:before="60" w:after="60"/>
              <w:jc w:val="left"/>
            </w:pPr>
            <w:r w:rsidRPr="00942B4C">
              <w:t>R-125/143a/134a (44.0/52.0/4.0)</w:t>
            </w:r>
          </w:p>
        </w:tc>
      </w:tr>
      <w:tr w:rsidR="00925DF3" w:rsidRPr="00923150" w14:paraId="6E274A43" w14:textId="77777777" w:rsidTr="00390AC1">
        <w:trPr>
          <w:trHeight w:val="456"/>
        </w:trPr>
        <w:tc>
          <w:tcPr>
            <w:tcW w:w="4500" w:type="dxa"/>
            <w:vAlign w:val="center"/>
          </w:tcPr>
          <w:p w14:paraId="67EA27B3" w14:textId="4CC3B7B0" w:rsidR="00925DF3" w:rsidRPr="00521292" w:rsidRDefault="00925DF3" w:rsidP="00390AC1">
            <w:pPr>
              <w:spacing w:before="60" w:after="60"/>
              <w:ind w:left="34"/>
              <w:jc w:val="center"/>
            </w:pPr>
            <w:r w:rsidRPr="00942B4C">
              <w:t>406A</w:t>
            </w:r>
          </w:p>
        </w:tc>
        <w:tc>
          <w:tcPr>
            <w:tcW w:w="5139" w:type="dxa"/>
            <w:vAlign w:val="center"/>
          </w:tcPr>
          <w:p w14:paraId="1D01EE7F" w14:textId="16F6AFDB" w:rsidR="00925DF3" w:rsidRPr="00B75B79" w:rsidRDefault="00925DF3" w:rsidP="00925DF3">
            <w:pPr>
              <w:spacing w:before="60" w:after="60"/>
              <w:jc w:val="left"/>
            </w:pPr>
            <w:r w:rsidRPr="00942B4C">
              <w:t>R-22/600a/142b (55.0/4.0/41.0)</w:t>
            </w:r>
          </w:p>
        </w:tc>
      </w:tr>
      <w:tr w:rsidR="00925DF3" w:rsidRPr="00923150" w14:paraId="19A366D5" w14:textId="77777777" w:rsidTr="00390AC1">
        <w:trPr>
          <w:trHeight w:val="456"/>
        </w:trPr>
        <w:tc>
          <w:tcPr>
            <w:tcW w:w="4500" w:type="dxa"/>
            <w:vAlign w:val="center"/>
          </w:tcPr>
          <w:p w14:paraId="352316A6" w14:textId="6355171F" w:rsidR="00925DF3" w:rsidRPr="00521292" w:rsidRDefault="00925DF3" w:rsidP="00390AC1">
            <w:pPr>
              <w:spacing w:before="60" w:after="60"/>
              <w:ind w:left="34"/>
              <w:jc w:val="center"/>
            </w:pPr>
            <w:r w:rsidRPr="00942B4C">
              <w:t>407C</w:t>
            </w:r>
          </w:p>
        </w:tc>
        <w:tc>
          <w:tcPr>
            <w:tcW w:w="5139" w:type="dxa"/>
            <w:vAlign w:val="center"/>
          </w:tcPr>
          <w:p w14:paraId="1E28ADE2" w14:textId="075F8BF3" w:rsidR="00925DF3" w:rsidRPr="00B75B79" w:rsidRDefault="00925DF3" w:rsidP="00925DF3">
            <w:pPr>
              <w:spacing w:before="60" w:after="60"/>
              <w:jc w:val="left"/>
            </w:pPr>
            <w:r w:rsidRPr="00942B4C">
              <w:t>R-32/125/134a (23.0/25.0/52.0)</w:t>
            </w:r>
          </w:p>
        </w:tc>
      </w:tr>
      <w:tr w:rsidR="00925DF3" w:rsidRPr="00923150" w14:paraId="76DB2A8A" w14:textId="77777777" w:rsidTr="00390AC1">
        <w:trPr>
          <w:trHeight w:val="456"/>
        </w:trPr>
        <w:tc>
          <w:tcPr>
            <w:tcW w:w="4500" w:type="dxa"/>
            <w:vAlign w:val="center"/>
          </w:tcPr>
          <w:p w14:paraId="211EC2BA" w14:textId="223B131B" w:rsidR="00925DF3" w:rsidRPr="00C179F1" w:rsidRDefault="00925DF3" w:rsidP="00390AC1">
            <w:pPr>
              <w:spacing w:before="60" w:after="60"/>
              <w:ind w:left="34"/>
              <w:jc w:val="center"/>
            </w:pPr>
            <w:r w:rsidRPr="00C826D7">
              <w:t>407F</w:t>
            </w:r>
          </w:p>
        </w:tc>
        <w:tc>
          <w:tcPr>
            <w:tcW w:w="5139" w:type="dxa"/>
            <w:vAlign w:val="center"/>
          </w:tcPr>
          <w:p w14:paraId="342126D3" w14:textId="4F58C18F" w:rsidR="00925DF3" w:rsidRPr="00C179F1" w:rsidRDefault="00925DF3" w:rsidP="00925DF3">
            <w:pPr>
              <w:spacing w:before="60" w:after="60"/>
              <w:jc w:val="left"/>
            </w:pPr>
            <w:r w:rsidRPr="00C826D7">
              <w:t>R-32/125/134a (30.0/30.0/40.0)</w:t>
            </w:r>
          </w:p>
        </w:tc>
      </w:tr>
      <w:tr w:rsidR="00925DF3" w:rsidRPr="00923150" w14:paraId="14984651" w14:textId="77777777" w:rsidTr="00390AC1">
        <w:trPr>
          <w:trHeight w:val="456"/>
        </w:trPr>
        <w:tc>
          <w:tcPr>
            <w:tcW w:w="4500" w:type="dxa"/>
            <w:vAlign w:val="center"/>
          </w:tcPr>
          <w:p w14:paraId="7BF3A529" w14:textId="1B06611F" w:rsidR="00925DF3" w:rsidRPr="00C179F1" w:rsidRDefault="00925DF3" w:rsidP="00390AC1">
            <w:pPr>
              <w:spacing w:before="60" w:after="60"/>
              <w:ind w:left="34"/>
              <w:jc w:val="center"/>
            </w:pPr>
            <w:r w:rsidRPr="00C826D7">
              <w:t>408A</w:t>
            </w:r>
          </w:p>
        </w:tc>
        <w:tc>
          <w:tcPr>
            <w:tcW w:w="5139" w:type="dxa"/>
            <w:vAlign w:val="center"/>
          </w:tcPr>
          <w:p w14:paraId="4D140889" w14:textId="5EC89164" w:rsidR="00925DF3" w:rsidRPr="00C179F1" w:rsidRDefault="00925DF3" w:rsidP="00925DF3">
            <w:pPr>
              <w:spacing w:before="60" w:after="60"/>
              <w:jc w:val="left"/>
            </w:pPr>
            <w:r w:rsidRPr="00C826D7">
              <w:t>R-125/143a/22 (7.0/46.0/47.0)</w:t>
            </w:r>
          </w:p>
        </w:tc>
      </w:tr>
      <w:tr w:rsidR="00925DF3" w:rsidRPr="00923150" w14:paraId="27C7AE81" w14:textId="77777777" w:rsidTr="00390AC1">
        <w:trPr>
          <w:trHeight w:val="456"/>
        </w:trPr>
        <w:tc>
          <w:tcPr>
            <w:tcW w:w="4500" w:type="dxa"/>
            <w:vAlign w:val="center"/>
          </w:tcPr>
          <w:p w14:paraId="32E1ECB2" w14:textId="4F7E8CD5" w:rsidR="00925DF3" w:rsidRPr="00C179F1" w:rsidRDefault="00925DF3" w:rsidP="00390AC1">
            <w:pPr>
              <w:spacing w:before="60" w:after="60"/>
              <w:ind w:left="34"/>
              <w:jc w:val="center"/>
            </w:pPr>
            <w:r w:rsidRPr="00C826D7">
              <w:t>409A</w:t>
            </w:r>
          </w:p>
        </w:tc>
        <w:tc>
          <w:tcPr>
            <w:tcW w:w="5139" w:type="dxa"/>
            <w:vAlign w:val="center"/>
          </w:tcPr>
          <w:p w14:paraId="20423A6A" w14:textId="44EDA99C" w:rsidR="00925DF3" w:rsidRPr="00C179F1" w:rsidRDefault="00925DF3" w:rsidP="00925DF3">
            <w:pPr>
              <w:spacing w:before="60" w:after="60"/>
              <w:jc w:val="left"/>
            </w:pPr>
            <w:r w:rsidRPr="00C826D7">
              <w:t>R-22/124/142b (60.0/25.0/15.0)</w:t>
            </w:r>
          </w:p>
        </w:tc>
      </w:tr>
      <w:tr w:rsidR="00925DF3" w:rsidRPr="00923150" w14:paraId="05CA76F9" w14:textId="77777777" w:rsidTr="00390AC1">
        <w:trPr>
          <w:trHeight w:val="456"/>
        </w:trPr>
        <w:tc>
          <w:tcPr>
            <w:tcW w:w="4500" w:type="dxa"/>
            <w:vAlign w:val="center"/>
          </w:tcPr>
          <w:p w14:paraId="359607FB" w14:textId="6C90A487" w:rsidR="00925DF3" w:rsidRPr="00C179F1" w:rsidRDefault="00925DF3" w:rsidP="00390AC1">
            <w:pPr>
              <w:spacing w:before="60" w:after="60"/>
              <w:ind w:left="34"/>
              <w:jc w:val="center"/>
            </w:pPr>
            <w:r w:rsidRPr="00C826D7">
              <w:t>409B</w:t>
            </w:r>
          </w:p>
        </w:tc>
        <w:tc>
          <w:tcPr>
            <w:tcW w:w="5139" w:type="dxa"/>
            <w:vAlign w:val="center"/>
          </w:tcPr>
          <w:p w14:paraId="57BCEC84" w14:textId="0404CD9A" w:rsidR="00925DF3" w:rsidRPr="00C179F1" w:rsidRDefault="00925DF3" w:rsidP="00925DF3">
            <w:pPr>
              <w:spacing w:before="60" w:after="60"/>
              <w:jc w:val="left"/>
            </w:pPr>
            <w:r w:rsidRPr="00C826D7">
              <w:t>R-22/124/142b (65.0/25.0/10.0)</w:t>
            </w:r>
          </w:p>
        </w:tc>
      </w:tr>
      <w:tr w:rsidR="00925DF3" w:rsidRPr="00923150" w14:paraId="30F0361F" w14:textId="77777777" w:rsidTr="00390AC1">
        <w:trPr>
          <w:trHeight w:val="456"/>
        </w:trPr>
        <w:tc>
          <w:tcPr>
            <w:tcW w:w="4500" w:type="dxa"/>
            <w:vAlign w:val="center"/>
          </w:tcPr>
          <w:p w14:paraId="22F02B02" w14:textId="4750387B" w:rsidR="00925DF3" w:rsidRPr="00C179F1" w:rsidRDefault="00925DF3" w:rsidP="00390AC1">
            <w:pPr>
              <w:spacing w:before="60" w:after="60"/>
              <w:ind w:left="34"/>
              <w:jc w:val="center"/>
            </w:pPr>
            <w:r w:rsidRPr="00C826D7">
              <w:t>410A</w:t>
            </w:r>
          </w:p>
        </w:tc>
        <w:tc>
          <w:tcPr>
            <w:tcW w:w="5139" w:type="dxa"/>
            <w:vAlign w:val="center"/>
          </w:tcPr>
          <w:p w14:paraId="72AEA4AB" w14:textId="6B938E9D" w:rsidR="00925DF3" w:rsidRPr="00C179F1" w:rsidRDefault="00925DF3" w:rsidP="00925DF3">
            <w:pPr>
              <w:spacing w:before="60" w:after="60"/>
              <w:jc w:val="left"/>
            </w:pPr>
            <w:r w:rsidRPr="00C826D7">
              <w:t>R-32/125 (50.0/50.0)</w:t>
            </w:r>
          </w:p>
        </w:tc>
      </w:tr>
      <w:tr w:rsidR="00925DF3" w:rsidRPr="00923150" w14:paraId="6107B758" w14:textId="77777777" w:rsidTr="00390AC1">
        <w:trPr>
          <w:trHeight w:val="456"/>
        </w:trPr>
        <w:tc>
          <w:tcPr>
            <w:tcW w:w="4500" w:type="dxa"/>
            <w:vAlign w:val="center"/>
          </w:tcPr>
          <w:p w14:paraId="36049A25" w14:textId="4341D814" w:rsidR="00925DF3" w:rsidRPr="00C179F1" w:rsidRDefault="00925DF3" w:rsidP="00390AC1">
            <w:pPr>
              <w:spacing w:before="60" w:after="60"/>
              <w:ind w:left="34"/>
              <w:jc w:val="center"/>
            </w:pPr>
            <w:r w:rsidRPr="00743009">
              <w:t>436A</w:t>
            </w:r>
          </w:p>
        </w:tc>
        <w:tc>
          <w:tcPr>
            <w:tcW w:w="5139" w:type="dxa"/>
            <w:vAlign w:val="center"/>
          </w:tcPr>
          <w:p w14:paraId="699A56FA" w14:textId="500B5AFF" w:rsidR="00925DF3" w:rsidRPr="00C179F1" w:rsidRDefault="00925DF3" w:rsidP="00925DF3">
            <w:pPr>
              <w:spacing w:before="60" w:after="60"/>
              <w:jc w:val="left"/>
            </w:pPr>
            <w:r w:rsidRPr="00743009">
              <w:t>R-290/600a (56.0/44.0)</w:t>
            </w:r>
          </w:p>
        </w:tc>
      </w:tr>
      <w:tr w:rsidR="00925DF3" w:rsidRPr="00923150" w14:paraId="7921D319" w14:textId="77777777" w:rsidTr="00390AC1">
        <w:trPr>
          <w:trHeight w:val="456"/>
        </w:trPr>
        <w:tc>
          <w:tcPr>
            <w:tcW w:w="4500" w:type="dxa"/>
            <w:tcBorders>
              <w:bottom w:val="single" w:sz="4" w:space="0" w:color="000000"/>
            </w:tcBorders>
            <w:vAlign w:val="center"/>
          </w:tcPr>
          <w:p w14:paraId="10FD5326" w14:textId="5EAEB968" w:rsidR="00925DF3" w:rsidRPr="00C179F1" w:rsidRDefault="00925DF3" w:rsidP="00390AC1">
            <w:pPr>
              <w:spacing w:before="60" w:after="60"/>
              <w:ind w:left="34"/>
              <w:jc w:val="center"/>
            </w:pPr>
            <w:r w:rsidRPr="00743009">
              <w:t>436B</w:t>
            </w:r>
          </w:p>
        </w:tc>
        <w:tc>
          <w:tcPr>
            <w:tcW w:w="5139" w:type="dxa"/>
            <w:tcBorders>
              <w:bottom w:val="single" w:sz="4" w:space="0" w:color="000000"/>
            </w:tcBorders>
            <w:vAlign w:val="center"/>
          </w:tcPr>
          <w:p w14:paraId="616BA18F" w14:textId="700BC3A3" w:rsidR="00925DF3" w:rsidRPr="00C179F1" w:rsidRDefault="00925DF3" w:rsidP="00925DF3">
            <w:pPr>
              <w:spacing w:before="60" w:after="60"/>
              <w:jc w:val="left"/>
            </w:pPr>
            <w:r w:rsidRPr="00743009">
              <w:t>R-290/600a (52.0/48.0)</w:t>
            </w:r>
          </w:p>
        </w:tc>
      </w:tr>
      <w:tr w:rsidR="00925DF3" w:rsidRPr="00923150" w14:paraId="0800E7BD" w14:textId="77777777" w:rsidTr="00390AC1">
        <w:trPr>
          <w:trHeight w:val="456"/>
        </w:trPr>
        <w:tc>
          <w:tcPr>
            <w:tcW w:w="9639" w:type="dxa"/>
            <w:gridSpan w:val="2"/>
            <w:shd w:val="clear" w:color="auto" w:fill="CCFFFF"/>
            <w:vAlign w:val="center"/>
          </w:tcPr>
          <w:p w14:paraId="518575B1" w14:textId="0D35AB6E" w:rsidR="00925DF3" w:rsidRPr="00C179F1" w:rsidRDefault="00925DF3" w:rsidP="001672F5">
            <w:pPr>
              <w:spacing w:before="60" w:after="60"/>
              <w:jc w:val="center"/>
            </w:pPr>
            <w:r w:rsidRPr="00925DF3">
              <w:t xml:space="preserve">Refrigerant </w:t>
            </w:r>
            <w:r w:rsidR="001672F5">
              <w:t>b</w:t>
            </w:r>
            <w:r w:rsidRPr="00925DF3">
              <w:t xml:space="preserve">lends: </w:t>
            </w:r>
            <w:r>
              <w:t>Azeotropes</w:t>
            </w:r>
          </w:p>
        </w:tc>
      </w:tr>
      <w:tr w:rsidR="00925DF3" w:rsidRPr="00923150" w14:paraId="24B6465B" w14:textId="77777777" w:rsidTr="00390AC1">
        <w:trPr>
          <w:trHeight w:val="456"/>
        </w:trPr>
        <w:tc>
          <w:tcPr>
            <w:tcW w:w="4500" w:type="dxa"/>
            <w:vAlign w:val="center"/>
          </w:tcPr>
          <w:p w14:paraId="2CACC7E8" w14:textId="4E7B4211" w:rsidR="00925DF3" w:rsidRPr="00876FAE" w:rsidRDefault="00925DF3" w:rsidP="001672F5">
            <w:pPr>
              <w:spacing w:before="60" w:after="60"/>
              <w:ind w:left="34"/>
              <w:jc w:val="center"/>
            </w:pPr>
            <w:r w:rsidRPr="00023DE7">
              <w:t>507A</w:t>
            </w:r>
          </w:p>
        </w:tc>
        <w:tc>
          <w:tcPr>
            <w:tcW w:w="5139" w:type="dxa"/>
            <w:vAlign w:val="center"/>
          </w:tcPr>
          <w:p w14:paraId="7B7DD08A" w14:textId="69A2585F" w:rsidR="00925DF3" w:rsidRPr="00876FAE" w:rsidRDefault="00925DF3" w:rsidP="00925DF3">
            <w:pPr>
              <w:spacing w:before="60" w:after="60"/>
              <w:jc w:val="left"/>
            </w:pPr>
            <w:r w:rsidRPr="00023DE7">
              <w:t>R-125/143a (50.0/50.0)</w:t>
            </w:r>
          </w:p>
        </w:tc>
      </w:tr>
    </w:tbl>
    <w:p w14:paraId="2AC8FA7A" w14:textId="77777777" w:rsidR="001672F5" w:rsidRPr="005169C2" w:rsidRDefault="001672F5" w:rsidP="00D05A74">
      <w:pPr>
        <w:pStyle w:val="ListParagraph"/>
        <w:numPr>
          <w:ilvl w:val="0"/>
          <w:numId w:val="16"/>
        </w:numPr>
        <w:spacing w:before="60" w:after="0" w:line="240" w:lineRule="auto"/>
        <w:contextualSpacing w:val="0"/>
        <w:jc w:val="both"/>
        <w:rPr>
          <w:rFonts w:ascii="Times New Roman" w:hAnsi="Times New Roman"/>
          <w:sz w:val="20"/>
          <w:szCs w:val="20"/>
        </w:rPr>
      </w:pPr>
      <w:r w:rsidRPr="005169C2">
        <w:rPr>
          <w:rFonts w:ascii="Times New Roman" w:hAnsi="Times New Roman"/>
          <w:sz w:val="20"/>
          <w:szCs w:val="20"/>
        </w:rPr>
        <w:t>The contents of this table is from ANSI/ASHRAE 34-2010, Designation and Safety Classification of Refrigerant, which is published on the ASHRAE website.</w:t>
      </w:r>
    </w:p>
    <w:p w14:paraId="44FE9A9B" w14:textId="77777777" w:rsidR="00220AB1" w:rsidRDefault="00220AB1" w:rsidP="00220AB1"/>
    <w:p w14:paraId="01C128B8" w14:textId="77777777" w:rsidR="00D37A89" w:rsidRDefault="00D37A89" w:rsidP="00D060B6">
      <w:pPr>
        <w:rPr>
          <w:i/>
          <w:szCs w:val="22"/>
        </w:rPr>
      </w:pPr>
    </w:p>
    <w:p w14:paraId="08B1D539" w14:textId="77777777" w:rsidR="00EF7EDD" w:rsidRDefault="00EF7EDD">
      <w:pPr>
        <w:spacing w:before="0"/>
        <w:jc w:val="left"/>
        <w:rPr>
          <w:i/>
          <w:szCs w:val="22"/>
        </w:rPr>
      </w:pPr>
      <w:r>
        <w:rPr>
          <w:i/>
          <w:szCs w:val="22"/>
        </w:rPr>
        <w:br w:type="page"/>
      </w:r>
    </w:p>
    <w:p w14:paraId="1F64E10F" w14:textId="164C5050" w:rsidR="00D060B6" w:rsidRPr="00D16B26" w:rsidRDefault="00D060B6" w:rsidP="00D060B6">
      <w:pPr>
        <w:rPr>
          <w:i/>
          <w:szCs w:val="22"/>
        </w:rPr>
      </w:pPr>
      <w:bookmarkStart w:id="108" w:name="_Toc233084082"/>
      <w:r w:rsidRPr="00D16B26">
        <w:rPr>
          <w:i/>
          <w:szCs w:val="22"/>
        </w:rPr>
        <w:lastRenderedPageBreak/>
        <w:t xml:space="preserve">Table </w:t>
      </w:r>
      <w:r w:rsidRPr="00D16B26">
        <w:rPr>
          <w:i/>
          <w:szCs w:val="22"/>
        </w:rPr>
        <w:fldChar w:fldCharType="begin"/>
      </w:r>
      <w:r w:rsidRPr="00D16B26">
        <w:rPr>
          <w:i/>
          <w:szCs w:val="22"/>
        </w:rPr>
        <w:instrText xml:space="preserve"> SEQ Table \* ARABIC </w:instrText>
      </w:r>
      <w:r w:rsidRPr="00D16B26">
        <w:rPr>
          <w:i/>
          <w:szCs w:val="22"/>
        </w:rPr>
        <w:fldChar w:fldCharType="separate"/>
      </w:r>
      <w:r w:rsidR="00196462">
        <w:rPr>
          <w:i/>
          <w:noProof/>
          <w:szCs w:val="22"/>
        </w:rPr>
        <w:t>38</w:t>
      </w:r>
      <w:r w:rsidRPr="00D16B26">
        <w:rPr>
          <w:i/>
          <w:szCs w:val="22"/>
        </w:rPr>
        <w:fldChar w:fldCharType="end"/>
      </w:r>
      <w:r w:rsidRPr="00D16B26">
        <w:rPr>
          <w:i/>
          <w:szCs w:val="22"/>
        </w:rPr>
        <w:t xml:space="preserve">: </w:t>
      </w:r>
      <w:r w:rsidRPr="00D060B6">
        <w:rPr>
          <w:i/>
          <w:szCs w:val="22"/>
        </w:rPr>
        <w:t>Indirect (scope 2) emission factors from consumption of purchased electricity from a grid</w:t>
      </w:r>
      <w:bookmarkEnd w:id="108"/>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268"/>
        <w:gridCol w:w="2268"/>
        <w:gridCol w:w="2268"/>
      </w:tblGrid>
      <w:tr w:rsidR="00922054" w:rsidRPr="00922054" w14:paraId="255AD976" w14:textId="77777777" w:rsidTr="00922054">
        <w:trPr>
          <w:trHeight w:val="456"/>
        </w:trPr>
        <w:tc>
          <w:tcPr>
            <w:tcW w:w="2835" w:type="dxa"/>
            <w:tcBorders>
              <w:top w:val="single" w:sz="4" w:space="0" w:color="000000"/>
              <w:right w:val="single" w:sz="4" w:space="0" w:color="FFFFFF" w:themeColor="background1"/>
            </w:tcBorders>
            <w:shd w:val="clear" w:color="auto" w:fill="000000"/>
            <w:vAlign w:val="center"/>
          </w:tcPr>
          <w:p w14:paraId="7C1ABF6F" w14:textId="77777777" w:rsidR="00D060B6" w:rsidRPr="003E19E1" w:rsidRDefault="00D060B6" w:rsidP="00D060B6">
            <w:pPr>
              <w:spacing w:before="60" w:after="60"/>
              <w:jc w:val="left"/>
            </w:pPr>
            <w:r w:rsidRPr="003E19E1">
              <w:t>Category code</w:t>
            </w:r>
          </w:p>
        </w:tc>
        <w:tc>
          <w:tcPr>
            <w:tcW w:w="2268"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292EEE00" w14:textId="3A7B5369" w:rsidR="00D060B6" w:rsidRPr="00922054" w:rsidRDefault="00D060B6" w:rsidP="00922054">
            <w:pPr>
              <w:spacing w:before="60" w:after="60"/>
              <w:jc w:val="center"/>
              <w:rPr>
                <w:rFonts w:cs="Times New Roman"/>
                <w:szCs w:val="22"/>
              </w:rPr>
            </w:pPr>
            <w:r w:rsidRPr="00922054">
              <w:rPr>
                <w:rFonts w:eastAsia="Times New Roman" w:cs="Times New Roman"/>
                <w:color w:val="FFFFFF"/>
                <w:szCs w:val="22"/>
              </w:rPr>
              <w:t xml:space="preserve">Population by </w:t>
            </w:r>
            <w:r w:rsidR="00922054">
              <w:rPr>
                <w:rFonts w:eastAsia="Times New Roman" w:cs="Times New Roman"/>
                <w:color w:val="FFFFFF"/>
                <w:szCs w:val="22"/>
              </w:rPr>
              <w:t>S</w:t>
            </w:r>
            <w:r w:rsidRPr="00922054">
              <w:rPr>
                <w:rFonts w:eastAsia="Times New Roman" w:cs="Times New Roman"/>
                <w:color w:val="FFFFFF"/>
                <w:szCs w:val="22"/>
              </w:rPr>
              <w:t>tate</w:t>
            </w:r>
          </w:p>
        </w:tc>
        <w:tc>
          <w:tcPr>
            <w:tcW w:w="2268"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086D4667" w14:textId="16CDE139" w:rsidR="00D060B6" w:rsidRPr="00922054" w:rsidRDefault="00D060B6" w:rsidP="00922054">
            <w:pPr>
              <w:spacing w:before="60" w:after="60"/>
              <w:jc w:val="center"/>
              <w:rPr>
                <w:rFonts w:cs="Times New Roman"/>
                <w:szCs w:val="22"/>
              </w:rPr>
            </w:pPr>
            <w:r w:rsidRPr="00922054">
              <w:rPr>
                <w:rFonts w:eastAsia="Times New Roman" w:cs="Times New Roman"/>
                <w:color w:val="FFFFFF"/>
                <w:szCs w:val="22"/>
              </w:rPr>
              <w:t xml:space="preserve">% by </w:t>
            </w:r>
            <w:r w:rsidR="00922054">
              <w:rPr>
                <w:rFonts w:eastAsia="Times New Roman" w:cs="Times New Roman"/>
                <w:color w:val="FFFFFF"/>
                <w:szCs w:val="22"/>
              </w:rPr>
              <w:t>S</w:t>
            </w:r>
            <w:r w:rsidRPr="00922054">
              <w:rPr>
                <w:rFonts w:eastAsia="Times New Roman" w:cs="Times New Roman"/>
                <w:color w:val="FFFFFF"/>
                <w:szCs w:val="22"/>
              </w:rPr>
              <w:t>tate</w:t>
            </w:r>
          </w:p>
        </w:tc>
        <w:tc>
          <w:tcPr>
            <w:tcW w:w="2268" w:type="dxa"/>
            <w:tcBorders>
              <w:top w:val="single" w:sz="4" w:space="0" w:color="000000"/>
              <w:left w:val="single" w:sz="4" w:space="0" w:color="FFFFFF" w:themeColor="background1"/>
            </w:tcBorders>
            <w:shd w:val="clear" w:color="auto" w:fill="000000"/>
            <w:vAlign w:val="center"/>
          </w:tcPr>
          <w:p w14:paraId="63328D12" w14:textId="2801F377" w:rsidR="00D060B6" w:rsidRPr="00922054" w:rsidRDefault="00D060B6" w:rsidP="00922054">
            <w:pPr>
              <w:spacing w:before="60" w:after="60"/>
              <w:jc w:val="center"/>
              <w:rPr>
                <w:rFonts w:cs="Times New Roman"/>
                <w:szCs w:val="22"/>
              </w:rPr>
            </w:pPr>
            <w:r w:rsidRPr="00922054">
              <w:rPr>
                <w:rFonts w:eastAsia="Times New Roman" w:cs="Times New Roman"/>
                <w:color w:val="FFFFFF"/>
                <w:szCs w:val="22"/>
              </w:rPr>
              <w:t xml:space="preserve">Emission factors </w:t>
            </w:r>
            <w:r w:rsidR="00922054">
              <w:rPr>
                <w:rFonts w:eastAsia="Times New Roman" w:cs="Times New Roman"/>
                <w:color w:val="FFFFFF"/>
                <w:szCs w:val="22"/>
              </w:rPr>
              <w:t xml:space="preserve">        </w:t>
            </w:r>
            <w:r w:rsidRPr="00922054">
              <w:rPr>
                <w:rFonts w:eastAsia="Times New Roman" w:cs="Times New Roman"/>
                <w:color w:val="FFFFFF"/>
                <w:szCs w:val="22"/>
              </w:rPr>
              <w:t>(kg CO</w:t>
            </w:r>
            <w:r w:rsidRPr="00922054">
              <w:rPr>
                <w:rFonts w:eastAsia="Times New Roman" w:cs="Times New Roman"/>
                <w:color w:val="FFFFFF"/>
                <w:szCs w:val="22"/>
                <w:vertAlign w:val="subscript"/>
              </w:rPr>
              <w:t>2</w:t>
            </w:r>
            <w:r w:rsidRPr="00922054">
              <w:rPr>
                <w:rFonts w:eastAsia="Times New Roman" w:cs="Times New Roman"/>
                <w:color w:val="FFFFFF"/>
                <w:szCs w:val="22"/>
              </w:rPr>
              <w:t>-e/kWh)</w:t>
            </w:r>
          </w:p>
        </w:tc>
      </w:tr>
      <w:tr w:rsidR="00922054" w:rsidRPr="00923150" w14:paraId="2F53F6BC" w14:textId="77777777" w:rsidTr="00922054">
        <w:trPr>
          <w:trHeight w:val="456"/>
        </w:trPr>
        <w:tc>
          <w:tcPr>
            <w:tcW w:w="2835" w:type="dxa"/>
            <w:tcBorders>
              <w:top w:val="single" w:sz="4" w:space="0" w:color="000000"/>
            </w:tcBorders>
            <w:vAlign w:val="center"/>
          </w:tcPr>
          <w:p w14:paraId="29554941" w14:textId="778AAFC8" w:rsidR="00D060B6" w:rsidRDefault="00D060B6" w:rsidP="00D060B6">
            <w:pPr>
              <w:spacing w:before="60" w:after="60"/>
              <w:jc w:val="left"/>
              <w:rPr>
                <w:sz w:val="20"/>
              </w:rPr>
            </w:pPr>
            <w:r w:rsidRPr="00C65277">
              <w:t>New South Wales</w:t>
            </w:r>
          </w:p>
        </w:tc>
        <w:tc>
          <w:tcPr>
            <w:tcW w:w="2268" w:type="dxa"/>
            <w:tcBorders>
              <w:top w:val="single" w:sz="4" w:space="0" w:color="000000"/>
            </w:tcBorders>
            <w:vAlign w:val="center"/>
          </w:tcPr>
          <w:p w14:paraId="47E7FDBB" w14:textId="2A122FB5" w:rsidR="00D060B6" w:rsidRDefault="00D060B6" w:rsidP="00922054">
            <w:pPr>
              <w:spacing w:before="60" w:after="60"/>
              <w:jc w:val="center"/>
              <w:rPr>
                <w:sz w:val="20"/>
              </w:rPr>
            </w:pPr>
            <w:r w:rsidRPr="00C65277">
              <w:t>7,290.3</w:t>
            </w:r>
          </w:p>
        </w:tc>
        <w:tc>
          <w:tcPr>
            <w:tcW w:w="2268" w:type="dxa"/>
            <w:tcBorders>
              <w:top w:val="single" w:sz="4" w:space="0" w:color="000000"/>
            </w:tcBorders>
            <w:vAlign w:val="center"/>
          </w:tcPr>
          <w:p w14:paraId="29FDD4D6" w14:textId="6D009BBE" w:rsidR="00D060B6" w:rsidRPr="008343EF" w:rsidRDefault="00D060B6" w:rsidP="00922054">
            <w:pPr>
              <w:spacing w:before="60" w:after="60"/>
              <w:jc w:val="center"/>
              <w:rPr>
                <w:sz w:val="20"/>
              </w:rPr>
            </w:pPr>
            <w:r w:rsidRPr="00C65277">
              <w:t>32%</w:t>
            </w:r>
          </w:p>
        </w:tc>
        <w:tc>
          <w:tcPr>
            <w:tcW w:w="2268" w:type="dxa"/>
            <w:tcBorders>
              <w:top w:val="single" w:sz="4" w:space="0" w:color="000000"/>
            </w:tcBorders>
            <w:vAlign w:val="center"/>
          </w:tcPr>
          <w:p w14:paraId="09DAF0C9" w14:textId="4C309FD2" w:rsidR="00D060B6" w:rsidRPr="00923150" w:rsidRDefault="00D060B6" w:rsidP="00922054">
            <w:pPr>
              <w:spacing w:before="60" w:after="60"/>
              <w:jc w:val="center"/>
              <w:rPr>
                <w:sz w:val="20"/>
              </w:rPr>
            </w:pPr>
            <w:r w:rsidRPr="00C65277">
              <w:t>0.88</w:t>
            </w:r>
          </w:p>
        </w:tc>
      </w:tr>
      <w:tr w:rsidR="00922054" w:rsidRPr="00923150" w14:paraId="6A928044" w14:textId="77777777" w:rsidTr="00922054">
        <w:trPr>
          <w:trHeight w:val="456"/>
        </w:trPr>
        <w:tc>
          <w:tcPr>
            <w:tcW w:w="2835" w:type="dxa"/>
            <w:tcBorders>
              <w:top w:val="single" w:sz="4" w:space="0" w:color="000000"/>
            </w:tcBorders>
            <w:vAlign w:val="center"/>
          </w:tcPr>
          <w:p w14:paraId="432D481D" w14:textId="69C463AE" w:rsidR="00D060B6" w:rsidRDefault="00D060B6" w:rsidP="00D060B6">
            <w:pPr>
              <w:spacing w:before="60" w:after="60"/>
              <w:jc w:val="left"/>
              <w:rPr>
                <w:sz w:val="20"/>
              </w:rPr>
            </w:pPr>
            <w:r w:rsidRPr="00C65277">
              <w:t>Victoria</w:t>
            </w:r>
          </w:p>
        </w:tc>
        <w:tc>
          <w:tcPr>
            <w:tcW w:w="2268" w:type="dxa"/>
            <w:tcBorders>
              <w:top w:val="single" w:sz="4" w:space="0" w:color="000000"/>
            </w:tcBorders>
            <w:vAlign w:val="center"/>
          </w:tcPr>
          <w:p w14:paraId="3B3454C1" w14:textId="28165C6A" w:rsidR="00D060B6" w:rsidRDefault="00D060B6" w:rsidP="00922054">
            <w:pPr>
              <w:spacing w:before="60" w:after="60"/>
              <w:jc w:val="center"/>
              <w:rPr>
                <w:sz w:val="20"/>
              </w:rPr>
            </w:pPr>
            <w:r w:rsidRPr="00C65277">
              <w:t>5,623.5</w:t>
            </w:r>
          </w:p>
        </w:tc>
        <w:tc>
          <w:tcPr>
            <w:tcW w:w="2268" w:type="dxa"/>
            <w:tcBorders>
              <w:top w:val="single" w:sz="4" w:space="0" w:color="000000"/>
            </w:tcBorders>
            <w:vAlign w:val="center"/>
          </w:tcPr>
          <w:p w14:paraId="61A4503F" w14:textId="5803AEF8" w:rsidR="00D060B6" w:rsidRPr="008343EF" w:rsidRDefault="00D060B6" w:rsidP="00922054">
            <w:pPr>
              <w:spacing w:before="60" w:after="60"/>
              <w:jc w:val="center"/>
              <w:rPr>
                <w:sz w:val="20"/>
              </w:rPr>
            </w:pPr>
            <w:r w:rsidRPr="00C65277">
              <w:t>25%</w:t>
            </w:r>
          </w:p>
        </w:tc>
        <w:tc>
          <w:tcPr>
            <w:tcW w:w="2268" w:type="dxa"/>
            <w:tcBorders>
              <w:top w:val="single" w:sz="4" w:space="0" w:color="000000"/>
            </w:tcBorders>
            <w:vAlign w:val="center"/>
          </w:tcPr>
          <w:p w14:paraId="77A75C72" w14:textId="0DEACEB5" w:rsidR="00D060B6" w:rsidRPr="00923150" w:rsidRDefault="00D060B6" w:rsidP="00922054">
            <w:pPr>
              <w:spacing w:before="60" w:after="60"/>
              <w:jc w:val="center"/>
              <w:rPr>
                <w:sz w:val="20"/>
              </w:rPr>
            </w:pPr>
            <w:r w:rsidRPr="00C65277">
              <w:t>1.19</w:t>
            </w:r>
          </w:p>
        </w:tc>
      </w:tr>
      <w:tr w:rsidR="00922054" w:rsidRPr="00923150" w14:paraId="75BDED7B" w14:textId="77777777" w:rsidTr="00922054">
        <w:trPr>
          <w:trHeight w:val="456"/>
        </w:trPr>
        <w:tc>
          <w:tcPr>
            <w:tcW w:w="2835" w:type="dxa"/>
            <w:tcBorders>
              <w:top w:val="single" w:sz="4" w:space="0" w:color="000000"/>
            </w:tcBorders>
            <w:vAlign w:val="center"/>
          </w:tcPr>
          <w:p w14:paraId="3BBEE8B3" w14:textId="04089D18" w:rsidR="00D060B6" w:rsidRPr="00481C6A" w:rsidRDefault="00D060B6" w:rsidP="00D060B6">
            <w:pPr>
              <w:spacing w:before="60" w:after="60"/>
              <w:jc w:val="left"/>
            </w:pPr>
            <w:r w:rsidRPr="00C65277">
              <w:t>Queensland</w:t>
            </w:r>
          </w:p>
        </w:tc>
        <w:tc>
          <w:tcPr>
            <w:tcW w:w="2268" w:type="dxa"/>
            <w:tcBorders>
              <w:top w:val="single" w:sz="4" w:space="0" w:color="000000"/>
            </w:tcBorders>
            <w:vAlign w:val="center"/>
          </w:tcPr>
          <w:p w14:paraId="25F1FE4F" w14:textId="597F630E" w:rsidR="00D060B6" w:rsidRPr="007A225B" w:rsidRDefault="00D060B6" w:rsidP="00922054">
            <w:pPr>
              <w:spacing w:before="60" w:after="60"/>
              <w:jc w:val="center"/>
            </w:pPr>
            <w:r w:rsidRPr="00C65277">
              <w:t>4,560.1</w:t>
            </w:r>
          </w:p>
        </w:tc>
        <w:tc>
          <w:tcPr>
            <w:tcW w:w="2268" w:type="dxa"/>
            <w:tcBorders>
              <w:top w:val="single" w:sz="4" w:space="0" w:color="000000"/>
            </w:tcBorders>
            <w:vAlign w:val="center"/>
          </w:tcPr>
          <w:p w14:paraId="4FB5EA06" w14:textId="0707F8EA" w:rsidR="00D060B6" w:rsidRPr="00D22FDF" w:rsidRDefault="00D060B6" w:rsidP="00922054">
            <w:pPr>
              <w:spacing w:before="60" w:after="60"/>
              <w:jc w:val="center"/>
            </w:pPr>
            <w:r w:rsidRPr="00C65277">
              <w:t>20%</w:t>
            </w:r>
          </w:p>
        </w:tc>
        <w:tc>
          <w:tcPr>
            <w:tcW w:w="2268" w:type="dxa"/>
            <w:tcBorders>
              <w:top w:val="single" w:sz="4" w:space="0" w:color="000000"/>
            </w:tcBorders>
            <w:vAlign w:val="center"/>
          </w:tcPr>
          <w:p w14:paraId="10DFD368" w14:textId="57E4E0E7" w:rsidR="00D060B6" w:rsidRPr="00F515AE" w:rsidRDefault="00D060B6" w:rsidP="00922054">
            <w:pPr>
              <w:spacing w:before="60" w:after="60"/>
              <w:jc w:val="center"/>
            </w:pPr>
            <w:r w:rsidRPr="00C65277">
              <w:t>0.86</w:t>
            </w:r>
          </w:p>
        </w:tc>
      </w:tr>
      <w:tr w:rsidR="00922054" w:rsidRPr="00923150" w14:paraId="51E34E48" w14:textId="77777777" w:rsidTr="00922054">
        <w:trPr>
          <w:trHeight w:val="456"/>
        </w:trPr>
        <w:tc>
          <w:tcPr>
            <w:tcW w:w="2835" w:type="dxa"/>
            <w:tcBorders>
              <w:top w:val="single" w:sz="4" w:space="0" w:color="000000"/>
            </w:tcBorders>
            <w:vAlign w:val="center"/>
          </w:tcPr>
          <w:p w14:paraId="557397F1" w14:textId="0294EB18" w:rsidR="00D060B6" w:rsidRPr="00481C6A" w:rsidRDefault="00D060B6" w:rsidP="00D060B6">
            <w:pPr>
              <w:spacing w:before="60" w:after="60"/>
              <w:jc w:val="left"/>
            </w:pPr>
            <w:r w:rsidRPr="00C65277">
              <w:t>South Australia</w:t>
            </w:r>
          </w:p>
        </w:tc>
        <w:tc>
          <w:tcPr>
            <w:tcW w:w="2268" w:type="dxa"/>
            <w:tcBorders>
              <w:top w:val="single" w:sz="4" w:space="0" w:color="000000"/>
            </w:tcBorders>
            <w:vAlign w:val="center"/>
          </w:tcPr>
          <w:p w14:paraId="4E98E0B3" w14:textId="260B9DC9" w:rsidR="00D060B6" w:rsidRPr="007A225B" w:rsidRDefault="00D060B6" w:rsidP="00922054">
            <w:pPr>
              <w:spacing w:before="60" w:after="60"/>
              <w:jc w:val="center"/>
            </w:pPr>
            <w:r w:rsidRPr="00C65277">
              <w:t>1,654.8</w:t>
            </w:r>
          </w:p>
        </w:tc>
        <w:tc>
          <w:tcPr>
            <w:tcW w:w="2268" w:type="dxa"/>
            <w:tcBorders>
              <w:top w:val="single" w:sz="4" w:space="0" w:color="000000"/>
            </w:tcBorders>
            <w:vAlign w:val="center"/>
          </w:tcPr>
          <w:p w14:paraId="59F11F4C" w14:textId="26B0E5FD" w:rsidR="00D060B6" w:rsidRPr="00D22FDF" w:rsidRDefault="00D060B6" w:rsidP="00922054">
            <w:pPr>
              <w:spacing w:before="60" w:after="60"/>
              <w:jc w:val="center"/>
            </w:pPr>
            <w:r w:rsidRPr="00C65277">
              <w:t>7%</w:t>
            </w:r>
          </w:p>
        </w:tc>
        <w:tc>
          <w:tcPr>
            <w:tcW w:w="2268" w:type="dxa"/>
            <w:tcBorders>
              <w:top w:val="single" w:sz="4" w:space="0" w:color="000000"/>
            </w:tcBorders>
            <w:vAlign w:val="center"/>
          </w:tcPr>
          <w:p w14:paraId="124A9282" w14:textId="6B73EDB4" w:rsidR="00D060B6" w:rsidRPr="00F515AE" w:rsidRDefault="00D060B6" w:rsidP="00922054">
            <w:pPr>
              <w:spacing w:before="60" w:after="60"/>
              <w:jc w:val="center"/>
            </w:pPr>
            <w:r w:rsidRPr="00C65277">
              <w:t>0.65</w:t>
            </w:r>
          </w:p>
        </w:tc>
      </w:tr>
      <w:tr w:rsidR="00922054" w:rsidRPr="00923150" w14:paraId="3A2DD80A" w14:textId="77777777" w:rsidTr="00922054">
        <w:trPr>
          <w:trHeight w:val="456"/>
        </w:trPr>
        <w:tc>
          <w:tcPr>
            <w:tcW w:w="2835" w:type="dxa"/>
            <w:tcBorders>
              <w:top w:val="single" w:sz="4" w:space="0" w:color="000000"/>
            </w:tcBorders>
            <w:vAlign w:val="center"/>
          </w:tcPr>
          <w:p w14:paraId="7F79DAA8" w14:textId="59730794" w:rsidR="00D060B6" w:rsidRPr="00481C6A" w:rsidRDefault="00D060B6" w:rsidP="00D060B6">
            <w:pPr>
              <w:spacing w:before="60" w:after="60"/>
              <w:jc w:val="left"/>
            </w:pPr>
            <w:r w:rsidRPr="00C65277">
              <w:t>Western Australia</w:t>
            </w:r>
          </w:p>
        </w:tc>
        <w:tc>
          <w:tcPr>
            <w:tcW w:w="2268" w:type="dxa"/>
            <w:tcBorders>
              <w:top w:val="single" w:sz="4" w:space="0" w:color="000000"/>
            </w:tcBorders>
            <w:vAlign w:val="center"/>
          </w:tcPr>
          <w:p w14:paraId="00C65772" w14:textId="2CF695E7" w:rsidR="00D060B6" w:rsidRPr="007A225B" w:rsidRDefault="00D060B6" w:rsidP="00922054">
            <w:pPr>
              <w:spacing w:before="60" w:after="60"/>
              <w:jc w:val="center"/>
            </w:pPr>
            <w:r w:rsidRPr="00C65277">
              <w:t>2,430.3</w:t>
            </w:r>
          </w:p>
        </w:tc>
        <w:tc>
          <w:tcPr>
            <w:tcW w:w="2268" w:type="dxa"/>
            <w:tcBorders>
              <w:top w:val="single" w:sz="4" w:space="0" w:color="000000"/>
            </w:tcBorders>
            <w:vAlign w:val="center"/>
          </w:tcPr>
          <w:p w14:paraId="54155FFE" w14:textId="0AE1904B" w:rsidR="00D060B6" w:rsidRPr="00D22FDF" w:rsidRDefault="00D060B6" w:rsidP="00922054">
            <w:pPr>
              <w:spacing w:before="60" w:after="60"/>
              <w:jc w:val="center"/>
            </w:pPr>
            <w:r w:rsidRPr="00C65277">
              <w:t>11%</w:t>
            </w:r>
          </w:p>
        </w:tc>
        <w:tc>
          <w:tcPr>
            <w:tcW w:w="2268" w:type="dxa"/>
            <w:tcBorders>
              <w:top w:val="single" w:sz="4" w:space="0" w:color="000000"/>
            </w:tcBorders>
            <w:vAlign w:val="center"/>
          </w:tcPr>
          <w:p w14:paraId="53107A3A" w14:textId="0A694AC4" w:rsidR="00D060B6" w:rsidRPr="00F515AE" w:rsidRDefault="00D060B6" w:rsidP="00922054">
            <w:pPr>
              <w:spacing w:before="60" w:after="60"/>
              <w:jc w:val="center"/>
            </w:pPr>
            <w:r w:rsidRPr="00C65277">
              <w:t>0.82</w:t>
            </w:r>
          </w:p>
        </w:tc>
      </w:tr>
      <w:tr w:rsidR="00922054" w:rsidRPr="00923150" w14:paraId="39953AEF" w14:textId="77777777" w:rsidTr="00922054">
        <w:trPr>
          <w:trHeight w:val="456"/>
        </w:trPr>
        <w:tc>
          <w:tcPr>
            <w:tcW w:w="2835" w:type="dxa"/>
            <w:tcBorders>
              <w:top w:val="single" w:sz="4" w:space="0" w:color="000000"/>
            </w:tcBorders>
            <w:vAlign w:val="center"/>
          </w:tcPr>
          <w:p w14:paraId="032E8BF5" w14:textId="0465F98E" w:rsidR="00D060B6" w:rsidRPr="00481C6A" w:rsidRDefault="00D060B6" w:rsidP="00D060B6">
            <w:pPr>
              <w:spacing w:before="60" w:after="60"/>
              <w:jc w:val="left"/>
            </w:pPr>
            <w:r w:rsidRPr="00C65277">
              <w:t>Tasmania</w:t>
            </w:r>
          </w:p>
        </w:tc>
        <w:tc>
          <w:tcPr>
            <w:tcW w:w="2268" w:type="dxa"/>
            <w:tcBorders>
              <w:top w:val="single" w:sz="4" w:space="0" w:color="000000"/>
            </w:tcBorders>
            <w:vAlign w:val="center"/>
          </w:tcPr>
          <w:p w14:paraId="2BBBF52C" w14:textId="5723607A" w:rsidR="00D060B6" w:rsidRPr="007A225B" w:rsidRDefault="00D060B6" w:rsidP="00922054">
            <w:pPr>
              <w:spacing w:before="60" w:after="60"/>
              <w:jc w:val="center"/>
            </w:pPr>
            <w:r w:rsidRPr="00C65277">
              <w:t>512.0</w:t>
            </w:r>
          </w:p>
        </w:tc>
        <w:tc>
          <w:tcPr>
            <w:tcW w:w="2268" w:type="dxa"/>
            <w:tcBorders>
              <w:top w:val="single" w:sz="4" w:space="0" w:color="000000"/>
            </w:tcBorders>
            <w:vAlign w:val="center"/>
          </w:tcPr>
          <w:p w14:paraId="64B9512E" w14:textId="03390263" w:rsidR="00D060B6" w:rsidRPr="00D22FDF" w:rsidRDefault="00D060B6" w:rsidP="00922054">
            <w:pPr>
              <w:spacing w:before="60" w:after="60"/>
              <w:jc w:val="center"/>
            </w:pPr>
            <w:r w:rsidRPr="00C65277">
              <w:t>2%</w:t>
            </w:r>
          </w:p>
        </w:tc>
        <w:tc>
          <w:tcPr>
            <w:tcW w:w="2268" w:type="dxa"/>
            <w:tcBorders>
              <w:top w:val="single" w:sz="4" w:space="0" w:color="000000"/>
            </w:tcBorders>
            <w:vAlign w:val="center"/>
          </w:tcPr>
          <w:p w14:paraId="346C4B65" w14:textId="3D1D502E" w:rsidR="00D060B6" w:rsidRPr="00F515AE" w:rsidRDefault="00D060B6" w:rsidP="00922054">
            <w:pPr>
              <w:spacing w:before="60" w:after="60"/>
              <w:jc w:val="center"/>
            </w:pPr>
            <w:r w:rsidRPr="00C65277">
              <w:t>0.26</w:t>
            </w:r>
          </w:p>
        </w:tc>
      </w:tr>
      <w:tr w:rsidR="00922054" w:rsidRPr="00923150" w14:paraId="48FC27FA" w14:textId="77777777" w:rsidTr="00922054">
        <w:trPr>
          <w:trHeight w:val="456"/>
        </w:trPr>
        <w:tc>
          <w:tcPr>
            <w:tcW w:w="2835" w:type="dxa"/>
            <w:tcBorders>
              <w:top w:val="single" w:sz="4" w:space="0" w:color="000000"/>
            </w:tcBorders>
            <w:vAlign w:val="center"/>
          </w:tcPr>
          <w:p w14:paraId="49416EAC" w14:textId="2899C1BE" w:rsidR="00D060B6" w:rsidRPr="00481C6A" w:rsidRDefault="00D060B6" w:rsidP="00D060B6">
            <w:pPr>
              <w:spacing w:before="60" w:after="60"/>
              <w:jc w:val="left"/>
            </w:pPr>
            <w:r w:rsidRPr="00C65277">
              <w:t>Northern Territory</w:t>
            </w:r>
          </w:p>
        </w:tc>
        <w:tc>
          <w:tcPr>
            <w:tcW w:w="2268" w:type="dxa"/>
            <w:tcBorders>
              <w:top w:val="single" w:sz="4" w:space="0" w:color="000000"/>
            </w:tcBorders>
            <w:vAlign w:val="center"/>
          </w:tcPr>
          <w:p w14:paraId="6E3F9E0A" w14:textId="2DAA5603" w:rsidR="00D060B6" w:rsidRPr="007A225B" w:rsidRDefault="00D060B6" w:rsidP="00922054">
            <w:pPr>
              <w:spacing w:before="60" w:after="60"/>
              <w:jc w:val="center"/>
            </w:pPr>
            <w:r w:rsidRPr="00C65277">
              <w:t>234.8</w:t>
            </w:r>
          </w:p>
        </w:tc>
        <w:tc>
          <w:tcPr>
            <w:tcW w:w="2268" w:type="dxa"/>
            <w:tcBorders>
              <w:top w:val="single" w:sz="4" w:space="0" w:color="000000"/>
            </w:tcBorders>
            <w:vAlign w:val="center"/>
          </w:tcPr>
          <w:p w14:paraId="199ED282" w14:textId="7AB28F92" w:rsidR="00D060B6" w:rsidRPr="00D22FDF" w:rsidRDefault="00D060B6" w:rsidP="00922054">
            <w:pPr>
              <w:spacing w:before="60" w:after="60"/>
              <w:jc w:val="center"/>
            </w:pPr>
            <w:r w:rsidRPr="00C65277">
              <w:t>1%</w:t>
            </w:r>
          </w:p>
        </w:tc>
        <w:tc>
          <w:tcPr>
            <w:tcW w:w="2268" w:type="dxa"/>
            <w:tcBorders>
              <w:top w:val="single" w:sz="4" w:space="0" w:color="000000"/>
            </w:tcBorders>
            <w:vAlign w:val="center"/>
          </w:tcPr>
          <w:p w14:paraId="7CFE75DA" w14:textId="2F3AD61E" w:rsidR="00D060B6" w:rsidRPr="00F515AE" w:rsidRDefault="00D060B6" w:rsidP="00922054">
            <w:pPr>
              <w:spacing w:before="60" w:after="60"/>
              <w:jc w:val="center"/>
            </w:pPr>
            <w:r w:rsidRPr="00C65277">
              <w:t>0.71</w:t>
            </w:r>
          </w:p>
        </w:tc>
      </w:tr>
      <w:tr w:rsidR="00922054" w:rsidRPr="00923150" w14:paraId="22E8547B" w14:textId="77777777" w:rsidTr="00922054">
        <w:trPr>
          <w:trHeight w:val="456"/>
        </w:trPr>
        <w:tc>
          <w:tcPr>
            <w:tcW w:w="2835" w:type="dxa"/>
            <w:tcBorders>
              <w:top w:val="single" w:sz="4" w:space="0" w:color="000000"/>
              <w:bottom w:val="double" w:sz="4" w:space="0" w:color="auto"/>
            </w:tcBorders>
            <w:vAlign w:val="center"/>
          </w:tcPr>
          <w:p w14:paraId="662E76E4" w14:textId="7F34FCF5" w:rsidR="00D060B6" w:rsidRPr="00481C6A" w:rsidRDefault="00D060B6" w:rsidP="00D060B6">
            <w:pPr>
              <w:spacing w:before="60" w:after="60"/>
              <w:jc w:val="left"/>
            </w:pPr>
            <w:r w:rsidRPr="00C65277">
              <w:t>Australian Capital Territory</w:t>
            </w:r>
          </w:p>
        </w:tc>
        <w:tc>
          <w:tcPr>
            <w:tcW w:w="2268" w:type="dxa"/>
            <w:tcBorders>
              <w:top w:val="single" w:sz="4" w:space="0" w:color="000000"/>
              <w:bottom w:val="double" w:sz="4" w:space="0" w:color="auto"/>
            </w:tcBorders>
            <w:vAlign w:val="center"/>
          </w:tcPr>
          <w:p w14:paraId="1F94018A" w14:textId="2ED94ED2" w:rsidR="00D060B6" w:rsidRPr="007A225B" w:rsidRDefault="00D060B6" w:rsidP="00922054">
            <w:pPr>
              <w:spacing w:before="60" w:after="60"/>
              <w:jc w:val="center"/>
            </w:pPr>
            <w:r w:rsidRPr="00C65277">
              <w:t>374.7</w:t>
            </w:r>
          </w:p>
        </w:tc>
        <w:tc>
          <w:tcPr>
            <w:tcW w:w="2268" w:type="dxa"/>
            <w:tcBorders>
              <w:top w:val="single" w:sz="4" w:space="0" w:color="000000"/>
              <w:bottom w:val="double" w:sz="4" w:space="0" w:color="auto"/>
            </w:tcBorders>
            <w:vAlign w:val="center"/>
          </w:tcPr>
          <w:p w14:paraId="0C0BD684" w14:textId="61B1A607" w:rsidR="00D060B6" w:rsidRPr="00D22FDF" w:rsidRDefault="00D060B6" w:rsidP="00922054">
            <w:pPr>
              <w:spacing w:before="60" w:after="60"/>
              <w:jc w:val="center"/>
            </w:pPr>
            <w:r w:rsidRPr="00C65277">
              <w:t>2%</w:t>
            </w:r>
          </w:p>
        </w:tc>
        <w:tc>
          <w:tcPr>
            <w:tcW w:w="2268" w:type="dxa"/>
            <w:tcBorders>
              <w:top w:val="single" w:sz="4" w:space="0" w:color="000000"/>
              <w:bottom w:val="double" w:sz="4" w:space="0" w:color="auto"/>
            </w:tcBorders>
            <w:vAlign w:val="center"/>
          </w:tcPr>
          <w:p w14:paraId="3D312F17" w14:textId="773B4F47" w:rsidR="00D060B6" w:rsidRPr="00F515AE" w:rsidRDefault="00D060B6" w:rsidP="00922054">
            <w:pPr>
              <w:spacing w:before="60" w:after="60"/>
              <w:jc w:val="center"/>
            </w:pPr>
            <w:r w:rsidRPr="00C65277">
              <w:t>0.88</w:t>
            </w:r>
          </w:p>
        </w:tc>
      </w:tr>
      <w:tr w:rsidR="00922054" w:rsidRPr="00923150" w14:paraId="303188FA" w14:textId="77777777" w:rsidTr="00922054">
        <w:trPr>
          <w:trHeight w:val="456"/>
        </w:trPr>
        <w:tc>
          <w:tcPr>
            <w:tcW w:w="2835" w:type="dxa"/>
            <w:tcBorders>
              <w:top w:val="double" w:sz="4" w:space="0" w:color="auto"/>
            </w:tcBorders>
            <w:vAlign w:val="center"/>
          </w:tcPr>
          <w:p w14:paraId="44A0CC29" w14:textId="26A73BE2" w:rsidR="00922054" w:rsidRPr="00922054" w:rsidRDefault="00922054" w:rsidP="00922054">
            <w:pPr>
              <w:spacing w:before="60" w:after="60"/>
              <w:jc w:val="left"/>
            </w:pPr>
            <w:r>
              <w:t>National</w:t>
            </w:r>
          </w:p>
        </w:tc>
        <w:tc>
          <w:tcPr>
            <w:tcW w:w="2268" w:type="dxa"/>
            <w:tcBorders>
              <w:top w:val="double" w:sz="4" w:space="0" w:color="auto"/>
            </w:tcBorders>
            <w:vAlign w:val="center"/>
          </w:tcPr>
          <w:p w14:paraId="67C51D94" w14:textId="7E0C1E43" w:rsidR="00922054" w:rsidRPr="00922054" w:rsidRDefault="00922054" w:rsidP="00922054">
            <w:pPr>
              <w:spacing w:before="60" w:after="60"/>
              <w:jc w:val="center"/>
            </w:pPr>
            <w:r w:rsidRPr="00922054">
              <w:t>22,680.5</w:t>
            </w:r>
          </w:p>
        </w:tc>
        <w:tc>
          <w:tcPr>
            <w:tcW w:w="2268" w:type="dxa"/>
            <w:tcBorders>
              <w:top w:val="double" w:sz="4" w:space="0" w:color="auto"/>
            </w:tcBorders>
            <w:vAlign w:val="center"/>
          </w:tcPr>
          <w:p w14:paraId="100CAB0F" w14:textId="31F1F3D7" w:rsidR="00922054" w:rsidRPr="00922054" w:rsidRDefault="00922054" w:rsidP="00922054">
            <w:pPr>
              <w:spacing w:before="60" w:after="60"/>
              <w:jc w:val="center"/>
            </w:pPr>
            <w:r w:rsidRPr="00922054">
              <w:t>100%</w:t>
            </w:r>
          </w:p>
        </w:tc>
        <w:tc>
          <w:tcPr>
            <w:tcW w:w="2268" w:type="dxa"/>
            <w:tcBorders>
              <w:top w:val="double" w:sz="4" w:space="0" w:color="auto"/>
            </w:tcBorders>
            <w:vAlign w:val="center"/>
          </w:tcPr>
          <w:p w14:paraId="510B0E54" w14:textId="2A24508E" w:rsidR="00922054" w:rsidRPr="00922054" w:rsidRDefault="00922054" w:rsidP="00922054">
            <w:pPr>
              <w:spacing w:before="60" w:after="60"/>
              <w:jc w:val="center"/>
            </w:pPr>
            <w:r w:rsidRPr="00922054">
              <w:t>0.914</w:t>
            </w:r>
          </w:p>
        </w:tc>
      </w:tr>
    </w:tbl>
    <w:p w14:paraId="71C30F92" w14:textId="7104F39B" w:rsidR="00922054" w:rsidRPr="005169C2" w:rsidRDefault="00922054" w:rsidP="00D05A74">
      <w:pPr>
        <w:pStyle w:val="ListParagraph"/>
        <w:numPr>
          <w:ilvl w:val="0"/>
          <w:numId w:val="17"/>
        </w:numPr>
        <w:spacing w:before="60" w:after="0" w:line="240" w:lineRule="auto"/>
        <w:contextualSpacing w:val="0"/>
        <w:jc w:val="both"/>
        <w:rPr>
          <w:rFonts w:ascii="Times New Roman" w:hAnsi="Times New Roman"/>
          <w:sz w:val="20"/>
          <w:szCs w:val="20"/>
        </w:rPr>
      </w:pPr>
      <w:r w:rsidRPr="005169C2">
        <w:rPr>
          <w:rFonts w:ascii="Times New Roman" w:hAnsi="Times New Roman"/>
          <w:sz w:val="20"/>
          <w:szCs w:val="20"/>
        </w:rPr>
        <w:t>The indirect emission factors are from NGERS technical guidelines for the estimation of Greenhouse Gas emissions by facilities in Australia, July 2012. The factors used in this report are the indirect (scope 2) emission factors from consumption of purchased electricity from a grid.</w:t>
      </w:r>
    </w:p>
    <w:p w14:paraId="0812BD12" w14:textId="0521BAB5" w:rsidR="00922054" w:rsidRPr="005169C2" w:rsidRDefault="00922054" w:rsidP="00D05A74">
      <w:pPr>
        <w:pStyle w:val="ListParagraph"/>
        <w:numPr>
          <w:ilvl w:val="0"/>
          <w:numId w:val="17"/>
        </w:numPr>
        <w:spacing w:before="60" w:after="0" w:line="240" w:lineRule="auto"/>
        <w:contextualSpacing w:val="0"/>
        <w:jc w:val="both"/>
        <w:rPr>
          <w:rFonts w:ascii="Times New Roman" w:hAnsi="Times New Roman"/>
          <w:sz w:val="20"/>
          <w:szCs w:val="20"/>
        </w:rPr>
      </w:pPr>
      <w:r w:rsidRPr="005169C2">
        <w:rPr>
          <w:rFonts w:ascii="Times New Roman" w:hAnsi="Times New Roman"/>
          <w:sz w:val="20"/>
          <w:szCs w:val="20"/>
        </w:rPr>
        <w:t xml:space="preserve">The State and Territory emission factors were used to calculate a national indirect emission factor weighted based on Australian population, excluding other territories not listed above (ABS 3101.0, 2012). </w:t>
      </w:r>
    </w:p>
    <w:p w14:paraId="5A65FF12" w14:textId="77777777" w:rsidR="00C81143" w:rsidRDefault="00C81143" w:rsidP="00C81143"/>
    <w:p w14:paraId="278789FA" w14:textId="77777777" w:rsidR="00D37A89" w:rsidRPr="005D159D" w:rsidRDefault="00D37A89" w:rsidP="00D37A89">
      <w:pPr>
        <w:rPr>
          <w:i/>
          <w:szCs w:val="22"/>
        </w:rPr>
      </w:pPr>
      <w:bookmarkStart w:id="109" w:name="_Toc233084083"/>
      <w:r w:rsidRPr="005D159D">
        <w:rPr>
          <w:i/>
          <w:szCs w:val="22"/>
        </w:rPr>
        <w:t xml:space="preserve">Table </w:t>
      </w:r>
      <w:r w:rsidRPr="005D159D">
        <w:rPr>
          <w:i/>
          <w:szCs w:val="22"/>
        </w:rPr>
        <w:fldChar w:fldCharType="begin"/>
      </w:r>
      <w:r w:rsidRPr="005D159D">
        <w:rPr>
          <w:i/>
          <w:szCs w:val="22"/>
        </w:rPr>
        <w:instrText xml:space="preserve"> SEQ Table \* ARABIC </w:instrText>
      </w:r>
      <w:r w:rsidRPr="005D159D">
        <w:rPr>
          <w:i/>
          <w:szCs w:val="22"/>
        </w:rPr>
        <w:fldChar w:fldCharType="separate"/>
      </w:r>
      <w:r w:rsidR="00196462">
        <w:rPr>
          <w:i/>
          <w:noProof/>
          <w:szCs w:val="22"/>
        </w:rPr>
        <w:t>39</w:t>
      </w:r>
      <w:r w:rsidRPr="005D159D">
        <w:rPr>
          <w:i/>
          <w:szCs w:val="22"/>
        </w:rPr>
        <w:fldChar w:fldCharType="end"/>
      </w:r>
      <w:r w:rsidRPr="005D159D">
        <w:rPr>
          <w:i/>
          <w:szCs w:val="22"/>
        </w:rPr>
        <w:t xml:space="preserve">: </w:t>
      </w:r>
      <w:r w:rsidRPr="00D37A89">
        <w:rPr>
          <w:i/>
          <w:szCs w:val="22"/>
        </w:rPr>
        <w:t>Fuel combustion - liquid fuels for transport energy purposes for post-2004 vehicles</w:t>
      </w:r>
      <w:bookmarkEnd w:id="10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78"/>
        <w:gridCol w:w="2684"/>
        <w:gridCol w:w="2543"/>
      </w:tblGrid>
      <w:tr w:rsidR="00D37A89" w:rsidRPr="00923150" w14:paraId="7BA50F7E" w14:textId="77777777" w:rsidTr="005F2CFD">
        <w:trPr>
          <w:trHeight w:val="684"/>
        </w:trPr>
        <w:tc>
          <w:tcPr>
            <w:tcW w:w="4395" w:type="dxa"/>
            <w:tcBorders>
              <w:top w:val="single" w:sz="8" w:space="0" w:color="auto"/>
              <w:left w:val="single" w:sz="8" w:space="0" w:color="auto"/>
              <w:bottom w:val="single" w:sz="8" w:space="0" w:color="auto"/>
              <w:right w:val="single" w:sz="4" w:space="0" w:color="FFFFFF"/>
            </w:tcBorders>
            <w:shd w:val="clear" w:color="auto" w:fill="000000"/>
            <w:vAlign w:val="center"/>
          </w:tcPr>
          <w:p w14:paraId="15C51583" w14:textId="77777777" w:rsidR="00D37A89" w:rsidRPr="00923150" w:rsidRDefault="00D37A89" w:rsidP="00D37A89">
            <w:pPr>
              <w:spacing w:after="120"/>
              <w:ind w:left="284"/>
            </w:pPr>
            <w:r>
              <w:t>Fuel type</w:t>
            </w:r>
          </w:p>
        </w:tc>
        <w:tc>
          <w:tcPr>
            <w:tcW w:w="2693" w:type="dxa"/>
            <w:tcBorders>
              <w:top w:val="single" w:sz="8" w:space="0" w:color="auto"/>
              <w:left w:val="single" w:sz="4" w:space="0" w:color="FFFFFF"/>
              <w:bottom w:val="single" w:sz="8" w:space="0" w:color="auto"/>
              <w:right w:val="single" w:sz="4" w:space="0" w:color="FFFFFF"/>
            </w:tcBorders>
            <w:shd w:val="clear" w:color="auto" w:fill="000000"/>
            <w:vAlign w:val="center"/>
          </w:tcPr>
          <w:p w14:paraId="44D70653" w14:textId="77777777" w:rsidR="00D37A89" w:rsidRPr="00D37A89" w:rsidRDefault="00D37A89" w:rsidP="00D37A89">
            <w:pPr>
              <w:spacing w:after="120"/>
              <w:jc w:val="center"/>
              <w:rPr>
                <w:rFonts w:cs="Times New Roman"/>
                <w:szCs w:val="22"/>
              </w:rPr>
            </w:pPr>
            <w:r w:rsidRPr="00D37A89">
              <w:rPr>
                <w:rFonts w:eastAsia="Times New Roman" w:cs="Times New Roman"/>
                <w:color w:val="FFFFFF"/>
                <w:szCs w:val="22"/>
              </w:rPr>
              <w:t>Energy content factor (GJ/kL)</w:t>
            </w:r>
          </w:p>
        </w:tc>
        <w:tc>
          <w:tcPr>
            <w:tcW w:w="2551" w:type="dxa"/>
            <w:tcBorders>
              <w:top w:val="single" w:sz="8" w:space="0" w:color="auto"/>
              <w:left w:val="single" w:sz="4" w:space="0" w:color="FFFFFF"/>
              <w:bottom w:val="single" w:sz="8" w:space="0" w:color="auto"/>
              <w:right w:val="single" w:sz="8" w:space="0" w:color="auto"/>
            </w:tcBorders>
            <w:shd w:val="clear" w:color="auto" w:fill="000000"/>
            <w:vAlign w:val="center"/>
          </w:tcPr>
          <w:p w14:paraId="081A7FCA" w14:textId="77777777" w:rsidR="00D37A89" w:rsidRPr="00D37A89" w:rsidRDefault="00D37A89" w:rsidP="00D37A89">
            <w:pPr>
              <w:spacing w:after="120"/>
              <w:jc w:val="center"/>
              <w:rPr>
                <w:rFonts w:cs="Times New Roman"/>
                <w:szCs w:val="22"/>
              </w:rPr>
            </w:pPr>
            <w:r w:rsidRPr="00D37A89">
              <w:rPr>
                <w:rFonts w:eastAsia="Times New Roman" w:cs="Times New Roman"/>
                <w:color w:val="FFFFFF"/>
                <w:szCs w:val="22"/>
              </w:rPr>
              <w:t>Emission factors                                    (kg CO</w:t>
            </w:r>
            <w:r w:rsidRPr="00D37A89">
              <w:rPr>
                <w:rFonts w:eastAsia="Times New Roman" w:cs="Times New Roman"/>
                <w:color w:val="FFFFFF"/>
                <w:szCs w:val="22"/>
                <w:vertAlign w:val="subscript"/>
              </w:rPr>
              <w:t>2</w:t>
            </w:r>
            <w:r w:rsidRPr="00D37A89">
              <w:rPr>
                <w:rFonts w:eastAsia="Times New Roman" w:cs="Times New Roman"/>
                <w:color w:val="FFFFFF"/>
                <w:szCs w:val="22"/>
              </w:rPr>
              <w:t>-e/GJ)</w:t>
            </w:r>
          </w:p>
        </w:tc>
      </w:tr>
      <w:tr w:rsidR="00D37A89" w:rsidRPr="00923150" w14:paraId="32712B51" w14:textId="77777777" w:rsidTr="00D37A89">
        <w:trPr>
          <w:trHeight w:val="456"/>
        </w:trPr>
        <w:tc>
          <w:tcPr>
            <w:tcW w:w="4395" w:type="dxa"/>
            <w:tcBorders>
              <w:top w:val="single" w:sz="8" w:space="0" w:color="auto"/>
            </w:tcBorders>
            <w:vAlign w:val="bottom"/>
          </w:tcPr>
          <w:p w14:paraId="06504DF0" w14:textId="77777777" w:rsidR="00D37A89" w:rsidRPr="00D37A89" w:rsidRDefault="00D37A89" w:rsidP="00D37A89">
            <w:pPr>
              <w:spacing w:before="60" w:after="60"/>
              <w:ind w:left="284"/>
            </w:pPr>
            <w:r w:rsidRPr="00D37A89">
              <w:t>Gasoline (petrol)</w:t>
            </w:r>
          </w:p>
        </w:tc>
        <w:tc>
          <w:tcPr>
            <w:tcW w:w="2693" w:type="dxa"/>
            <w:tcBorders>
              <w:top w:val="single" w:sz="8" w:space="0" w:color="auto"/>
            </w:tcBorders>
            <w:vAlign w:val="bottom"/>
          </w:tcPr>
          <w:p w14:paraId="51CA98B9" w14:textId="77777777" w:rsidR="00D37A89" w:rsidRPr="00D37A89" w:rsidRDefault="00D37A89" w:rsidP="00D37A89">
            <w:pPr>
              <w:spacing w:before="60" w:after="60"/>
              <w:jc w:val="center"/>
            </w:pPr>
            <w:r w:rsidRPr="00D37A89">
              <w:t>34.2</w:t>
            </w:r>
          </w:p>
        </w:tc>
        <w:tc>
          <w:tcPr>
            <w:tcW w:w="2551" w:type="dxa"/>
            <w:tcBorders>
              <w:top w:val="single" w:sz="8" w:space="0" w:color="auto"/>
            </w:tcBorders>
            <w:vAlign w:val="bottom"/>
          </w:tcPr>
          <w:p w14:paraId="6451D54F" w14:textId="77777777" w:rsidR="00D37A89" w:rsidRPr="00D37A89" w:rsidRDefault="00D37A89" w:rsidP="00D37A89">
            <w:pPr>
              <w:spacing w:before="60" w:after="60"/>
              <w:jc w:val="center"/>
            </w:pPr>
            <w:r w:rsidRPr="00D37A89">
              <w:t>66.7</w:t>
            </w:r>
          </w:p>
        </w:tc>
      </w:tr>
      <w:tr w:rsidR="00D37A89" w:rsidRPr="00923150" w14:paraId="1B138D4D" w14:textId="77777777" w:rsidTr="00D37A89">
        <w:trPr>
          <w:trHeight w:val="456"/>
        </w:trPr>
        <w:tc>
          <w:tcPr>
            <w:tcW w:w="4395" w:type="dxa"/>
            <w:vAlign w:val="bottom"/>
          </w:tcPr>
          <w:p w14:paraId="3A978051" w14:textId="77777777" w:rsidR="00D37A89" w:rsidRPr="00D37A89" w:rsidRDefault="00D37A89" w:rsidP="00D37A89">
            <w:pPr>
              <w:spacing w:before="60" w:after="60"/>
              <w:ind w:left="284"/>
            </w:pPr>
            <w:r w:rsidRPr="00D37A89">
              <w:t>Diesel oil</w:t>
            </w:r>
          </w:p>
        </w:tc>
        <w:tc>
          <w:tcPr>
            <w:tcW w:w="2693" w:type="dxa"/>
            <w:vAlign w:val="bottom"/>
          </w:tcPr>
          <w:p w14:paraId="61227E9D" w14:textId="77777777" w:rsidR="00D37A89" w:rsidRPr="00D37A89" w:rsidRDefault="00D37A89" w:rsidP="00D37A89">
            <w:pPr>
              <w:spacing w:before="60" w:after="60"/>
              <w:jc w:val="center"/>
            </w:pPr>
            <w:r w:rsidRPr="00D37A89">
              <w:t>38.6</w:t>
            </w:r>
          </w:p>
        </w:tc>
        <w:tc>
          <w:tcPr>
            <w:tcW w:w="2551" w:type="dxa"/>
            <w:vAlign w:val="bottom"/>
          </w:tcPr>
          <w:p w14:paraId="0360290D" w14:textId="77777777" w:rsidR="00D37A89" w:rsidRPr="00D37A89" w:rsidRDefault="00D37A89" w:rsidP="00D37A89">
            <w:pPr>
              <w:spacing w:before="60" w:after="60"/>
              <w:jc w:val="center"/>
            </w:pPr>
            <w:r w:rsidRPr="00D37A89">
              <w:t>69.2</w:t>
            </w:r>
          </w:p>
        </w:tc>
      </w:tr>
    </w:tbl>
    <w:p w14:paraId="58207194" w14:textId="77777777" w:rsidR="00D37A89" w:rsidRPr="00D37A89" w:rsidRDefault="00D37A89" w:rsidP="00D37A89">
      <w:pPr>
        <w:spacing w:before="0"/>
        <w:rPr>
          <w:sz w:val="20"/>
          <w:szCs w:val="20"/>
        </w:rPr>
      </w:pPr>
      <w:r w:rsidRPr="00D37A89">
        <w:rPr>
          <w:sz w:val="20"/>
          <w:szCs w:val="20"/>
        </w:rPr>
        <w:t>(Source: NGERS 2012)</w:t>
      </w:r>
    </w:p>
    <w:p w14:paraId="19C206AB" w14:textId="77777777" w:rsidR="00B11DB0" w:rsidRDefault="00B11DB0" w:rsidP="00EF7EDD"/>
    <w:p w14:paraId="29923735" w14:textId="77777777" w:rsidR="00EF7EDD" w:rsidRDefault="00EF7EDD">
      <w:pPr>
        <w:spacing w:before="0"/>
        <w:jc w:val="left"/>
        <w:rPr>
          <w:i/>
          <w:szCs w:val="22"/>
        </w:rPr>
      </w:pPr>
      <w:r>
        <w:rPr>
          <w:i/>
          <w:szCs w:val="22"/>
        </w:rPr>
        <w:br w:type="page"/>
      </w:r>
    </w:p>
    <w:p w14:paraId="6A055B98" w14:textId="18164643" w:rsidR="000C35EE" w:rsidRPr="005D159D" w:rsidRDefault="000C35EE" w:rsidP="000C35EE">
      <w:pPr>
        <w:rPr>
          <w:i/>
          <w:szCs w:val="22"/>
        </w:rPr>
      </w:pPr>
      <w:bookmarkStart w:id="110" w:name="_Toc233084084"/>
      <w:r w:rsidRPr="005D159D">
        <w:rPr>
          <w:i/>
          <w:szCs w:val="22"/>
        </w:rPr>
        <w:lastRenderedPageBreak/>
        <w:t xml:space="preserve">Table </w:t>
      </w:r>
      <w:r w:rsidRPr="005D159D">
        <w:rPr>
          <w:i/>
          <w:szCs w:val="22"/>
        </w:rPr>
        <w:fldChar w:fldCharType="begin"/>
      </w:r>
      <w:r w:rsidRPr="005D159D">
        <w:rPr>
          <w:i/>
          <w:szCs w:val="22"/>
        </w:rPr>
        <w:instrText xml:space="preserve"> SEQ Table \* ARABIC </w:instrText>
      </w:r>
      <w:r w:rsidRPr="005D159D">
        <w:rPr>
          <w:i/>
          <w:szCs w:val="22"/>
        </w:rPr>
        <w:fldChar w:fldCharType="separate"/>
      </w:r>
      <w:r w:rsidR="00196462">
        <w:rPr>
          <w:i/>
          <w:noProof/>
          <w:szCs w:val="22"/>
        </w:rPr>
        <w:t>40</w:t>
      </w:r>
      <w:r w:rsidRPr="005D159D">
        <w:rPr>
          <w:i/>
          <w:szCs w:val="22"/>
        </w:rPr>
        <w:fldChar w:fldCharType="end"/>
      </w:r>
      <w:r w:rsidRPr="005D159D">
        <w:rPr>
          <w:i/>
          <w:szCs w:val="22"/>
        </w:rPr>
        <w:t xml:space="preserve">: </w:t>
      </w:r>
      <w:r>
        <w:rPr>
          <w:i/>
          <w:szCs w:val="22"/>
        </w:rPr>
        <w:t>Technical characteristics for product categories (average charge, leak rates, lifespan, end-of-life percentage)</w:t>
      </w:r>
      <w:bookmarkEnd w:id="1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3544"/>
        <w:gridCol w:w="964"/>
        <w:gridCol w:w="964"/>
        <w:gridCol w:w="964"/>
        <w:gridCol w:w="964"/>
        <w:gridCol w:w="964"/>
      </w:tblGrid>
      <w:tr w:rsidR="000C35EE" w:rsidRPr="00082C2C" w14:paraId="350E900E" w14:textId="77777777" w:rsidTr="00F21B2A">
        <w:trPr>
          <w:trHeight w:val="440"/>
        </w:trPr>
        <w:tc>
          <w:tcPr>
            <w:tcW w:w="1276" w:type="dxa"/>
            <w:vMerge w:val="restart"/>
            <w:tcBorders>
              <w:top w:val="single" w:sz="8" w:space="0" w:color="auto"/>
              <w:left w:val="single" w:sz="8" w:space="0" w:color="auto"/>
              <w:bottom w:val="single" w:sz="4" w:space="0" w:color="FFFFFF" w:themeColor="background1"/>
              <w:right w:val="single" w:sz="4" w:space="0" w:color="FFFFFF" w:themeColor="background1"/>
            </w:tcBorders>
            <w:shd w:val="clear" w:color="auto" w:fill="000000"/>
            <w:vAlign w:val="center"/>
          </w:tcPr>
          <w:p w14:paraId="6A97D512" w14:textId="2CF06A44" w:rsidR="000C35EE" w:rsidRPr="00082C2C" w:rsidRDefault="000C35EE" w:rsidP="000C35EE">
            <w:pPr>
              <w:spacing w:after="120"/>
              <w:ind w:left="34"/>
              <w:rPr>
                <w:szCs w:val="22"/>
              </w:rPr>
            </w:pPr>
            <w:r w:rsidRPr="00082C2C">
              <w:rPr>
                <w:szCs w:val="22"/>
              </w:rPr>
              <w:t>Category code</w:t>
            </w:r>
          </w:p>
        </w:tc>
        <w:tc>
          <w:tcPr>
            <w:tcW w:w="3544" w:type="dxa"/>
            <w:vMerge w:val="restart"/>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14:paraId="5DD6013C" w14:textId="3A57E9CD" w:rsidR="000C35EE" w:rsidRPr="00082C2C" w:rsidRDefault="000C35EE" w:rsidP="000C35EE">
            <w:pPr>
              <w:spacing w:after="120"/>
              <w:jc w:val="center"/>
              <w:rPr>
                <w:szCs w:val="22"/>
              </w:rPr>
            </w:pPr>
            <w:r w:rsidRPr="00082C2C">
              <w:rPr>
                <w:szCs w:val="22"/>
              </w:rPr>
              <w:t>Product category</w:t>
            </w:r>
          </w:p>
        </w:tc>
        <w:tc>
          <w:tcPr>
            <w:tcW w:w="964" w:type="dxa"/>
            <w:vMerge w:val="restart"/>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14:paraId="75FA31A3" w14:textId="4F9A5668" w:rsidR="000C35EE" w:rsidRPr="00082C2C" w:rsidRDefault="000C35EE" w:rsidP="000C35EE">
            <w:pPr>
              <w:spacing w:after="120"/>
              <w:jc w:val="center"/>
              <w:rPr>
                <w:szCs w:val="22"/>
              </w:rPr>
            </w:pPr>
            <w:r w:rsidRPr="00082C2C">
              <w:rPr>
                <w:szCs w:val="22"/>
              </w:rPr>
              <w:t>Average charge (kg)</w:t>
            </w:r>
          </w:p>
        </w:tc>
        <w:tc>
          <w:tcPr>
            <w:tcW w:w="1928" w:type="dxa"/>
            <w:gridSpan w:val="2"/>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14:paraId="69C0AC60" w14:textId="6AD0A52D" w:rsidR="000C35EE" w:rsidRPr="00082C2C" w:rsidRDefault="000C35EE" w:rsidP="000C35EE">
            <w:pPr>
              <w:spacing w:after="120"/>
              <w:jc w:val="center"/>
              <w:rPr>
                <w:szCs w:val="22"/>
              </w:rPr>
            </w:pPr>
            <w:r w:rsidRPr="00082C2C">
              <w:rPr>
                <w:szCs w:val="22"/>
              </w:rPr>
              <w:t>Leak rates (%)</w:t>
            </w:r>
          </w:p>
        </w:tc>
        <w:tc>
          <w:tcPr>
            <w:tcW w:w="964" w:type="dxa"/>
            <w:vMerge w:val="restart"/>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14:paraId="1FA1D26B" w14:textId="7FBBD1D7" w:rsidR="000C35EE" w:rsidRPr="009F0103" w:rsidRDefault="000C35EE" w:rsidP="000C35EE">
            <w:pPr>
              <w:spacing w:after="120"/>
              <w:jc w:val="center"/>
              <w:rPr>
                <w:sz w:val="20"/>
                <w:szCs w:val="20"/>
              </w:rPr>
            </w:pPr>
            <w:r w:rsidRPr="009F0103">
              <w:rPr>
                <w:sz w:val="20"/>
                <w:szCs w:val="20"/>
              </w:rPr>
              <w:t>Av. Lifespan (Yrs)</w:t>
            </w:r>
          </w:p>
        </w:tc>
        <w:tc>
          <w:tcPr>
            <w:tcW w:w="964" w:type="dxa"/>
            <w:vMerge w:val="restart"/>
            <w:tcBorders>
              <w:top w:val="single" w:sz="8" w:space="0" w:color="auto"/>
              <w:left w:val="single" w:sz="4" w:space="0" w:color="FFFFFF" w:themeColor="background1"/>
              <w:bottom w:val="single" w:sz="4" w:space="0" w:color="FFFFFF" w:themeColor="background1"/>
              <w:right w:val="single" w:sz="8" w:space="0" w:color="auto"/>
            </w:tcBorders>
            <w:shd w:val="clear" w:color="auto" w:fill="000000"/>
            <w:vAlign w:val="center"/>
          </w:tcPr>
          <w:p w14:paraId="1E1209CC" w14:textId="12DF41EE" w:rsidR="000C35EE" w:rsidRPr="00082C2C" w:rsidRDefault="000C35EE" w:rsidP="000C35EE">
            <w:pPr>
              <w:spacing w:after="120"/>
              <w:jc w:val="center"/>
              <w:rPr>
                <w:szCs w:val="22"/>
              </w:rPr>
            </w:pPr>
            <w:r w:rsidRPr="00082C2C">
              <w:rPr>
                <w:szCs w:val="22"/>
              </w:rPr>
              <w:t>EOL (%)</w:t>
            </w:r>
          </w:p>
        </w:tc>
      </w:tr>
      <w:tr w:rsidR="000C35EE" w:rsidRPr="00082C2C" w14:paraId="1FA6F6C2" w14:textId="77777777" w:rsidTr="00F21B2A">
        <w:trPr>
          <w:trHeight w:val="456"/>
        </w:trPr>
        <w:tc>
          <w:tcPr>
            <w:tcW w:w="1276" w:type="dxa"/>
            <w:vMerge/>
            <w:tcBorders>
              <w:top w:val="single" w:sz="4" w:space="0" w:color="FFFFFF" w:themeColor="background1"/>
              <w:left w:val="single" w:sz="8" w:space="0" w:color="auto"/>
              <w:right w:val="single" w:sz="4" w:space="0" w:color="FFFFFF" w:themeColor="background1"/>
            </w:tcBorders>
            <w:vAlign w:val="center"/>
          </w:tcPr>
          <w:p w14:paraId="21ED7D6C" w14:textId="77777777" w:rsidR="000C35EE" w:rsidRPr="00082C2C" w:rsidRDefault="000C35EE" w:rsidP="000C35EE">
            <w:pPr>
              <w:spacing w:before="60" w:after="60"/>
              <w:ind w:left="34"/>
              <w:jc w:val="left"/>
              <w:rPr>
                <w:szCs w:val="22"/>
              </w:rPr>
            </w:pPr>
          </w:p>
        </w:tc>
        <w:tc>
          <w:tcPr>
            <w:tcW w:w="3544" w:type="dxa"/>
            <w:vMerge/>
            <w:tcBorders>
              <w:top w:val="single" w:sz="4" w:space="0" w:color="FFFFFF" w:themeColor="background1"/>
              <w:left w:val="single" w:sz="4" w:space="0" w:color="FFFFFF" w:themeColor="background1"/>
              <w:right w:val="single" w:sz="4" w:space="0" w:color="FFFFFF" w:themeColor="background1"/>
            </w:tcBorders>
            <w:vAlign w:val="center"/>
          </w:tcPr>
          <w:p w14:paraId="2EF14BA3" w14:textId="77777777" w:rsidR="000C35EE" w:rsidRPr="00082C2C" w:rsidRDefault="000C35EE" w:rsidP="000C35EE">
            <w:pPr>
              <w:spacing w:before="60" w:after="60"/>
              <w:jc w:val="center"/>
              <w:rPr>
                <w:szCs w:val="22"/>
              </w:rPr>
            </w:pPr>
          </w:p>
        </w:tc>
        <w:tc>
          <w:tcPr>
            <w:tcW w:w="964" w:type="dxa"/>
            <w:vMerge/>
            <w:tcBorders>
              <w:top w:val="single" w:sz="4" w:space="0" w:color="FFFFFF" w:themeColor="background1"/>
              <w:left w:val="single" w:sz="4" w:space="0" w:color="FFFFFF" w:themeColor="background1"/>
              <w:right w:val="single" w:sz="4" w:space="0" w:color="FFFFFF" w:themeColor="background1"/>
            </w:tcBorders>
            <w:vAlign w:val="center"/>
          </w:tcPr>
          <w:p w14:paraId="79EF76EA" w14:textId="77777777" w:rsidR="000C35EE" w:rsidRPr="00082C2C" w:rsidRDefault="000C35EE" w:rsidP="000C35EE">
            <w:pPr>
              <w:spacing w:before="60" w:after="60"/>
              <w:jc w:val="center"/>
              <w:rPr>
                <w:szCs w:val="22"/>
              </w:rPr>
            </w:pPr>
          </w:p>
        </w:tc>
        <w:tc>
          <w:tcPr>
            <w:tcW w:w="964" w:type="dxa"/>
            <w:tcBorders>
              <w:top w:val="single" w:sz="4" w:space="0" w:color="FFFFFF" w:themeColor="background1"/>
              <w:left w:val="single" w:sz="4" w:space="0" w:color="FFFFFF" w:themeColor="background1"/>
              <w:right w:val="single" w:sz="4" w:space="0" w:color="FFFFFF" w:themeColor="background1"/>
            </w:tcBorders>
            <w:shd w:val="clear" w:color="auto" w:fill="000000"/>
            <w:vAlign w:val="center"/>
          </w:tcPr>
          <w:p w14:paraId="72B1F2E1" w14:textId="19F107C1" w:rsidR="000C35EE" w:rsidRPr="00082C2C" w:rsidRDefault="000C35EE" w:rsidP="000C35EE">
            <w:pPr>
              <w:spacing w:before="60" w:after="60"/>
              <w:jc w:val="center"/>
              <w:rPr>
                <w:color w:val="FFFFFF" w:themeColor="background1"/>
                <w:szCs w:val="22"/>
              </w:rPr>
            </w:pPr>
            <w:r w:rsidRPr="00082C2C">
              <w:rPr>
                <w:color w:val="FFFFFF" w:themeColor="background1"/>
                <w:szCs w:val="22"/>
              </w:rPr>
              <w:t>HCFCs</w:t>
            </w:r>
          </w:p>
        </w:tc>
        <w:tc>
          <w:tcPr>
            <w:tcW w:w="964" w:type="dxa"/>
            <w:tcBorders>
              <w:top w:val="single" w:sz="4" w:space="0" w:color="FFFFFF" w:themeColor="background1"/>
              <w:left w:val="single" w:sz="4" w:space="0" w:color="FFFFFF" w:themeColor="background1"/>
              <w:right w:val="single" w:sz="4" w:space="0" w:color="FFFFFF" w:themeColor="background1"/>
            </w:tcBorders>
            <w:shd w:val="clear" w:color="auto" w:fill="000000"/>
            <w:vAlign w:val="center"/>
          </w:tcPr>
          <w:p w14:paraId="2FBF95F4" w14:textId="4EC324BE" w:rsidR="000C35EE" w:rsidRPr="00082C2C" w:rsidRDefault="000C35EE" w:rsidP="000C35EE">
            <w:pPr>
              <w:spacing w:before="60" w:after="60"/>
              <w:jc w:val="center"/>
              <w:rPr>
                <w:color w:val="FFFFFF" w:themeColor="background1"/>
                <w:szCs w:val="22"/>
              </w:rPr>
            </w:pPr>
            <w:r w:rsidRPr="00082C2C">
              <w:rPr>
                <w:color w:val="FFFFFF" w:themeColor="background1"/>
                <w:szCs w:val="22"/>
              </w:rPr>
              <w:t>HFCs</w:t>
            </w:r>
          </w:p>
        </w:tc>
        <w:tc>
          <w:tcPr>
            <w:tcW w:w="964" w:type="dxa"/>
            <w:vMerge/>
            <w:tcBorders>
              <w:top w:val="single" w:sz="4" w:space="0" w:color="FFFFFF" w:themeColor="background1"/>
              <w:left w:val="single" w:sz="4" w:space="0" w:color="FFFFFF" w:themeColor="background1"/>
              <w:right w:val="single" w:sz="4" w:space="0" w:color="FFFFFF" w:themeColor="background1"/>
            </w:tcBorders>
            <w:vAlign w:val="center"/>
          </w:tcPr>
          <w:p w14:paraId="63E880FD" w14:textId="77777777" w:rsidR="000C35EE" w:rsidRPr="00082C2C" w:rsidRDefault="000C35EE" w:rsidP="000C35EE">
            <w:pPr>
              <w:spacing w:before="60" w:after="60"/>
              <w:jc w:val="center"/>
              <w:rPr>
                <w:szCs w:val="22"/>
              </w:rPr>
            </w:pPr>
          </w:p>
        </w:tc>
        <w:tc>
          <w:tcPr>
            <w:tcW w:w="964" w:type="dxa"/>
            <w:vMerge/>
            <w:tcBorders>
              <w:top w:val="single" w:sz="4" w:space="0" w:color="FFFFFF" w:themeColor="background1"/>
              <w:left w:val="single" w:sz="4" w:space="0" w:color="FFFFFF" w:themeColor="background1"/>
              <w:right w:val="single" w:sz="8" w:space="0" w:color="auto"/>
            </w:tcBorders>
            <w:vAlign w:val="center"/>
          </w:tcPr>
          <w:p w14:paraId="69A95175" w14:textId="77777777" w:rsidR="000C35EE" w:rsidRPr="00082C2C" w:rsidRDefault="000C35EE" w:rsidP="000C35EE">
            <w:pPr>
              <w:spacing w:before="60" w:after="60"/>
              <w:jc w:val="center"/>
              <w:rPr>
                <w:szCs w:val="22"/>
              </w:rPr>
            </w:pPr>
          </w:p>
        </w:tc>
      </w:tr>
      <w:tr w:rsidR="006C0926" w:rsidRPr="005031CB" w14:paraId="07DB8381" w14:textId="77777777" w:rsidTr="005031CB">
        <w:trPr>
          <w:trHeight w:val="456"/>
        </w:trPr>
        <w:tc>
          <w:tcPr>
            <w:tcW w:w="9640" w:type="dxa"/>
            <w:gridSpan w:val="7"/>
            <w:tcBorders>
              <w:top w:val="single" w:sz="4" w:space="0" w:color="000000"/>
            </w:tcBorders>
            <w:shd w:val="clear" w:color="auto" w:fill="CCFFFF"/>
            <w:vAlign w:val="center"/>
          </w:tcPr>
          <w:p w14:paraId="429922DE" w14:textId="77777777" w:rsidR="006C0926" w:rsidRPr="005031CB" w:rsidRDefault="006C0926" w:rsidP="006C0926">
            <w:pPr>
              <w:spacing w:before="60" w:after="60"/>
              <w:jc w:val="center"/>
              <w:rPr>
                <w:sz w:val="20"/>
                <w:szCs w:val="20"/>
              </w:rPr>
            </w:pPr>
            <w:r w:rsidRPr="005031CB">
              <w:rPr>
                <w:sz w:val="20"/>
                <w:szCs w:val="20"/>
              </w:rPr>
              <w:t>STATIONARY AIR CONDITIONING</w:t>
            </w:r>
          </w:p>
        </w:tc>
      </w:tr>
      <w:tr w:rsidR="00C4782B" w:rsidRPr="005031CB" w14:paraId="57AA433A" w14:textId="77777777" w:rsidTr="009A68DD">
        <w:trPr>
          <w:trHeight w:val="456"/>
        </w:trPr>
        <w:tc>
          <w:tcPr>
            <w:tcW w:w="1276" w:type="dxa"/>
            <w:tcBorders>
              <w:top w:val="single" w:sz="4" w:space="0" w:color="000000"/>
            </w:tcBorders>
            <w:vAlign w:val="center"/>
          </w:tcPr>
          <w:p w14:paraId="0AB944BA" w14:textId="63BF68F0" w:rsidR="00C4782B" w:rsidRPr="005031CB" w:rsidRDefault="00C4782B" w:rsidP="000C35EE">
            <w:pPr>
              <w:spacing w:before="60" w:after="60"/>
              <w:ind w:left="34"/>
              <w:jc w:val="left"/>
              <w:rPr>
                <w:sz w:val="20"/>
                <w:szCs w:val="20"/>
              </w:rPr>
            </w:pPr>
            <w:r w:rsidRPr="005031CB">
              <w:rPr>
                <w:sz w:val="20"/>
                <w:szCs w:val="20"/>
              </w:rPr>
              <w:t>AC1</w:t>
            </w:r>
          </w:p>
        </w:tc>
        <w:tc>
          <w:tcPr>
            <w:tcW w:w="3544" w:type="dxa"/>
            <w:tcBorders>
              <w:top w:val="single" w:sz="4" w:space="0" w:color="000000"/>
            </w:tcBorders>
            <w:vAlign w:val="center"/>
          </w:tcPr>
          <w:p w14:paraId="008E4CAB" w14:textId="46590D86" w:rsidR="00C4782B" w:rsidRPr="005031CB" w:rsidRDefault="00C4782B" w:rsidP="00C4782B">
            <w:pPr>
              <w:spacing w:before="60" w:after="60"/>
              <w:jc w:val="left"/>
              <w:rPr>
                <w:sz w:val="20"/>
                <w:szCs w:val="20"/>
              </w:rPr>
            </w:pPr>
            <w:r w:rsidRPr="005031CB">
              <w:rPr>
                <w:sz w:val="20"/>
                <w:szCs w:val="20"/>
              </w:rPr>
              <w:t>Single split: non-ducted: 1 &amp; 3 phase</w:t>
            </w:r>
          </w:p>
        </w:tc>
        <w:tc>
          <w:tcPr>
            <w:tcW w:w="964" w:type="dxa"/>
            <w:tcBorders>
              <w:top w:val="single" w:sz="4" w:space="0" w:color="000000"/>
            </w:tcBorders>
            <w:vAlign w:val="center"/>
          </w:tcPr>
          <w:p w14:paraId="6E1FFF54" w14:textId="1FDA80E6" w:rsidR="00C4782B" w:rsidRPr="005031CB" w:rsidRDefault="00C4782B" w:rsidP="000C35EE">
            <w:pPr>
              <w:spacing w:before="60" w:after="60"/>
              <w:jc w:val="center"/>
              <w:rPr>
                <w:sz w:val="20"/>
                <w:szCs w:val="20"/>
              </w:rPr>
            </w:pPr>
            <w:r w:rsidRPr="005031CB">
              <w:rPr>
                <w:sz w:val="20"/>
                <w:szCs w:val="20"/>
              </w:rPr>
              <w:t>1.7</w:t>
            </w:r>
          </w:p>
        </w:tc>
        <w:tc>
          <w:tcPr>
            <w:tcW w:w="964" w:type="dxa"/>
            <w:tcBorders>
              <w:top w:val="single" w:sz="4" w:space="0" w:color="000000"/>
            </w:tcBorders>
            <w:vAlign w:val="center"/>
          </w:tcPr>
          <w:p w14:paraId="5C933718" w14:textId="51C8DF3D" w:rsidR="00C4782B" w:rsidRPr="005031CB" w:rsidRDefault="00C4782B"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14:paraId="16B58995" w14:textId="18F5DBBD" w:rsidR="00C4782B" w:rsidRPr="005031CB" w:rsidRDefault="00C4782B" w:rsidP="000C35EE">
            <w:pPr>
              <w:spacing w:before="60" w:after="60"/>
              <w:jc w:val="center"/>
              <w:rPr>
                <w:sz w:val="20"/>
                <w:szCs w:val="20"/>
              </w:rPr>
            </w:pPr>
            <w:r w:rsidRPr="005031CB">
              <w:rPr>
                <w:sz w:val="20"/>
                <w:szCs w:val="20"/>
              </w:rPr>
              <w:t>4.0%</w:t>
            </w:r>
          </w:p>
        </w:tc>
        <w:tc>
          <w:tcPr>
            <w:tcW w:w="964" w:type="dxa"/>
            <w:tcBorders>
              <w:top w:val="single" w:sz="4" w:space="0" w:color="000000"/>
            </w:tcBorders>
            <w:vAlign w:val="center"/>
          </w:tcPr>
          <w:p w14:paraId="4D6BE841" w14:textId="0FA69C20" w:rsidR="00C4782B" w:rsidRPr="005031CB" w:rsidRDefault="00C4782B" w:rsidP="000C35EE">
            <w:pPr>
              <w:spacing w:before="60" w:after="60"/>
              <w:jc w:val="center"/>
              <w:rPr>
                <w:sz w:val="20"/>
                <w:szCs w:val="20"/>
              </w:rPr>
            </w:pPr>
            <w:r w:rsidRPr="005031CB">
              <w:rPr>
                <w:sz w:val="20"/>
                <w:szCs w:val="20"/>
              </w:rPr>
              <w:t>12</w:t>
            </w:r>
          </w:p>
        </w:tc>
        <w:tc>
          <w:tcPr>
            <w:tcW w:w="964" w:type="dxa"/>
            <w:tcBorders>
              <w:top w:val="single" w:sz="4" w:space="0" w:color="000000"/>
            </w:tcBorders>
            <w:vAlign w:val="center"/>
          </w:tcPr>
          <w:p w14:paraId="3FB9D842" w14:textId="37B57C74" w:rsidR="00C4782B" w:rsidRPr="005031CB" w:rsidRDefault="00C4782B" w:rsidP="000C35EE">
            <w:pPr>
              <w:spacing w:before="60" w:after="60"/>
              <w:jc w:val="center"/>
              <w:rPr>
                <w:sz w:val="20"/>
                <w:szCs w:val="20"/>
              </w:rPr>
            </w:pPr>
            <w:r w:rsidRPr="005031CB">
              <w:rPr>
                <w:sz w:val="20"/>
                <w:szCs w:val="20"/>
              </w:rPr>
              <w:t>80%</w:t>
            </w:r>
          </w:p>
        </w:tc>
      </w:tr>
      <w:tr w:rsidR="00C4782B" w:rsidRPr="005031CB" w14:paraId="7E0201B9" w14:textId="77777777" w:rsidTr="009A68DD">
        <w:trPr>
          <w:trHeight w:val="456"/>
        </w:trPr>
        <w:tc>
          <w:tcPr>
            <w:tcW w:w="1276" w:type="dxa"/>
            <w:tcBorders>
              <w:top w:val="single" w:sz="4" w:space="0" w:color="000000"/>
            </w:tcBorders>
            <w:vAlign w:val="center"/>
          </w:tcPr>
          <w:p w14:paraId="5AB56033" w14:textId="1A674FFF" w:rsidR="00C4782B" w:rsidRPr="005031CB" w:rsidRDefault="00C4782B" w:rsidP="000C35EE">
            <w:pPr>
              <w:spacing w:before="60" w:after="60"/>
              <w:ind w:left="34"/>
              <w:jc w:val="left"/>
              <w:rPr>
                <w:sz w:val="20"/>
                <w:szCs w:val="20"/>
              </w:rPr>
            </w:pPr>
            <w:r w:rsidRPr="005031CB">
              <w:rPr>
                <w:sz w:val="20"/>
                <w:szCs w:val="20"/>
              </w:rPr>
              <w:t>AC2</w:t>
            </w:r>
          </w:p>
        </w:tc>
        <w:tc>
          <w:tcPr>
            <w:tcW w:w="3544" w:type="dxa"/>
            <w:tcBorders>
              <w:top w:val="single" w:sz="4" w:space="0" w:color="000000"/>
            </w:tcBorders>
            <w:vAlign w:val="center"/>
          </w:tcPr>
          <w:p w14:paraId="7B386568" w14:textId="2C476D35" w:rsidR="00C4782B" w:rsidRPr="005031CB" w:rsidRDefault="00C4782B" w:rsidP="00522F8F">
            <w:pPr>
              <w:spacing w:before="60" w:after="60"/>
              <w:jc w:val="left"/>
              <w:rPr>
                <w:sz w:val="20"/>
                <w:szCs w:val="20"/>
              </w:rPr>
            </w:pPr>
            <w:r w:rsidRPr="005031CB">
              <w:rPr>
                <w:sz w:val="20"/>
                <w:szCs w:val="20"/>
              </w:rPr>
              <w:t>Single split: ducted: 1 &amp; 3 phase</w:t>
            </w:r>
          </w:p>
        </w:tc>
        <w:tc>
          <w:tcPr>
            <w:tcW w:w="964" w:type="dxa"/>
            <w:tcBorders>
              <w:top w:val="single" w:sz="4" w:space="0" w:color="000000"/>
            </w:tcBorders>
            <w:vAlign w:val="center"/>
          </w:tcPr>
          <w:p w14:paraId="3D9741AA" w14:textId="487451A5" w:rsidR="00C4782B" w:rsidRPr="005031CB" w:rsidRDefault="00C4782B" w:rsidP="000C35EE">
            <w:pPr>
              <w:spacing w:before="60" w:after="60"/>
              <w:jc w:val="center"/>
              <w:rPr>
                <w:sz w:val="20"/>
                <w:szCs w:val="20"/>
              </w:rPr>
            </w:pPr>
            <w:r w:rsidRPr="005031CB">
              <w:rPr>
                <w:sz w:val="20"/>
                <w:szCs w:val="20"/>
              </w:rPr>
              <w:t>4.7</w:t>
            </w:r>
          </w:p>
        </w:tc>
        <w:tc>
          <w:tcPr>
            <w:tcW w:w="964" w:type="dxa"/>
            <w:tcBorders>
              <w:top w:val="single" w:sz="4" w:space="0" w:color="000000"/>
            </w:tcBorders>
            <w:vAlign w:val="center"/>
          </w:tcPr>
          <w:p w14:paraId="6EBEEC66" w14:textId="316D092C" w:rsidR="00C4782B" w:rsidRPr="005031CB" w:rsidRDefault="00C4782B"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14:paraId="2D7FF67F" w14:textId="3F05BBD8" w:rsidR="00C4782B" w:rsidRPr="005031CB" w:rsidRDefault="00C4782B" w:rsidP="000C35EE">
            <w:pPr>
              <w:spacing w:before="60" w:after="60"/>
              <w:jc w:val="center"/>
              <w:rPr>
                <w:sz w:val="20"/>
                <w:szCs w:val="20"/>
              </w:rPr>
            </w:pPr>
            <w:r w:rsidRPr="005031CB">
              <w:rPr>
                <w:sz w:val="20"/>
                <w:szCs w:val="20"/>
              </w:rPr>
              <w:t>4.0%</w:t>
            </w:r>
          </w:p>
        </w:tc>
        <w:tc>
          <w:tcPr>
            <w:tcW w:w="964" w:type="dxa"/>
            <w:tcBorders>
              <w:top w:val="single" w:sz="4" w:space="0" w:color="000000"/>
            </w:tcBorders>
            <w:vAlign w:val="center"/>
          </w:tcPr>
          <w:p w14:paraId="21204047" w14:textId="5A0425A8" w:rsidR="00C4782B" w:rsidRPr="005031CB" w:rsidRDefault="00C4782B" w:rsidP="000C35EE">
            <w:pPr>
              <w:spacing w:before="60" w:after="60"/>
              <w:jc w:val="center"/>
              <w:rPr>
                <w:sz w:val="20"/>
                <w:szCs w:val="20"/>
              </w:rPr>
            </w:pPr>
            <w:r w:rsidRPr="005031CB">
              <w:rPr>
                <w:sz w:val="20"/>
                <w:szCs w:val="20"/>
              </w:rPr>
              <w:t>12</w:t>
            </w:r>
          </w:p>
        </w:tc>
        <w:tc>
          <w:tcPr>
            <w:tcW w:w="964" w:type="dxa"/>
            <w:tcBorders>
              <w:top w:val="single" w:sz="4" w:space="0" w:color="000000"/>
            </w:tcBorders>
            <w:vAlign w:val="center"/>
          </w:tcPr>
          <w:p w14:paraId="6D4EAAF9" w14:textId="6C259637" w:rsidR="00C4782B" w:rsidRPr="005031CB" w:rsidRDefault="00C4782B" w:rsidP="000C35EE">
            <w:pPr>
              <w:spacing w:before="60" w:after="60"/>
              <w:jc w:val="center"/>
              <w:rPr>
                <w:sz w:val="20"/>
                <w:szCs w:val="20"/>
              </w:rPr>
            </w:pPr>
            <w:r w:rsidRPr="005031CB">
              <w:rPr>
                <w:sz w:val="20"/>
                <w:szCs w:val="20"/>
              </w:rPr>
              <w:t>80%</w:t>
            </w:r>
          </w:p>
        </w:tc>
      </w:tr>
      <w:tr w:rsidR="00C4782B" w:rsidRPr="005031CB" w14:paraId="07F0477E" w14:textId="77777777" w:rsidTr="009A68DD">
        <w:trPr>
          <w:trHeight w:val="456"/>
        </w:trPr>
        <w:tc>
          <w:tcPr>
            <w:tcW w:w="1276" w:type="dxa"/>
            <w:tcBorders>
              <w:top w:val="single" w:sz="4" w:space="0" w:color="000000"/>
            </w:tcBorders>
            <w:vAlign w:val="center"/>
          </w:tcPr>
          <w:p w14:paraId="2EE9D395" w14:textId="44A427A8" w:rsidR="00C4782B" w:rsidRPr="005031CB" w:rsidRDefault="00C4782B" w:rsidP="000C35EE">
            <w:pPr>
              <w:spacing w:before="60" w:after="60"/>
              <w:ind w:left="34"/>
              <w:jc w:val="left"/>
              <w:rPr>
                <w:sz w:val="20"/>
                <w:szCs w:val="20"/>
              </w:rPr>
            </w:pPr>
            <w:r w:rsidRPr="005031CB">
              <w:rPr>
                <w:sz w:val="20"/>
                <w:szCs w:val="20"/>
              </w:rPr>
              <w:t>AC3</w:t>
            </w:r>
          </w:p>
        </w:tc>
        <w:tc>
          <w:tcPr>
            <w:tcW w:w="3544" w:type="dxa"/>
            <w:tcBorders>
              <w:top w:val="single" w:sz="4" w:space="0" w:color="000000"/>
            </w:tcBorders>
            <w:vAlign w:val="center"/>
          </w:tcPr>
          <w:p w14:paraId="5B66CEAC" w14:textId="6EADE6F7" w:rsidR="00C4782B" w:rsidRPr="005031CB" w:rsidRDefault="00C4782B" w:rsidP="00513F57">
            <w:pPr>
              <w:spacing w:before="60" w:after="60"/>
              <w:jc w:val="left"/>
              <w:rPr>
                <w:sz w:val="20"/>
                <w:szCs w:val="20"/>
              </w:rPr>
            </w:pPr>
            <w:r w:rsidRPr="005031CB">
              <w:rPr>
                <w:sz w:val="20"/>
                <w:szCs w:val="20"/>
              </w:rPr>
              <w:t>Non-</w:t>
            </w:r>
            <w:r w:rsidR="00513F57">
              <w:rPr>
                <w:sz w:val="20"/>
                <w:szCs w:val="20"/>
              </w:rPr>
              <w:t>d</w:t>
            </w:r>
            <w:r w:rsidRPr="005031CB">
              <w:rPr>
                <w:sz w:val="20"/>
                <w:szCs w:val="20"/>
              </w:rPr>
              <w:t xml:space="preserve">ucted: </w:t>
            </w:r>
            <w:r w:rsidR="00513F57">
              <w:rPr>
                <w:sz w:val="20"/>
                <w:szCs w:val="20"/>
              </w:rPr>
              <w:t>u</w:t>
            </w:r>
            <w:r w:rsidRPr="005031CB">
              <w:rPr>
                <w:sz w:val="20"/>
                <w:szCs w:val="20"/>
              </w:rPr>
              <w:t xml:space="preserve">nitary 0-10 kWr </w:t>
            </w:r>
          </w:p>
        </w:tc>
        <w:tc>
          <w:tcPr>
            <w:tcW w:w="964" w:type="dxa"/>
            <w:tcBorders>
              <w:top w:val="single" w:sz="4" w:space="0" w:color="000000"/>
            </w:tcBorders>
            <w:vAlign w:val="center"/>
          </w:tcPr>
          <w:p w14:paraId="12138AA2" w14:textId="7900A34E" w:rsidR="00C4782B" w:rsidRPr="005031CB" w:rsidRDefault="00C4782B" w:rsidP="000C35EE">
            <w:pPr>
              <w:spacing w:before="60" w:after="60"/>
              <w:jc w:val="center"/>
              <w:rPr>
                <w:sz w:val="20"/>
                <w:szCs w:val="20"/>
              </w:rPr>
            </w:pPr>
            <w:r w:rsidRPr="005031CB">
              <w:rPr>
                <w:sz w:val="20"/>
                <w:szCs w:val="20"/>
              </w:rPr>
              <w:t>0.75</w:t>
            </w:r>
          </w:p>
        </w:tc>
        <w:tc>
          <w:tcPr>
            <w:tcW w:w="964" w:type="dxa"/>
            <w:tcBorders>
              <w:top w:val="single" w:sz="4" w:space="0" w:color="000000"/>
            </w:tcBorders>
            <w:vAlign w:val="center"/>
          </w:tcPr>
          <w:p w14:paraId="12BA1CC8" w14:textId="2885D3C2" w:rsidR="00C4782B" w:rsidRPr="005031CB" w:rsidRDefault="00C4782B" w:rsidP="000C35EE">
            <w:pPr>
              <w:spacing w:before="60" w:after="60"/>
              <w:jc w:val="center"/>
              <w:rPr>
                <w:sz w:val="20"/>
                <w:szCs w:val="20"/>
              </w:rPr>
            </w:pPr>
            <w:r w:rsidRPr="005031CB">
              <w:rPr>
                <w:sz w:val="20"/>
                <w:szCs w:val="20"/>
              </w:rPr>
              <w:t>4.0%</w:t>
            </w:r>
          </w:p>
        </w:tc>
        <w:tc>
          <w:tcPr>
            <w:tcW w:w="964" w:type="dxa"/>
            <w:tcBorders>
              <w:top w:val="single" w:sz="4" w:space="0" w:color="000000"/>
            </w:tcBorders>
            <w:vAlign w:val="center"/>
          </w:tcPr>
          <w:p w14:paraId="08EED36A" w14:textId="31198D06" w:rsidR="00C4782B" w:rsidRPr="005031CB" w:rsidRDefault="00C4782B" w:rsidP="000C35EE">
            <w:pPr>
              <w:spacing w:before="60" w:after="60"/>
              <w:jc w:val="center"/>
              <w:rPr>
                <w:sz w:val="20"/>
                <w:szCs w:val="20"/>
              </w:rPr>
            </w:pPr>
            <w:r w:rsidRPr="005031CB">
              <w:rPr>
                <w:sz w:val="20"/>
                <w:szCs w:val="20"/>
              </w:rPr>
              <w:t>3.0%</w:t>
            </w:r>
          </w:p>
        </w:tc>
        <w:tc>
          <w:tcPr>
            <w:tcW w:w="964" w:type="dxa"/>
            <w:tcBorders>
              <w:top w:val="single" w:sz="4" w:space="0" w:color="000000"/>
            </w:tcBorders>
            <w:vAlign w:val="center"/>
          </w:tcPr>
          <w:p w14:paraId="4D314A2C" w14:textId="3C43E6F6" w:rsidR="00C4782B" w:rsidRPr="005031CB" w:rsidRDefault="00C4782B"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14:paraId="76F74A74" w14:textId="140045A9" w:rsidR="00C4782B" w:rsidRPr="005031CB" w:rsidRDefault="00C4782B" w:rsidP="000C35EE">
            <w:pPr>
              <w:spacing w:before="60" w:after="60"/>
              <w:jc w:val="center"/>
              <w:rPr>
                <w:sz w:val="20"/>
                <w:szCs w:val="20"/>
              </w:rPr>
            </w:pPr>
            <w:r w:rsidRPr="005031CB">
              <w:rPr>
                <w:sz w:val="20"/>
                <w:szCs w:val="20"/>
              </w:rPr>
              <w:t>80%</w:t>
            </w:r>
          </w:p>
        </w:tc>
      </w:tr>
      <w:tr w:rsidR="00C4782B" w:rsidRPr="005031CB" w14:paraId="556F3BAA" w14:textId="77777777" w:rsidTr="009A68DD">
        <w:trPr>
          <w:trHeight w:val="456"/>
        </w:trPr>
        <w:tc>
          <w:tcPr>
            <w:tcW w:w="1276" w:type="dxa"/>
            <w:tcBorders>
              <w:top w:val="single" w:sz="4" w:space="0" w:color="000000"/>
            </w:tcBorders>
            <w:vAlign w:val="center"/>
          </w:tcPr>
          <w:p w14:paraId="355CFF5B" w14:textId="1684DD24" w:rsidR="00C4782B" w:rsidRPr="005031CB" w:rsidRDefault="00C4782B" w:rsidP="000C35EE">
            <w:pPr>
              <w:spacing w:before="60" w:after="60"/>
              <w:ind w:left="34"/>
              <w:jc w:val="left"/>
              <w:rPr>
                <w:sz w:val="20"/>
                <w:szCs w:val="20"/>
              </w:rPr>
            </w:pPr>
            <w:r w:rsidRPr="005031CB">
              <w:rPr>
                <w:sz w:val="20"/>
                <w:szCs w:val="20"/>
              </w:rPr>
              <w:t>AC4</w:t>
            </w:r>
          </w:p>
        </w:tc>
        <w:tc>
          <w:tcPr>
            <w:tcW w:w="3544" w:type="dxa"/>
            <w:tcBorders>
              <w:top w:val="single" w:sz="4" w:space="0" w:color="000000"/>
            </w:tcBorders>
            <w:vAlign w:val="center"/>
          </w:tcPr>
          <w:p w14:paraId="4BBD1B07" w14:textId="25877348" w:rsidR="00C4782B" w:rsidRPr="005031CB" w:rsidRDefault="00C4782B" w:rsidP="00C4782B">
            <w:pPr>
              <w:spacing w:before="60" w:after="60"/>
              <w:jc w:val="left"/>
              <w:rPr>
                <w:sz w:val="20"/>
                <w:szCs w:val="20"/>
              </w:rPr>
            </w:pPr>
            <w:r w:rsidRPr="005031CB">
              <w:rPr>
                <w:sz w:val="20"/>
                <w:szCs w:val="20"/>
              </w:rPr>
              <w:t>Portable AC 0-10 kWr</w:t>
            </w:r>
          </w:p>
        </w:tc>
        <w:tc>
          <w:tcPr>
            <w:tcW w:w="964" w:type="dxa"/>
            <w:tcBorders>
              <w:top w:val="single" w:sz="4" w:space="0" w:color="000000"/>
            </w:tcBorders>
            <w:vAlign w:val="center"/>
          </w:tcPr>
          <w:p w14:paraId="30C2B4A2" w14:textId="697D1326" w:rsidR="00C4782B" w:rsidRPr="005031CB" w:rsidRDefault="00C4782B" w:rsidP="000C35EE">
            <w:pPr>
              <w:spacing w:before="60" w:after="60"/>
              <w:jc w:val="center"/>
              <w:rPr>
                <w:sz w:val="20"/>
                <w:szCs w:val="20"/>
              </w:rPr>
            </w:pPr>
            <w:r w:rsidRPr="005031CB">
              <w:rPr>
                <w:sz w:val="20"/>
                <w:szCs w:val="20"/>
              </w:rPr>
              <w:t>0.6</w:t>
            </w:r>
          </w:p>
        </w:tc>
        <w:tc>
          <w:tcPr>
            <w:tcW w:w="964" w:type="dxa"/>
            <w:tcBorders>
              <w:top w:val="single" w:sz="4" w:space="0" w:color="000000"/>
            </w:tcBorders>
            <w:vAlign w:val="center"/>
          </w:tcPr>
          <w:p w14:paraId="38988391" w14:textId="7E547FD4" w:rsidR="00C4782B" w:rsidRPr="005031CB" w:rsidRDefault="00C4782B"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14:paraId="4DFC2DE9" w14:textId="0AB8DEDB" w:rsidR="00C4782B" w:rsidRPr="005031CB" w:rsidRDefault="00C4782B"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14:paraId="5E7A347C" w14:textId="714A2E54" w:rsidR="00C4782B" w:rsidRPr="005031CB" w:rsidRDefault="00C4782B" w:rsidP="000C35EE">
            <w:pPr>
              <w:spacing w:before="60" w:after="60"/>
              <w:jc w:val="center"/>
              <w:rPr>
                <w:sz w:val="20"/>
                <w:szCs w:val="20"/>
              </w:rPr>
            </w:pPr>
            <w:r w:rsidRPr="005031CB">
              <w:rPr>
                <w:sz w:val="20"/>
                <w:szCs w:val="20"/>
              </w:rPr>
              <w:t>7</w:t>
            </w:r>
          </w:p>
        </w:tc>
        <w:tc>
          <w:tcPr>
            <w:tcW w:w="964" w:type="dxa"/>
            <w:tcBorders>
              <w:top w:val="single" w:sz="4" w:space="0" w:color="000000"/>
            </w:tcBorders>
            <w:vAlign w:val="center"/>
          </w:tcPr>
          <w:p w14:paraId="113C6805" w14:textId="45E04440" w:rsidR="00C4782B" w:rsidRPr="005031CB" w:rsidRDefault="00C4782B" w:rsidP="000C35EE">
            <w:pPr>
              <w:spacing w:before="60" w:after="60"/>
              <w:jc w:val="center"/>
              <w:rPr>
                <w:sz w:val="20"/>
                <w:szCs w:val="20"/>
              </w:rPr>
            </w:pPr>
            <w:r w:rsidRPr="005031CB">
              <w:rPr>
                <w:sz w:val="20"/>
                <w:szCs w:val="20"/>
              </w:rPr>
              <w:t>90%</w:t>
            </w:r>
          </w:p>
        </w:tc>
      </w:tr>
      <w:tr w:rsidR="00C4782B" w:rsidRPr="005031CB" w14:paraId="789CB8B6" w14:textId="77777777" w:rsidTr="009A68DD">
        <w:trPr>
          <w:trHeight w:val="456"/>
        </w:trPr>
        <w:tc>
          <w:tcPr>
            <w:tcW w:w="1276" w:type="dxa"/>
            <w:tcBorders>
              <w:top w:val="single" w:sz="4" w:space="0" w:color="000000"/>
            </w:tcBorders>
            <w:vAlign w:val="center"/>
          </w:tcPr>
          <w:p w14:paraId="4BEF8322" w14:textId="4780757D" w:rsidR="00C4782B" w:rsidRPr="005031CB" w:rsidRDefault="00C4782B" w:rsidP="000C35EE">
            <w:pPr>
              <w:spacing w:before="60" w:after="60"/>
              <w:ind w:left="34"/>
              <w:jc w:val="left"/>
              <w:rPr>
                <w:sz w:val="20"/>
                <w:szCs w:val="20"/>
              </w:rPr>
            </w:pPr>
            <w:r w:rsidRPr="005031CB">
              <w:rPr>
                <w:sz w:val="20"/>
                <w:szCs w:val="20"/>
              </w:rPr>
              <w:t>AC5-1</w:t>
            </w:r>
          </w:p>
        </w:tc>
        <w:tc>
          <w:tcPr>
            <w:tcW w:w="3544" w:type="dxa"/>
            <w:tcBorders>
              <w:top w:val="single" w:sz="4" w:space="0" w:color="000000"/>
            </w:tcBorders>
            <w:vAlign w:val="center"/>
          </w:tcPr>
          <w:p w14:paraId="3E869A80" w14:textId="35C63224" w:rsidR="00C4782B" w:rsidRPr="005031CB" w:rsidRDefault="00C4782B" w:rsidP="00C4782B">
            <w:pPr>
              <w:spacing w:before="60" w:after="60"/>
              <w:jc w:val="left"/>
              <w:rPr>
                <w:sz w:val="20"/>
                <w:szCs w:val="20"/>
              </w:rPr>
            </w:pPr>
            <w:r w:rsidRPr="005031CB">
              <w:rPr>
                <w:sz w:val="20"/>
                <w:szCs w:val="20"/>
              </w:rPr>
              <w:t>&lt;500 kWr</w:t>
            </w:r>
          </w:p>
        </w:tc>
        <w:tc>
          <w:tcPr>
            <w:tcW w:w="964" w:type="dxa"/>
            <w:tcBorders>
              <w:top w:val="single" w:sz="4" w:space="0" w:color="000000"/>
            </w:tcBorders>
            <w:vAlign w:val="center"/>
          </w:tcPr>
          <w:p w14:paraId="4CE1F099" w14:textId="47A72F47" w:rsidR="00C4782B" w:rsidRPr="005031CB" w:rsidRDefault="00C4782B" w:rsidP="000C35EE">
            <w:pPr>
              <w:spacing w:before="60" w:after="60"/>
              <w:jc w:val="center"/>
              <w:rPr>
                <w:sz w:val="20"/>
                <w:szCs w:val="20"/>
              </w:rPr>
            </w:pPr>
            <w:r w:rsidRPr="005031CB">
              <w:rPr>
                <w:sz w:val="20"/>
                <w:szCs w:val="20"/>
              </w:rPr>
              <w:t>60</w:t>
            </w:r>
          </w:p>
        </w:tc>
        <w:tc>
          <w:tcPr>
            <w:tcW w:w="964" w:type="dxa"/>
            <w:tcBorders>
              <w:top w:val="single" w:sz="4" w:space="0" w:color="000000"/>
            </w:tcBorders>
            <w:vAlign w:val="center"/>
          </w:tcPr>
          <w:p w14:paraId="12D7FE18" w14:textId="73CDA370" w:rsidR="00C4782B" w:rsidRPr="005031CB" w:rsidRDefault="00C4782B"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14:paraId="033B9066" w14:textId="3303E810" w:rsidR="00C4782B" w:rsidRPr="005031CB" w:rsidRDefault="00C4782B" w:rsidP="000C35EE">
            <w:pPr>
              <w:spacing w:before="60" w:after="60"/>
              <w:jc w:val="center"/>
              <w:rPr>
                <w:sz w:val="20"/>
                <w:szCs w:val="20"/>
              </w:rPr>
            </w:pPr>
            <w:r w:rsidRPr="005031CB">
              <w:rPr>
                <w:sz w:val="20"/>
                <w:szCs w:val="20"/>
              </w:rPr>
              <w:t>6.0%</w:t>
            </w:r>
          </w:p>
        </w:tc>
        <w:tc>
          <w:tcPr>
            <w:tcW w:w="964" w:type="dxa"/>
            <w:tcBorders>
              <w:top w:val="single" w:sz="4" w:space="0" w:color="000000"/>
            </w:tcBorders>
            <w:vAlign w:val="center"/>
          </w:tcPr>
          <w:p w14:paraId="1F1F5CF1" w14:textId="37EA88B4" w:rsidR="00C4782B" w:rsidRPr="005031CB" w:rsidRDefault="00C4782B" w:rsidP="000C35EE">
            <w:pPr>
              <w:spacing w:before="60" w:after="60"/>
              <w:jc w:val="center"/>
              <w:rPr>
                <w:sz w:val="20"/>
                <w:szCs w:val="20"/>
              </w:rPr>
            </w:pPr>
            <w:r w:rsidRPr="005031CB">
              <w:rPr>
                <w:sz w:val="20"/>
                <w:szCs w:val="20"/>
              </w:rPr>
              <w:t>15</w:t>
            </w:r>
          </w:p>
        </w:tc>
        <w:tc>
          <w:tcPr>
            <w:tcW w:w="964" w:type="dxa"/>
            <w:tcBorders>
              <w:top w:val="single" w:sz="4" w:space="0" w:color="000000"/>
            </w:tcBorders>
            <w:vAlign w:val="center"/>
          </w:tcPr>
          <w:p w14:paraId="113D52C3" w14:textId="3B8B2188" w:rsidR="00C4782B" w:rsidRPr="005031CB" w:rsidRDefault="00C4782B" w:rsidP="000C35EE">
            <w:pPr>
              <w:spacing w:before="60" w:after="60"/>
              <w:jc w:val="center"/>
              <w:rPr>
                <w:sz w:val="20"/>
                <w:szCs w:val="20"/>
              </w:rPr>
            </w:pPr>
            <w:r w:rsidRPr="005031CB">
              <w:rPr>
                <w:sz w:val="20"/>
                <w:szCs w:val="20"/>
              </w:rPr>
              <w:t>80%</w:t>
            </w:r>
          </w:p>
        </w:tc>
      </w:tr>
      <w:tr w:rsidR="00C4782B" w:rsidRPr="005031CB" w14:paraId="073A3636" w14:textId="77777777" w:rsidTr="009A68DD">
        <w:trPr>
          <w:trHeight w:val="456"/>
        </w:trPr>
        <w:tc>
          <w:tcPr>
            <w:tcW w:w="1276" w:type="dxa"/>
            <w:tcBorders>
              <w:top w:val="single" w:sz="4" w:space="0" w:color="000000"/>
            </w:tcBorders>
            <w:vAlign w:val="center"/>
          </w:tcPr>
          <w:p w14:paraId="66D68FA3" w14:textId="49802F0B" w:rsidR="00C4782B" w:rsidRPr="005031CB" w:rsidRDefault="00C4782B" w:rsidP="000C35EE">
            <w:pPr>
              <w:spacing w:before="60" w:after="60"/>
              <w:ind w:left="34"/>
              <w:jc w:val="left"/>
              <w:rPr>
                <w:sz w:val="20"/>
                <w:szCs w:val="20"/>
              </w:rPr>
            </w:pPr>
            <w:r w:rsidRPr="005031CB">
              <w:rPr>
                <w:sz w:val="20"/>
                <w:szCs w:val="20"/>
              </w:rPr>
              <w:t>AC5-2</w:t>
            </w:r>
          </w:p>
        </w:tc>
        <w:tc>
          <w:tcPr>
            <w:tcW w:w="3544" w:type="dxa"/>
            <w:tcBorders>
              <w:top w:val="single" w:sz="4" w:space="0" w:color="000000"/>
            </w:tcBorders>
            <w:vAlign w:val="center"/>
          </w:tcPr>
          <w:p w14:paraId="50515A6C" w14:textId="7FF90C20" w:rsidR="00C4782B" w:rsidRPr="005031CB" w:rsidRDefault="00C4782B" w:rsidP="00C4782B">
            <w:pPr>
              <w:spacing w:before="60" w:after="60"/>
              <w:jc w:val="left"/>
              <w:rPr>
                <w:sz w:val="20"/>
                <w:szCs w:val="20"/>
              </w:rPr>
            </w:pPr>
            <w:r w:rsidRPr="005031CB">
              <w:rPr>
                <w:sz w:val="20"/>
                <w:szCs w:val="20"/>
              </w:rPr>
              <w:t>&gt;500 &amp; &lt;1000 kWr</w:t>
            </w:r>
          </w:p>
        </w:tc>
        <w:tc>
          <w:tcPr>
            <w:tcW w:w="964" w:type="dxa"/>
            <w:tcBorders>
              <w:top w:val="single" w:sz="4" w:space="0" w:color="000000"/>
            </w:tcBorders>
            <w:vAlign w:val="center"/>
          </w:tcPr>
          <w:p w14:paraId="5C06C4E3" w14:textId="63922476" w:rsidR="00C4782B" w:rsidRPr="005031CB" w:rsidRDefault="00C4782B" w:rsidP="000C35EE">
            <w:pPr>
              <w:spacing w:before="60" w:after="60"/>
              <w:jc w:val="center"/>
              <w:rPr>
                <w:sz w:val="20"/>
                <w:szCs w:val="20"/>
              </w:rPr>
            </w:pPr>
            <w:r w:rsidRPr="005031CB">
              <w:rPr>
                <w:sz w:val="20"/>
                <w:szCs w:val="20"/>
              </w:rPr>
              <w:t>210</w:t>
            </w:r>
          </w:p>
        </w:tc>
        <w:tc>
          <w:tcPr>
            <w:tcW w:w="964" w:type="dxa"/>
            <w:tcBorders>
              <w:top w:val="single" w:sz="4" w:space="0" w:color="000000"/>
            </w:tcBorders>
            <w:vAlign w:val="center"/>
          </w:tcPr>
          <w:p w14:paraId="0ABC28A3" w14:textId="788DBCB3" w:rsidR="00C4782B" w:rsidRPr="005031CB" w:rsidRDefault="00C4782B"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14:paraId="6F6FA577" w14:textId="708D0633" w:rsidR="00C4782B" w:rsidRPr="005031CB" w:rsidRDefault="00C4782B" w:rsidP="000C35EE">
            <w:pPr>
              <w:spacing w:before="60" w:after="60"/>
              <w:jc w:val="center"/>
              <w:rPr>
                <w:sz w:val="20"/>
                <w:szCs w:val="20"/>
              </w:rPr>
            </w:pPr>
            <w:r w:rsidRPr="005031CB">
              <w:rPr>
                <w:sz w:val="20"/>
                <w:szCs w:val="20"/>
              </w:rPr>
              <w:t>6.0%</w:t>
            </w:r>
          </w:p>
        </w:tc>
        <w:tc>
          <w:tcPr>
            <w:tcW w:w="964" w:type="dxa"/>
            <w:tcBorders>
              <w:top w:val="single" w:sz="4" w:space="0" w:color="000000"/>
            </w:tcBorders>
            <w:vAlign w:val="center"/>
          </w:tcPr>
          <w:p w14:paraId="292BC589" w14:textId="6D33D75F" w:rsidR="00C4782B" w:rsidRPr="005031CB" w:rsidRDefault="00C4782B" w:rsidP="000C35EE">
            <w:pPr>
              <w:spacing w:before="60" w:after="60"/>
              <w:jc w:val="center"/>
              <w:rPr>
                <w:sz w:val="20"/>
                <w:szCs w:val="20"/>
              </w:rPr>
            </w:pPr>
            <w:r w:rsidRPr="005031CB">
              <w:rPr>
                <w:sz w:val="20"/>
                <w:szCs w:val="20"/>
              </w:rPr>
              <w:t>20</w:t>
            </w:r>
          </w:p>
        </w:tc>
        <w:tc>
          <w:tcPr>
            <w:tcW w:w="964" w:type="dxa"/>
            <w:tcBorders>
              <w:top w:val="single" w:sz="4" w:space="0" w:color="000000"/>
            </w:tcBorders>
            <w:vAlign w:val="center"/>
          </w:tcPr>
          <w:p w14:paraId="0F45E3A0" w14:textId="78DA59A9" w:rsidR="00C4782B" w:rsidRPr="005031CB" w:rsidRDefault="00C4782B" w:rsidP="000C35EE">
            <w:pPr>
              <w:spacing w:before="60" w:after="60"/>
              <w:jc w:val="center"/>
              <w:rPr>
                <w:sz w:val="20"/>
                <w:szCs w:val="20"/>
              </w:rPr>
            </w:pPr>
            <w:r w:rsidRPr="005031CB">
              <w:rPr>
                <w:sz w:val="20"/>
                <w:szCs w:val="20"/>
              </w:rPr>
              <w:t>80%</w:t>
            </w:r>
          </w:p>
        </w:tc>
      </w:tr>
      <w:tr w:rsidR="00C408C0" w:rsidRPr="005031CB" w14:paraId="732C6999" w14:textId="77777777" w:rsidTr="009A68DD">
        <w:trPr>
          <w:trHeight w:val="456"/>
        </w:trPr>
        <w:tc>
          <w:tcPr>
            <w:tcW w:w="1276" w:type="dxa"/>
            <w:tcBorders>
              <w:top w:val="single" w:sz="4" w:space="0" w:color="000000"/>
            </w:tcBorders>
            <w:vAlign w:val="center"/>
          </w:tcPr>
          <w:p w14:paraId="58FD1CFB" w14:textId="57BB9DF1" w:rsidR="00C408C0" w:rsidRPr="005031CB" w:rsidRDefault="00C408C0" w:rsidP="000C35EE">
            <w:pPr>
              <w:spacing w:before="60" w:after="60"/>
              <w:ind w:left="34"/>
              <w:jc w:val="left"/>
              <w:rPr>
                <w:sz w:val="20"/>
                <w:szCs w:val="20"/>
              </w:rPr>
            </w:pPr>
            <w:r w:rsidRPr="005031CB">
              <w:rPr>
                <w:sz w:val="20"/>
                <w:szCs w:val="20"/>
              </w:rPr>
              <w:t>AC5-2</w:t>
            </w:r>
          </w:p>
        </w:tc>
        <w:tc>
          <w:tcPr>
            <w:tcW w:w="3544" w:type="dxa"/>
            <w:tcBorders>
              <w:top w:val="single" w:sz="4" w:space="0" w:color="000000"/>
            </w:tcBorders>
            <w:vAlign w:val="center"/>
          </w:tcPr>
          <w:p w14:paraId="014DBC0E" w14:textId="037CB5E8" w:rsidR="00C408C0" w:rsidRPr="005031CB" w:rsidRDefault="00C408C0" w:rsidP="00C4782B">
            <w:pPr>
              <w:spacing w:before="60" w:after="60"/>
              <w:jc w:val="left"/>
              <w:rPr>
                <w:sz w:val="20"/>
                <w:szCs w:val="20"/>
              </w:rPr>
            </w:pPr>
            <w:r w:rsidRPr="005031CB">
              <w:rPr>
                <w:sz w:val="20"/>
                <w:szCs w:val="20"/>
              </w:rPr>
              <w:t>&gt;500 &amp; &lt;1000 kWr (HFC-123)</w:t>
            </w:r>
          </w:p>
        </w:tc>
        <w:tc>
          <w:tcPr>
            <w:tcW w:w="964" w:type="dxa"/>
            <w:tcBorders>
              <w:top w:val="single" w:sz="4" w:space="0" w:color="000000"/>
            </w:tcBorders>
            <w:vAlign w:val="center"/>
          </w:tcPr>
          <w:p w14:paraId="1E3403A9" w14:textId="69CE8909" w:rsidR="00C408C0" w:rsidRPr="005031CB" w:rsidRDefault="00C408C0" w:rsidP="000C35EE">
            <w:pPr>
              <w:spacing w:before="60" w:after="60"/>
              <w:jc w:val="center"/>
              <w:rPr>
                <w:sz w:val="20"/>
                <w:szCs w:val="20"/>
              </w:rPr>
            </w:pPr>
            <w:r w:rsidRPr="005031CB">
              <w:rPr>
                <w:sz w:val="20"/>
                <w:szCs w:val="20"/>
              </w:rPr>
              <w:t>180</w:t>
            </w:r>
          </w:p>
        </w:tc>
        <w:tc>
          <w:tcPr>
            <w:tcW w:w="964" w:type="dxa"/>
            <w:tcBorders>
              <w:top w:val="single" w:sz="4" w:space="0" w:color="000000"/>
            </w:tcBorders>
            <w:vAlign w:val="center"/>
          </w:tcPr>
          <w:p w14:paraId="4C7D2211" w14:textId="336C0A9E" w:rsidR="00C408C0" w:rsidRPr="005031CB" w:rsidRDefault="00C408C0"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14:paraId="7790C9F1" w14:textId="71016B93" w:rsidR="00C408C0" w:rsidRPr="005031CB" w:rsidRDefault="009F0103" w:rsidP="000C35EE">
            <w:pPr>
              <w:spacing w:before="60" w:after="60"/>
              <w:jc w:val="center"/>
              <w:rPr>
                <w:sz w:val="20"/>
                <w:szCs w:val="20"/>
              </w:rPr>
            </w:pPr>
            <w:r w:rsidRPr="005031CB">
              <w:rPr>
                <w:sz w:val="20"/>
                <w:szCs w:val="20"/>
              </w:rPr>
              <w:t>n.a.</w:t>
            </w:r>
          </w:p>
        </w:tc>
        <w:tc>
          <w:tcPr>
            <w:tcW w:w="964" w:type="dxa"/>
            <w:tcBorders>
              <w:top w:val="single" w:sz="4" w:space="0" w:color="000000"/>
            </w:tcBorders>
            <w:vAlign w:val="center"/>
          </w:tcPr>
          <w:p w14:paraId="08A009F5" w14:textId="52E01BE6" w:rsidR="00C408C0" w:rsidRPr="005031CB" w:rsidRDefault="00C408C0" w:rsidP="000C35EE">
            <w:pPr>
              <w:spacing w:before="60" w:after="60"/>
              <w:jc w:val="center"/>
              <w:rPr>
                <w:sz w:val="20"/>
                <w:szCs w:val="20"/>
              </w:rPr>
            </w:pPr>
            <w:r w:rsidRPr="005031CB">
              <w:rPr>
                <w:sz w:val="20"/>
                <w:szCs w:val="20"/>
              </w:rPr>
              <w:t>20</w:t>
            </w:r>
          </w:p>
        </w:tc>
        <w:tc>
          <w:tcPr>
            <w:tcW w:w="964" w:type="dxa"/>
            <w:tcBorders>
              <w:top w:val="single" w:sz="4" w:space="0" w:color="000000"/>
            </w:tcBorders>
            <w:vAlign w:val="center"/>
          </w:tcPr>
          <w:p w14:paraId="7EAAA297" w14:textId="7A9B31D9" w:rsidR="00C408C0" w:rsidRPr="005031CB" w:rsidRDefault="00C408C0" w:rsidP="000C35EE">
            <w:pPr>
              <w:spacing w:before="60" w:after="60"/>
              <w:jc w:val="center"/>
              <w:rPr>
                <w:sz w:val="20"/>
                <w:szCs w:val="20"/>
              </w:rPr>
            </w:pPr>
            <w:r w:rsidRPr="005031CB">
              <w:rPr>
                <w:sz w:val="20"/>
                <w:szCs w:val="20"/>
              </w:rPr>
              <w:t>80%</w:t>
            </w:r>
          </w:p>
        </w:tc>
      </w:tr>
      <w:tr w:rsidR="00C408C0" w:rsidRPr="005031CB" w14:paraId="6476EE70" w14:textId="77777777" w:rsidTr="009A68DD">
        <w:trPr>
          <w:trHeight w:val="456"/>
        </w:trPr>
        <w:tc>
          <w:tcPr>
            <w:tcW w:w="1276" w:type="dxa"/>
            <w:tcBorders>
              <w:top w:val="single" w:sz="4" w:space="0" w:color="000000"/>
            </w:tcBorders>
            <w:vAlign w:val="center"/>
          </w:tcPr>
          <w:p w14:paraId="4F8DAB8A" w14:textId="2CC51174" w:rsidR="00C408C0" w:rsidRPr="005031CB" w:rsidRDefault="00C408C0" w:rsidP="000C35EE">
            <w:pPr>
              <w:spacing w:before="60" w:after="60"/>
              <w:ind w:left="34"/>
              <w:jc w:val="left"/>
              <w:rPr>
                <w:sz w:val="20"/>
                <w:szCs w:val="20"/>
              </w:rPr>
            </w:pPr>
            <w:r w:rsidRPr="005031CB">
              <w:rPr>
                <w:sz w:val="20"/>
                <w:szCs w:val="20"/>
              </w:rPr>
              <w:t>AC5-3</w:t>
            </w:r>
          </w:p>
        </w:tc>
        <w:tc>
          <w:tcPr>
            <w:tcW w:w="3544" w:type="dxa"/>
            <w:tcBorders>
              <w:top w:val="single" w:sz="4" w:space="0" w:color="000000"/>
            </w:tcBorders>
            <w:vAlign w:val="center"/>
          </w:tcPr>
          <w:p w14:paraId="08FAAACC" w14:textId="2CC1D803" w:rsidR="00C408C0" w:rsidRPr="005031CB" w:rsidRDefault="00C408C0" w:rsidP="00C4782B">
            <w:pPr>
              <w:spacing w:before="60" w:after="60"/>
              <w:jc w:val="left"/>
              <w:rPr>
                <w:sz w:val="20"/>
                <w:szCs w:val="20"/>
              </w:rPr>
            </w:pPr>
            <w:r w:rsidRPr="005031CB">
              <w:rPr>
                <w:sz w:val="20"/>
                <w:szCs w:val="20"/>
              </w:rPr>
              <w:t>&gt;1000 kWr</w:t>
            </w:r>
          </w:p>
        </w:tc>
        <w:tc>
          <w:tcPr>
            <w:tcW w:w="964" w:type="dxa"/>
            <w:tcBorders>
              <w:top w:val="single" w:sz="4" w:space="0" w:color="000000"/>
            </w:tcBorders>
            <w:vAlign w:val="center"/>
          </w:tcPr>
          <w:p w14:paraId="13770989" w14:textId="2ED4563B" w:rsidR="00C408C0" w:rsidRPr="005031CB" w:rsidRDefault="00C408C0" w:rsidP="000C35EE">
            <w:pPr>
              <w:spacing w:before="60" w:after="60"/>
              <w:jc w:val="center"/>
              <w:rPr>
                <w:sz w:val="20"/>
                <w:szCs w:val="20"/>
              </w:rPr>
            </w:pPr>
            <w:r w:rsidRPr="005031CB">
              <w:rPr>
                <w:sz w:val="20"/>
                <w:szCs w:val="20"/>
              </w:rPr>
              <w:t>620</w:t>
            </w:r>
          </w:p>
        </w:tc>
        <w:tc>
          <w:tcPr>
            <w:tcW w:w="964" w:type="dxa"/>
            <w:tcBorders>
              <w:top w:val="single" w:sz="4" w:space="0" w:color="000000"/>
            </w:tcBorders>
            <w:vAlign w:val="center"/>
          </w:tcPr>
          <w:p w14:paraId="58B593CD" w14:textId="22FCEDC7" w:rsidR="00C408C0" w:rsidRPr="005031CB" w:rsidRDefault="00C408C0"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14:paraId="48F400CE" w14:textId="5C3AA4B0" w:rsidR="00C408C0" w:rsidRPr="005031CB" w:rsidRDefault="00C408C0" w:rsidP="000C35EE">
            <w:pPr>
              <w:spacing w:before="60" w:after="60"/>
              <w:jc w:val="center"/>
              <w:rPr>
                <w:sz w:val="20"/>
                <w:szCs w:val="20"/>
              </w:rPr>
            </w:pPr>
            <w:r w:rsidRPr="005031CB">
              <w:rPr>
                <w:sz w:val="20"/>
                <w:szCs w:val="20"/>
              </w:rPr>
              <w:t>6.0%</w:t>
            </w:r>
          </w:p>
        </w:tc>
        <w:tc>
          <w:tcPr>
            <w:tcW w:w="964" w:type="dxa"/>
            <w:tcBorders>
              <w:top w:val="single" w:sz="4" w:space="0" w:color="000000"/>
            </w:tcBorders>
            <w:vAlign w:val="center"/>
          </w:tcPr>
          <w:p w14:paraId="53CFB6CD" w14:textId="50CCD305" w:rsidR="00C408C0" w:rsidRPr="005031CB" w:rsidRDefault="00C408C0" w:rsidP="000C35EE">
            <w:pPr>
              <w:spacing w:before="60" w:after="60"/>
              <w:jc w:val="center"/>
              <w:rPr>
                <w:sz w:val="20"/>
                <w:szCs w:val="20"/>
              </w:rPr>
            </w:pPr>
            <w:r w:rsidRPr="005031CB">
              <w:rPr>
                <w:sz w:val="20"/>
                <w:szCs w:val="20"/>
              </w:rPr>
              <w:t>25</w:t>
            </w:r>
          </w:p>
        </w:tc>
        <w:tc>
          <w:tcPr>
            <w:tcW w:w="964" w:type="dxa"/>
            <w:tcBorders>
              <w:top w:val="single" w:sz="4" w:space="0" w:color="000000"/>
            </w:tcBorders>
            <w:vAlign w:val="center"/>
          </w:tcPr>
          <w:p w14:paraId="62A4B9C0" w14:textId="5CC853E9" w:rsidR="00C408C0" w:rsidRPr="005031CB" w:rsidRDefault="00C408C0" w:rsidP="000C35EE">
            <w:pPr>
              <w:spacing w:before="60" w:after="60"/>
              <w:jc w:val="center"/>
              <w:rPr>
                <w:sz w:val="20"/>
                <w:szCs w:val="20"/>
              </w:rPr>
            </w:pPr>
            <w:r w:rsidRPr="005031CB">
              <w:rPr>
                <w:sz w:val="20"/>
                <w:szCs w:val="20"/>
              </w:rPr>
              <w:t>80%</w:t>
            </w:r>
          </w:p>
        </w:tc>
      </w:tr>
      <w:tr w:rsidR="00C408C0" w:rsidRPr="005031CB" w14:paraId="2B7F0A8E" w14:textId="77777777" w:rsidTr="009A68DD">
        <w:trPr>
          <w:trHeight w:val="456"/>
        </w:trPr>
        <w:tc>
          <w:tcPr>
            <w:tcW w:w="1276" w:type="dxa"/>
            <w:tcBorders>
              <w:top w:val="single" w:sz="4" w:space="0" w:color="000000"/>
            </w:tcBorders>
            <w:vAlign w:val="center"/>
          </w:tcPr>
          <w:p w14:paraId="469B02A0" w14:textId="711B9B88" w:rsidR="00C408C0" w:rsidRPr="005031CB" w:rsidRDefault="00C408C0" w:rsidP="000C35EE">
            <w:pPr>
              <w:spacing w:before="60" w:after="60"/>
              <w:ind w:left="34"/>
              <w:jc w:val="left"/>
              <w:rPr>
                <w:sz w:val="20"/>
                <w:szCs w:val="20"/>
              </w:rPr>
            </w:pPr>
            <w:r w:rsidRPr="005031CB">
              <w:rPr>
                <w:sz w:val="20"/>
                <w:szCs w:val="20"/>
              </w:rPr>
              <w:t>AC5-3</w:t>
            </w:r>
          </w:p>
        </w:tc>
        <w:tc>
          <w:tcPr>
            <w:tcW w:w="3544" w:type="dxa"/>
            <w:tcBorders>
              <w:top w:val="single" w:sz="4" w:space="0" w:color="000000"/>
            </w:tcBorders>
            <w:vAlign w:val="center"/>
          </w:tcPr>
          <w:p w14:paraId="43C0984E" w14:textId="11558B0C" w:rsidR="00C408C0" w:rsidRPr="005031CB" w:rsidRDefault="00C408C0" w:rsidP="00C4782B">
            <w:pPr>
              <w:spacing w:before="60" w:after="60"/>
              <w:jc w:val="left"/>
              <w:rPr>
                <w:sz w:val="20"/>
                <w:szCs w:val="20"/>
              </w:rPr>
            </w:pPr>
            <w:r w:rsidRPr="005031CB">
              <w:rPr>
                <w:sz w:val="20"/>
                <w:szCs w:val="20"/>
              </w:rPr>
              <w:t>&gt;1000 kWr (HFC-123)</w:t>
            </w:r>
          </w:p>
        </w:tc>
        <w:tc>
          <w:tcPr>
            <w:tcW w:w="964" w:type="dxa"/>
            <w:tcBorders>
              <w:top w:val="single" w:sz="4" w:space="0" w:color="000000"/>
            </w:tcBorders>
            <w:vAlign w:val="center"/>
          </w:tcPr>
          <w:p w14:paraId="4E9FBC8E" w14:textId="0C47FD78" w:rsidR="00C408C0" w:rsidRPr="005031CB" w:rsidRDefault="00C408C0" w:rsidP="000C35EE">
            <w:pPr>
              <w:spacing w:before="60" w:after="60"/>
              <w:jc w:val="center"/>
              <w:rPr>
                <w:sz w:val="20"/>
                <w:szCs w:val="20"/>
              </w:rPr>
            </w:pPr>
            <w:r w:rsidRPr="005031CB">
              <w:rPr>
                <w:sz w:val="20"/>
                <w:szCs w:val="20"/>
              </w:rPr>
              <w:t>670</w:t>
            </w:r>
          </w:p>
        </w:tc>
        <w:tc>
          <w:tcPr>
            <w:tcW w:w="964" w:type="dxa"/>
            <w:tcBorders>
              <w:top w:val="single" w:sz="4" w:space="0" w:color="000000"/>
            </w:tcBorders>
            <w:vAlign w:val="center"/>
          </w:tcPr>
          <w:p w14:paraId="611173B8" w14:textId="40D3A6AE" w:rsidR="00C408C0" w:rsidRPr="005031CB" w:rsidRDefault="00C408C0"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14:paraId="75913567" w14:textId="5E88DBBD" w:rsidR="00C408C0" w:rsidRPr="005031CB" w:rsidRDefault="009F0103" w:rsidP="000C35EE">
            <w:pPr>
              <w:spacing w:before="60" w:after="60"/>
              <w:jc w:val="center"/>
              <w:rPr>
                <w:sz w:val="20"/>
                <w:szCs w:val="20"/>
              </w:rPr>
            </w:pPr>
            <w:r w:rsidRPr="005031CB">
              <w:rPr>
                <w:sz w:val="20"/>
                <w:szCs w:val="20"/>
              </w:rPr>
              <w:t>n.a.</w:t>
            </w:r>
          </w:p>
        </w:tc>
        <w:tc>
          <w:tcPr>
            <w:tcW w:w="964" w:type="dxa"/>
            <w:tcBorders>
              <w:top w:val="single" w:sz="4" w:space="0" w:color="000000"/>
            </w:tcBorders>
            <w:vAlign w:val="center"/>
          </w:tcPr>
          <w:p w14:paraId="5EBAAF45" w14:textId="12AE42FF" w:rsidR="00C408C0" w:rsidRPr="005031CB" w:rsidRDefault="00C408C0" w:rsidP="000C35EE">
            <w:pPr>
              <w:spacing w:before="60" w:after="60"/>
              <w:jc w:val="center"/>
              <w:rPr>
                <w:sz w:val="20"/>
                <w:szCs w:val="20"/>
              </w:rPr>
            </w:pPr>
            <w:r w:rsidRPr="005031CB">
              <w:rPr>
                <w:sz w:val="20"/>
                <w:szCs w:val="20"/>
              </w:rPr>
              <w:t>25</w:t>
            </w:r>
          </w:p>
        </w:tc>
        <w:tc>
          <w:tcPr>
            <w:tcW w:w="964" w:type="dxa"/>
            <w:tcBorders>
              <w:top w:val="single" w:sz="4" w:space="0" w:color="000000"/>
            </w:tcBorders>
            <w:vAlign w:val="center"/>
          </w:tcPr>
          <w:p w14:paraId="3AE2D7D6" w14:textId="424CE5B0" w:rsidR="00C408C0" w:rsidRPr="005031CB" w:rsidRDefault="00C408C0" w:rsidP="000C35EE">
            <w:pPr>
              <w:spacing w:before="60" w:after="60"/>
              <w:jc w:val="center"/>
              <w:rPr>
                <w:sz w:val="20"/>
                <w:szCs w:val="20"/>
              </w:rPr>
            </w:pPr>
            <w:r w:rsidRPr="005031CB">
              <w:rPr>
                <w:sz w:val="20"/>
                <w:szCs w:val="20"/>
              </w:rPr>
              <w:t>80%</w:t>
            </w:r>
          </w:p>
        </w:tc>
      </w:tr>
      <w:tr w:rsidR="00C408C0" w:rsidRPr="005031CB" w14:paraId="047D3E81" w14:textId="77777777" w:rsidTr="009A68DD">
        <w:trPr>
          <w:trHeight w:val="456"/>
        </w:trPr>
        <w:tc>
          <w:tcPr>
            <w:tcW w:w="1276" w:type="dxa"/>
            <w:tcBorders>
              <w:top w:val="single" w:sz="4" w:space="0" w:color="000000"/>
            </w:tcBorders>
            <w:vAlign w:val="center"/>
          </w:tcPr>
          <w:p w14:paraId="6026B336" w14:textId="4AFF549A" w:rsidR="00C408C0" w:rsidRPr="005031CB" w:rsidRDefault="00C408C0" w:rsidP="000C35EE">
            <w:pPr>
              <w:spacing w:before="60" w:after="60"/>
              <w:ind w:left="34"/>
              <w:jc w:val="left"/>
              <w:rPr>
                <w:sz w:val="20"/>
                <w:szCs w:val="20"/>
              </w:rPr>
            </w:pPr>
            <w:r w:rsidRPr="005031CB">
              <w:rPr>
                <w:sz w:val="20"/>
                <w:szCs w:val="20"/>
              </w:rPr>
              <w:t>AC6-1</w:t>
            </w:r>
          </w:p>
        </w:tc>
        <w:tc>
          <w:tcPr>
            <w:tcW w:w="3544" w:type="dxa"/>
            <w:tcBorders>
              <w:top w:val="single" w:sz="4" w:space="0" w:color="000000"/>
            </w:tcBorders>
            <w:vAlign w:val="center"/>
          </w:tcPr>
          <w:p w14:paraId="47B60951" w14:textId="329E02E6" w:rsidR="00C408C0" w:rsidRPr="005031CB" w:rsidRDefault="00C408C0" w:rsidP="00C4782B">
            <w:pPr>
              <w:spacing w:before="60" w:after="60"/>
              <w:jc w:val="left"/>
              <w:rPr>
                <w:sz w:val="20"/>
                <w:szCs w:val="20"/>
              </w:rPr>
            </w:pPr>
            <w:r w:rsidRPr="005031CB">
              <w:rPr>
                <w:sz w:val="20"/>
                <w:szCs w:val="20"/>
              </w:rPr>
              <w:t>RT Packaged systems</w:t>
            </w:r>
          </w:p>
        </w:tc>
        <w:tc>
          <w:tcPr>
            <w:tcW w:w="964" w:type="dxa"/>
            <w:tcBorders>
              <w:top w:val="single" w:sz="4" w:space="0" w:color="000000"/>
            </w:tcBorders>
            <w:vAlign w:val="center"/>
          </w:tcPr>
          <w:p w14:paraId="2D903514" w14:textId="1B145B7E" w:rsidR="00C408C0" w:rsidRPr="005031CB" w:rsidRDefault="00C408C0" w:rsidP="000C35EE">
            <w:pPr>
              <w:spacing w:before="60" w:after="60"/>
              <w:jc w:val="center"/>
              <w:rPr>
                <w:sz w:val="20"/>
                <w:szCs w:val="20"/>
              </w:rPr>
            </w:pPr>
            <w:r w:rsidRPr="005031CB">
              <w:rPr>
                <w:sz w:val="20"/>
                <w:szCs w:val="20"/>
              </w:rPr>
              <w:t>12.2</w:t>
            </w:r>
          </w:p>
        </w:tc>
        <w:tc>
          <w:tcPr>
            <w:tcW w:w="964" w:type="dxa"/>
            <w:tcBorders>
              <w:top w:val="single" w:sz="4" w:space="0" w:color="000000"/>
            </w:tcBorders>
            <w:vAlign w:val="center"/>
          </w:tcPr>
          <w:p w14:paraId="10511324" w14:textId="7706C058" w:rsidR="00C408C0" w:rsidRPr="005031CB" w:rsidRDefault="00C408C0"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14:paraId="1157FB83" w14:textId="590DEC6C" w:rsidR="00C408C0" w:rsidRPr="005031CB" w:rsidRDefault="00C408C0" w:rsidP="000C35EE">
            <w:pPr>
              <w:spacing w:before="60" w:after="60"/>
              <w:jc w:val="center"/>
              <w:rPr>
                <w:sz w:val="20"/>
                <w:szCs w:val="20"/>
              </w:rPr>
            </w:pPr>
            <w:r w:rsidRPr="005031CB">
              <w:rPr>
                <w:sz w:val="20"/>
                <w:szCs w:val="20"/>
              </w:rPr>
              <w:t>4.0%</w:t>
            </w:r>
          </w:p>
        </w:tc>
        <w:tc>
          <w:tcPr>
            <w:tcW w:w="964" w:type="dxa"/>
            <w:tcBorders>
              <w:top w:val="single" w:sz="4" w:space="0" w:color="000000"/>
            </w:tcBorders>
            <w:vAlign w:val="center"/>
          </w:tcPr>
          <w:p w14:paraId="7758833D" w14:textId="0633E034" w:rsidR="00C408C0" w:rsidRPr="005031CB" w:rsidRDefault="00C408C0" w:rsidP="000C35EE">
            <w:pPr>
              <w:spacing w:before="60" w:after="60"/>
              <w:jc w:val="center"/>
              <w:rPr>
                <w:sz w:val="20"/>
                <w:szCs w:val="20"/>
              </w:rPr>
            </w:pPr>
            <w:r w:rsidRPr="005031CB">
              <w:rPr>
                <w:sz w:val="20"/>
                <w:szCs w:val="20"/>
              </w:rPr>
              <w:t>15</w:t>
            </w:r>
          </w:p>
        </w:tc>
        <w:tc>
          <w:tcPr>
            <w:tcW w:w="964" w:type="dxa"/>
            <w:tcBorders>
              <w:top w:val="single" w:sz="4" w:space="0" w:color="000000"/>
            </w:tcBorders>
            <w:vAlign w:val="center"/>
          </w:tcPr>
          <w:p w14:paraId="19AFB346" w14:textId="0F2CCCC3" w:rsidR="00C408C0" w:rsidRPr="005031CB" w:rsidRDefault="00C408C0" w:rsidP="000C35EE">
            <w:pPr>
              <w:spacing w:before="60" w:after="60"/>
              <w:jc w:val="center"/>
              <w:rPr>
                <w:sz w:val="20"/>
                <w:szCs w:val="20"/>
              </w:rPr>
            </w:pPr>
            <w:r w:rsidRPr="005031CB">
              <w:rPr>
                <w:sz w:val="20"/>
                <w:szCs w:val="20"/>
              </w:rPr>
              <w:t>80%</w:t>
            </w:r>
          </w:p>
        </w:tc>
      </w:tr>
      <w:tr w:rsidR="00C408C0" w:rsidRPr="005031CB" w14:paraId="0E072C59" w14:textId="77777777" w:rsidTr="009A68DD">
        <w:trPr>
          <w:trHeight w:val="456"/>
        </w:trPr>
        <w:tc>
          <w:tcPr>
            <w:tcW w:w="1276" w:type="dxa"/>
            <w:tcBorders>
              <w:top w:val="single" w:sz="4" w:space="0" w:color="000000"/>
            </w:tcBorders>
            <w:vAlign w:val="center"/>
          </w:tcPr>
          <w:p w14:paraId="0F15A04E" w14:textId="32182DED" w:rsidR="00C408C0" w:rsidRPr="005031CB" w:rsidRDefault="00C408C0" w:rsidP="000C35EE">
            <w:pPr>
              <w:spacing w:before="60" w:after="60"/>
              <w:ind w:left="34"/>
              <w:jc w:val="left"/>
              <w:rPr>
                <w:sz w:val="20"/>
                <w:szCs w:val="20"/>
              </w:rPr>
            </w:pPr>
            <w:r w:rsidRPr="005031CB">
              <w:rPr>
                <w:sz w:val="20"/>
                <w:szCs w:val="20"/>
              </w:rPr>
              <w:t>AC6-2</w:t>
            </w:r>
          </w:p>
        </w:tc>
        <w:tc>
          <w:tcPr>
            <w:tcW w:w="3544" w:type="dxa"/>
            <w:tcBorders>
              <w:top w:val="single" w:sz="4" w:space="0" w:color="000000"/>
            </w:tcBorders>
            <w:vAlign w:val="center"/>
          </w:tcPr>
          <w:p w14:paraId="4BB38622" w14:textId="6523D021" w:rsidR="00C408C0" w:rsidRPr="005031CB" w:rsidRDefault="00C408C0" w:rsidP="00C4782B">
            <w:pPr>
              <w:spacing w:before="60" w:after="60"/>
              <w:jc w:val="left"/>
              <w:rPr>
                <w:sz w:val="20"/>
                <w:szCs w:val="20"/>
              </w:rPr>
            </w:pPr>
            <w:r w:rsidRPr="005031CB">
              <w:rPr>
                <w:sz w:val="20"/>
                <w:szCs w:val="20"/>
              </w:rPr>
              <w:t>Multi split/VRF</w:t>
            </w:r>
          </w:p>
        </w:tc>
        <w:tc>
          <w:tcPr>
            <w:tcW w:w="964" w:type="dxa"/>
            <w:tcBorders>
              <w:top w:val="single" w:sz="4" w:space="0" w:color="000000"/>
            </w:tcBorders>
            <w:vAlign w:val="center"/>
          </w:tcPr>
          <w:p w14:paraId="412DB03A" w14:textId="44B80C36" w:rsidR="00C408C0" w:rsidRPr="005031CB" w:rsidRDefault="00C408C0"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14:paraId="10CE6DCD" w14:textId="63B9565F" w:rsidR="00C408C0" w:rsidRPr="005031CB" w:rsidRDefault="00C408C0"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14:paraId="5A5704F2" w14:textId="583363C9" w:rsidR="00C408C0" w:rsidRPr="005031CB" w:rsidRDefault="00C408C0" w:rsidP="000C35EE">
            <w:pPr>
              <w:spacing w:before="60" w:after="60"/>
              <w:jc w:val="center"/>
              <w:rPr>
                <w:sz w:val="20"/>
                <w:szCs w:val="20"/>
              </w:rPr>
            </w:pPr>
            <w:r w:rsidRPr="005031CB">
              <w:rPr>
                <w:sz w:val="20"/>
                <w:szCs w:val="20"/>
              </w:rPr>
              <w:t>4.0%</w:t>
            </w:r>
          </w:p>
        </w:tc>
        <w:tc>
          <w:tcPr>
            <w:tcW w:w="964" w:type="dxa"/>
            <w:tcBorders>
              <w:top w:val="single" w:sz="4" w:space="0" w:color="000000"/>
            </w:tcBorders>
            <w:vAlign w:val="center"/>
          </w:tcPr>
          <w:p w14:paraId="5765AFF3" w14:textId="4687F7BA" w:rsidR="00C408C0" w:rsidRPr="005031CB" w:rsidRDefault="00C408C0" w:rsidP="000C35EE">
            <w:pPr>
              <w:spacing w:before="60" w:after="60"/>
              <w:jc w:val="center"/>
              <w:rPr>
                <w:sz w:val="20"/>
                <w:szCs w:val="20"/>
              </w:rPr>
            </w:pPr>
            <w:r w:rsidRPr="005031CB">
              <w:rPr>
                <w:sz w:val="20"/>
                <w:szCs w:val="20"/>
              </w:rPr>
              <w:t>15</w:t>
            </w:r>
          </w:p>
        </w:tc>
        <w:tc>
          <w:tcPr>
            <w:tcW w:w="964" w:type="dxa"/>
            <w:tcBorders>
              <w:top w:val="single" w:sz="4" w:space="0" w:color="000000"/>
            </w:tcBorders>
            <w:vAlign w:val="center"/>
          </w:tcPr>
          <w:p w14:paraId="731BD6AA" w14:textId="69376F03" w:rsidR="00C408C0" w:rsidRPr="005031CB" w:rsidRDefault="00C408C0" w:rsidP="000C35EE">
            <w:pPr>
              <w:spacing w:before="60" w:after="60"/>
              <w:jc w:val="center"/>
              <w:rPr>
                <w:sz w:val="20"/>
                <w:szCs w:val="20"/>
              </w:rPr>
            </w:pPr>
            <w:r w:rsidRPr="005031CB">
              <w:rPr>
                <w:sz w:val="20"/>
                <w:szCs w:val="20"/>
              </w:rPr>
              <w:t>80%</w:t>
            </w:r>
          </w:p>
        </w:tc>
      </w:tr>
      <w:tr w:rsidR="00C408C0" w:rsidRPr="005031CB" w14:paraId="142968E8" w14:textId="77777777" w:rsidTr="009A68DD">
        <w:trPr>
          <w:trHeight w:val="456"/>
        </w:trPr>
        <w:tc>
          <w:tcPr>
            <w:tcW w:w="1276" w:type="dxa"/>
            <w:tcBorders>
              <w:top w:val="single" w:sz="4" w:space="0" w:color="000000"/>
            </w:tcBorders>
            <w:vAlign w:val="center"/>
          </w:tcPr>
          <w:p w14:paraId="7325C48B" w14:textId="6DD7BC6E" w:rsidR="00C408C0" w:rsidRPr="005031CB" w:rsidRDefault="00C408C0" w:rsidP="000C35EE">
            <w:pPr>
              <w:spacing w:before="60" w:after="60"/>
              <w:ind w:left="34"/>
              <w:jc w:val="left"/>
              <w:rPr>
                <w:sz w:val="20"/>
                <w:szCs w:val="20"/>
              </w:rPr>
            </w:pPr>
            <w:r w:rsidRPr="005031CB">
              <w:rPr>
                <w:sz w:val="20"/>
                <w:szCs w:val="20"/>
              </w:rPr>
              <w:t>AC6-3</w:t>
            </w:r>
          </w:p>
        </w:tc>
        <w:tc>
          <w:tcPr>
            <w:tcW w:w="3544" w:type="dxa"/>
            <w:tcBorders>
              <w:top w:val="single" w:sz="4" w:space="0" w:color="000000"/>
            </w:tcBorders>
            <w:vAlign w:val="center"/>
          </w:tcPr>
          <w:p w14:paraId="0AF204CE" w14:textId="20341184" w:rsidR="00C408C0" w:rsidRPr="005031CB" w:rsidRDefault="00C408C0" w:rsidP="00C4782B">
            <w:pPr>
              <w:spacing w:before="60" w:after="60"/>
              <w:jc w:val="left"/>
              <w:rPr>
                <w:sz w:val="20"/>
                <w:szCs w:val="20"/>
              </w:rPr>
            </w:pPr>
            <w:r w:rsidRPr="005031CB">
              <w:rPr>
                <w:sz w:val="20"/>
                <w:szCs w:val="20"/>
              </w:rPr>
              <w:t>Close control</w:t>
            </w:r>
          </w:p>
        </w:tc>
        <w:tc>
          <w:tcPr>
            <w:tcW w:w="964" w:type="dxa"/>
            <w:tcBorders>
              <w:top w:val="single" w:sz="4" w:space="0" w:color="000000"/>
            </w:tcBorders>
            <w:vAlign w:val="center"/>
          </w:tcPr>
          <w:p w14:paraId="01AF1381" w14:textId="0EAABB22" w:rsidR="00C408C0" w:rsidRPr="005031CB" w:rsidRDefault="00C408C0" w:rsidP="000C35EE">
            <w:pPr>
              <w:spacing w:before="60" w:after="60"/>
              <w:jc w:val="center"/>
              <w:rPr>
                <w:sz w:val="20"/>
                <w:szCs w:val="20"/>
              </w:rPr>
            </w:pPr>
            <w:r w:rsidRPr="005031CB">
              <w:rPr>
                <w:sz w:val="20"/>
                <w:szCs w:val="20"/>
              </w:rPr>
              <w:t>30.0</w:t>
            </w:r>
          </w:p>
        </w:tc>
        <w:tc>
          <w:tcPr>
            <w:tcW w:w="964" w:type="dxa"/>
            <w:tcBorders>
              <w:top w:val="single" w:sz="4" w:space="0" w:color="000000"/>
            </w:tcBorders>
            <w:vAlign w:val="center"/>
          </w:tcPr>
          <w:p w14:paraId="348BE5F9" w14:textId="46D9B030" w:rsidR="00C408C0" w:rsidRPr="005031CB" w:rsidRDefault="00C408C0"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14:paraId="76025E71" w14:textId="2848FB0E" w:rsidR="00C408C0" w:rsidRPr="005031CB" w:rsidRDefault="00C408C0" w:rsidP="000C35EE">
            <w:pPr>
              <w:spacing w:before="60" w:after="60"/>
              <w:jc w:val="center"/>
              <w:rPr>
                <w:sz w:val="20"/>
                <w:szCs w:val="20"/>
              </w:rPr>
            </w:pPr>
            <w:r w:rsidRPr="005031CB">
              <w:rPr>
                <w:sz w:val="20"/>
                <w:szCs w:val="20"/>
              </w:rPr>
              <w:t>5.0%</w:t>
            </w:r>
          </w:p>
        </w:tc>
        <w:tc>
          <w:tcPr>
            <w:tcW w:w="964" w:type="dxa"/>
            <w:tcBorders>
              <w:top w:val="single" w:sz="4" w:space="0" w:color="000000"/>
            </w:tcBorders>
            <w:vAlign w:val="center"/>
          </w:tcPr>
          <w:p w14:paraId="53EE15DA" w14:textId="12D404DB" w:rsidR="00C408C0" w:rsidRPr="005031CB" w:rsidRDefault="00C408C0" w:rsidP="000C35EE">
            <w:pPr>
              <w:spacing w:before="60" w:after="60"/>
              <w:jc w:val="center"/>
              <w:rPr>
                <w:sz w:val="20"/>
                <w:szCs w:val="20"/>
              </w:rPr>
            </w:pPr>
            <w:r w:rsidRPr="005031CB">
              <w:rPr>
                <w:sz w:val="20"/>
                <w:szCs w:val="20"/>
              </w:rPr>
              <w:t>15</w:t>
            </w:r>
          </w:p>
        </w:tc>
        <w:tc>
          <w:tcPr>
            <w:tcW w:w="964" w:type="dxa"/>
            <w:tcBorders>
              <w:top w:val="single" w:sz="4" w:space="0" w:color="000000"/>
            </w:tcBorders>
            <w:vAlign w:val="center"/>
          </w:tcPr>
          <w:p w14:paraId="6FC92F53" w14:textId="6ACB04F2" w:rsidR="00C408C0" w:rsidRPr="005031CB" w:rsidRDefault="00C408C0" w:rsidP="000C35EE">
            <w:pPr>
              <w:spacing w:before="60" w:after="60"/>
              <w:jc w:val="center"/>
              <w:rPr>
                <w:sz w:val="20"/>
                <w:szCs w:val="20"/>
              </w:rPr>
            </w:pPr>
            <w:r w:rsidRPr="005031CB">
              <w:rPr>
                <w:sz w:val="20"/>
                <w:szCs w:val="20"/>
              </w:rPr>
              <w:t>80%</w:t>
            </w:r>
          </w:p>
        </w:tc>
      </w:tr>
      <w:tr w:rsidR="00C408C0" w:rsidRPr="005031CB" w14:paraId="67F8F30F" w14:textId="77777777" w:rsidTr="009A68DD">
        <w:trPr>
          <w:trHeight w:val="456"/>
        </w:trPr>
        <w:tc>
          <w:tcPr>
            <w:tcW w:w="1276" w:type="dxa"/>
            <w:tcBorders>
              <w:top w:val="single" w:sz="4" w:space="0" w:color="000000"/>
            </w:tcBorders>
            <w:vAlign w:val="center"/>
          </w:tcPr>
          <w:p w14:paraId="59486F9B" w14:textId="513C346B" w:rsidR="00C408C0" w:rsidRPr="005031CB" w:rsidRDefault="00C408C0" w:rsidP="000C35EE">
            <w:pPr>
              <w:spacing w:before="60" w:after="60"/>
              <w:ind w:left="34"/>
              <w:jc w:val="left"/>
              <w:rPr>
                <w:sz w:val="20"/>
                <w:szCs w:val="20"/>
              </w:rPr>
            </w:pPr>
            <w:r w:rsidRPr="005031CB">
              <w:rPr>
                <w:sz w:val="20"/>
                <w:szCs w:val="20"/>
              </w:rPr>
              <w:t>AC6-4</w:t>
            </w:r>
          </w:p>
        </w:tc>
        <w:tc>
          <w:tcPr>
            <w:tcW w:w="3544" w:type="dxa"/>
            <w:tcBorders>
              <w:top w:val="single" w:sz="4" w:space="0" w:color="000000"/>
            </w:tcBorders>
            <w:vAlign w:val="center"/>
          </w:tcPr>
          <w:p w14:paraId="4AEE74B6" w14:textId="31ED8660" w:rsidR="00C408C0" w:rsidRPr="005031CB" w:rsidRDefault="00C408C0" w:rsidP="00C4782B">
            <w:pPr>
              <w:spacing w:before="60" w:after="60"/>
              <w:jc w:val="left"/>
              <w:rPr>
                <w:sz w:val="20"/>
                <w:szCs w:val="20"/>
              </w:rPr>
            </w:pPr>
            <w:r w:rsidRPr="005031CB">
              <w:rPr>
                <w:sz w:val="20"/>
                <w:szCs w:val="20"/>
              </w:rPr>
              <w:t>HW heat pump: commercial</w:t>
            </w:r>
          </w:p>
        </w:tc>
        <w:tc>
          <w:tcPr>
            <w:tcW w:w="964" w:type="dxa"/>
            <w:tcBorders>
              <w:top w:val="single" w:sz="4" w:space="0" w:color="000000"/>
            </w:tcBorders>
            <w:vAlign w:val="center"/>
          </w:tcPr>
          <w:p w14:paraId="39004E13" w14:textId="0989AB62" w:rsidR="00C408C0" w:rsidRPr="005031CB" w:rsidRDefault="00C408C0" w:rsidP="000C35EE">
            <w:pPr>
              <w:spacing w:before="60" w:after="60"/>
              <w:jc w:val="center"/>
              <w:rPr>
                <w:sz w:val="20"/>
                <w:szCs w:val="20"/>
              </w:rPr>
            </w:pPr>
            <w:r w:rsidRPr="005031CB">
              <w:rPr>
                <w:sz w:val="20"/>
                <w:szCs w:val="20"/>
              </w:rPr>
              <w:t>110.0</w:t>
            </w:r>
          </w:p>
        </w:tc>
        <w:tc>
          <w:tcPr>
            <w:tcW w:w="964" w:type="dxa"/>
            <w:tcBorders>
              <w:top w:val="single" w:sz="4" w:space="0" w:color="000000"/>
            </w:tcBorders>
            <w:vAlign w:val="center"/>
          </w:tcPr>
          <w:p w14:paraId="5BBFEE37" w14:textId="01807EA2" w:rsidR="00C408C0" w:rsidRPr="005031CB" w:rsidRDefault="00C408C0"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14:paraId="6D22A079" w14:textId="3986D0E3" w:rsidR="00C408C0" w:rsidRPr="005031CB" w:rsidRDefault="00C408C0" w:rsidP="000C35EE">
            <w:pPr>
              <w:spacing w:before="60" w:after="60"/>
              <w:jc w:val="center"/>
              <w:rPr>
                <w:sz w:val="20"/>
                <w:szCs w:val="20"/>
              </w:rPr>
            </w:pPr>
            <w:r w:rsidRPr="005031CB">
              <w:rPr>
                <w:sz w:val="20"/>
                <w:szCs w:val="20"/>
              </w:rPr>
              <w:t>5.0%</w:t>
            </w:r>
          </w:p>
        </w:tc>
        <w:tc>
          <w:tcPr>
            <w:tcW w:w="964" w:type="dxa"/>
            <w:tcBorders>
              <w:top w:val="single" w:sz="4" w:space="0" w:color="000000"/>
            </w:tcBorders>
            <w:vAlign w:val="center"/>
          </w:tcPr>
          <w:p w14:paraId="647342C2" w14:textId="04086B9D" w:rsidR="00C408C0" w:rsidRPr="005031CB" w:rsidRDefault="00C408C0" w:rsidP="000C35EE">
            <w:pPr>
              <w:spacing w:before="60" w:after="60"/>
              <w:jc w:val="center"/>
              <w:rPr>
                <w:sz w:val="20"/>
                <w:szCs w:val="20"/>
              </w:rPr>
            </w:pPr>
            <w:r w:rsidRPr="005031CB">
              <w:rPr>
                <w:sz w:val="20"/>
                <w:szCs w:val="20"/>
              </w:rPr>
              <w:t>20</w:t>
            </w:r>
          </w:p>
        </w:tc>
        <w:tc>
          <w:tcPr>
            <w:tcW w:w="964" w:type="dxa"/>
            <w:tcBorders>
              <w:top w:val="single" w:sz="4" w:space="0" w:color="000000"/>
            </w:tcBorders>
            <w:vAlign w:val="center"/>
          </w:tcPr>
          <w:p w14:paraId="34D4EF9C" w14:textId="52150820" w:rsidR="00C408C0" w:rsidRPr="005031CB" w:rsidRDefault="00C408C0" w:rsidP="000C35EE">
            <w:pPr>
              <w:spacing w:before="60" w:after="60"/>
              <w:jc w:val="center"/>
              <w:rPr>
                <w:sz w:val="20"/>
                <w:szCs w:val="20"/>
              </w:rPr>
            </w:pPr>
            <w:r w:rsidRPr="005031CB">
              <w:rPr>
                <w:sz w:val="20"/>
                <w:szCs w:val="20"/>
              </w:rPr>
              <w:t>80%</w:t>
            </w:r>
          </w:p>
        </w:tc>
      </w:tr>
      <w:tr w:rsidR="00C408C0" w:rsidRPr="005031CB" w14:paraId="63868253" w14:textId="77777777" w:rsidTr="009A68DD">
        <w:trPr>
          <w:trHeight w:val="456"/>
        </w:trPr>
        <w:tc>
          <w:tcPr>
            <w:tcW w:w="1276" w:type="dxa"/>
            <w:tcBorders>
              <w:top w:val="single" w:sz="4" w:space="0" w:color="000000"/>
            </w:tcBorders>
            <w:vAlign w:val="center"/>
          </w:tcPr>
          <w:p w14:paraId="5FFBC4BF" w14:textId="232299A0" w:rsidR="00C408C0" w:rsidRPr="005031CB" w:rsidRDefault="00C408C0" w:rsidP="000C35EE">
            <w:pPr>
              <w:spacing w:before="60" w:after="60"/>
              <w:ind w:left="34"/>
              <w:jc w:val="left"/>
              <w:rPr>
                <w:sz w:val="20"/>
                <w:szCs w:val="20"/>
              </w:rPr>
            </w:pPr>
            <w:r w:rsidRPr="005031CB">
              <w:rPr>
                <w:sz w:val="20"/>
                <w:szCs w:val="20"/>
              </w:rPr>
              <w:t>AC6-5</w:t>
            </w:r>
          </w:p>
        </w:tc>
        <w:tc>
          <w:tcPr>
            <w:tcW w:w="3544" w:type="dxa"/>
            <w:tcBorders>
              <w:top w:val="single" w:sz="4" w:space="0" w:color="000000"/>
            </w:tcBorders>
            <w:vAlign w:val="center"/>
          </w:tcPr>
          <w:p w14:paraId="58B7C43A" w14:textId="046D6DAE" w:rsidR="00C408C0" w:rsidRPr="005031CB" w:rsidRDefault="00C408C0" w:rsidP="00C4782B">
            <w:pPr>
              <w:spacing w:before="60" w:after="60"/>
              <w:jc w:val="left"/>
              <w:rPr>
                <w:sz w:val="20"/>
                <w:szCs w:val="20"/>
              </w:rPr>
            </w:pPr>
            <w:r w:rsidRPr="005031CB">
              <w:rPr>
                <w:sz w:val="20"/>
                <w:szCs w:val="20"/>
              </w:rPr>
              <w:t>Pool heat pump</w:t>
            </w:r>
          </w:p>
        </w:tc>
        <w:tc>
          <w:tcPr>
            <w:tcW w:w="964" w:type="dxa"/>
            <w:tcBorders>
              <w:top w:val="single" w:sz="4" w:space="0" w:color="000000"/>
            </w:tcBorders>
            <w:vAlign w:val="center"/>
          </w:tcPr>
          <w:p w14:paraId="1CEFD40B" w14:textId="0BE5A645" w:rsidR="00C408C0" w:rsidRPr="005031CB" w:rsidRDefault="00C408C0" w:rsidP="000C35EE">
            <w:pPr>
              <w:spacing w:before="60" w:after="60"/>
              <w:jc w:val="center"/>
              <w:rPr>
                <w:sz w:val="20"/>
                <w:szCs w:val="20"/>
              </w:rPr>
            </w:pPr>
            <w:r w:rsidRPr="005031CB">
              <w:rPr>
                <w:sz w:val="20"/>
                <w:szCs w:val="20"/>
              </w:rPr>
              <w:t>2.8</w:t>
            </w:r>
          </w:p>
        </w:tc>
        <w:tc>
          <w:tcPr>
            <w:tcW w:w="964" w:type="dxa"/>
            <w:tcBorders>
              <w:top w:val="single" w:sz="4" w:space="0" w:color="000000"/>
            </w:tcBorders>
            <w:vAlign w:val="center"/>
          </w:tcPr>
          <w:p w14:paraId="37A65DD9" w14:textId="04285519" w:rsidR="00C408C0" w:rsidRPr="005031CB" w:rsidRDefault="00C408C0" w:rsidP="000C35EE">
            <w:pPr>
              <w:spacing w:before="60" w:after="60"/>
              <w:jc w:val="center"/>
              <w:rPr>
                <w:sz w:val="20"/>
                <w:szCs w:val="20"/>
              </w:rPr>
            </w:pPr>
            <w:r w:rsidRPr="005031CB">
              <w:rPr>
                <w:sz w:val="20"/>
                <w:szCs w:val="20"/>
              </w:rPr>
              <w:t>8.0%</w:t>
            </w:r>
          </w:p>
        </w:tc>
        <w:tc>
          <w:tcPr>
            <w:tcW w:w="964" w:type="dxa"/>
            <w:tcBorders>
              <w:top w:val="single" w:sz="4" w:space="0" w:color="000000"/>
            </w:tcBorders>
            <w:vAlign w:val="center"/>
          </w:tcPr>
          <w:p w14:paraId="046B1BFC" w14:textId="1A55641F" w:rsidR="00C408C0" w:rsidRPr="005031CB" w:rsidRDefault="00C408C0" w:rsidP="000C35EE">
            <w:pPr>
              <w:spacing w:before="60" w:after="60"/>
              <w:jc w:val="center"/>
              <w:rPr>
                <w:sz w:val="20"/>
                <w:szCs w:val="20"/>
              </w:rPr>
            </w:pPr>
            <w:r w:rsidRPr="005031CB">
              <w:rPr>
                <w:sz w:val="20"/>
                <w:szCs w:val="20"/>
              </w:rPr>
              <w:t>5.0%</w:t>
            </w:r>
          </w:p>
        </w:tc>
        <w:tc>
          <w:tcPr>
            <w:tcW w:w="964" w:type="dxa"/>
            <w:tcBorders>
              <w:top w:val="single" w:sz="4" w:space="0" w:color="000000"/>
            </w:tcBorders>
            <w:vAlign w:val="center"/>
          </w:tcPr>
          <w:p w14:paraId="1C1D5755" w14:textId="58EEAA0A" w:rsidR="00C408C0" w:rsidRPr="005031CB" w:rsidRDefault="00C408C0" w:rsidP="000C35EE">
            <w:pPr>
              <w:spacing w:before="60" w:after="60"/>
              <w:jc w:val="center"/>
              <w:rPr>
                <w:sz w:val="20"/>
                <w:szCs w:val="20"/>
              </w:rPr>
            </w:pPr>
            <w:r w:rsidRPr="005031CB">
              <w:rPr>
                <w:sz w:val="20"/>
                <w:szCs w:val="20"/>
              </w:rPr>
              <w:t>15</w:t>
            </w:r>
          </w:p>
        </w:tc>
        <w:tc>
          <w:tcPr>
            <w:tcW w:w="964" w:type="dxa"/>
            <w:tcBorders>
              <w:top w:val="single" w:sz="4" w:space="0" w:color="000000"/>
            </w:tcBorders>
            <w:vAlign w:val="center"/>
          </w:tcPr>
          <w:p w14:paraId="2CAC27FB" w14:textId="56FE24FD" w:rsidR="00C408C0" w:rsidRPr="005031CB" w:rsidRDefault="00C408C0" w:rsidP="000C35EE">
            <w:pPr>
              <w:spacing w:before="60" w:after="60"/>
              <w:jc w:val="center"/>
              <w:rPr>
                <w:sz w:val="20"/>
                <w:szCs w:val="20"/>
              </w:rPr>
            </w:pPr>
            <w:r w:rsidRPr="005031CB">
              <w:rPr>
                <w:sz w:val="20"/>
                <w:szCs w:val="20"/>
              </w:rPr>
              <w:t>80%</w:t>
            </w:r>
          </w:p>
        </w:tc>
      </w:tr>
      <w:tr w:rsidR="00C408C0" w:rsidRPr="005031CB" w14:paraId="77312756" w14:textId="77777777" w:rsidTr="009A68DD">
        <w:trPr>
          <w:trHeight w:val="456"/>
        </w:trPr>
        <w:tc>
          <w:tcPr>
            <w:tcW w:w="1276" w:type="dxa"/>
            <w:tcBorders>
              <w:top w:val="single" w:sz="4" w:space="0" w:color="000000"/>
              <w:bottom w:val="single" w:sz="4" w:space="0" w:color="000000"/>
            </w:tcBorders>
            <w:vAlign w:val="center"/>
          </w:tcPr>
          <w:p w14:paraId="58D39806" w14:textId="4ABBF5F8" w:rsidR="00C408C0" w:rsidRPr="005031CB" w:rsidRDefault="00C408C0" w:rsidP="000C35EE">
            <w:pPr>
              <w:spacing w:before="60" w:after="60"/>
              <w:ind w:left="34"/>
              <w:jc w:val="left"/>
              <w:rPr>
                <w:sz w:val="20"/>
                <w:szCs w:val="20"/>
              </w:rPr>
            </w:pPr>
            <w:r w:rsidRPr="005031CB">
              <w:rPr>
                <w:sz w:val="20"/>
                <w:szCs w:val="20"/>
              </w:rPr>
              <w:t>AC7</w:t>
            </w:r>
          </w:p>
        </w:tc>
        <w:tc>
          <w:tcPr>
            <w:tcW w:w="3544" w:type="dxa"/>
            <w:tcBorders>
              <w:top w:val="single" w:sz="4" w:space="0" w:color="000000"/>
              <w:bottom w:val="single" w:sz="4" w:space="0" w:color="000000"/>
            </w:tcBorders>
            <w:vAlign w:val="center"/>
          </w:tcPr>
          <w:p w14:paraId="487BF386" w14:textId="4EDF902C" w:rsidR="00C408C0" w:rsidRPr="005031CB" w:rsidRDefault="00C408C0" w:rsidP="00C4782B">
            <w:pPr>
              <w:spacing w:before="60" w:after="60"/>
              <w:jc w:val="left"/>
              <w:rPr>
                <w:sz w:val="20"/>
                <w:szCs w:val="20"/>
              </w:rPr>
            </w:pPr>
            <w:r w:rsidRPr="005031CB">
              <w:rPr>
                <w:sz w:val="20"/>
                <w:szCs w:val="20"/>
              </w:rPr>
              <w:t>HW heat pump: domestic</w:t>
            </w:r>
          </w:p>
        </w:tc>
        <w:tc>
          <w:tcPr>
            <w:tcW w:w="964" w:type="dxa"/>
            <w:tcBorders>
              <w:top w:val="single" w:sz="4" w:space="0" w:color="000000"/>
              <w:bottom w:val="single" w:sz="4" w:space="0" w:color="000000"/>
            </w:tcBorders>
            <w:vAlign w:val="center"/>
          </w:tcPr>
          <w:p w14:paraId="563A313F" w14:textId="6EDDD234" w:rsidR="00C408C0" w:rsidRPr="005031CB" w:rsidRDefault="00C408C0" w:rsidP="000C35EE">
            <w:pPr>
              <w:spacing w:before="60" w:after="60"/>
              <w:jc w:val="center"/>
              <w:rPr>
                <w:sz w:val="20"/>
                <w:szCs w:val="20"/>
              </w:rPr>
            </w:pPr>
            <w:r w:rsidRPr="005031CB">
              <w:rPr>
                <w:sz w:val="20"/>
                <w:szCs w:val="20"/>
              </w:rPr>
              <w:t>0.9</w:t>
            </w:r>
          </w:p>
        </w:tc>
        <w:tc>
          <w:tcPr>
            <w:tcW w:w="964" w:type="dxa"/>
            <w:tcBorders>
              <w:top w:val="single" w:sz="4" w:space="0" w:color="000000"/>
              <w:bottom w:val="single" w:sz="4" w:space="0" w:color="000000"/>
            </w:tcBorders>
            <w:vAlign w:val="center"/>
          </w:tcPr>
          <w:p w14:paraId="1180285D" w14:textId="4ED5FBFE" w:rsidR="00C408C0" w:rsidRPr="005031CB" w:rsidRDefault="00C408C0" w:rsidP="000C35EE">
            <w:pPr>
              <w:spacing w:before="60" w:after="60"/>
              <w:jc w:val="center"/>
              <w:rPr>
                <w:sz w:val="20"/>
                <w:szCs w:val="20"/>
              </w:rPr>
            </w:pPr>
            <w:r w:rsidRPr="005031CB">
              <w:rPr>
                <w:sz w:val="20"/>
                <w:szCs w:val="20"/>
              </w:rPr>
              <w:t>3.0%</w:t>
            </w:r>
          </w:p>
        </w:tc>
        <w:tc>
          <w:tcPr>
            <w:tcW w:w="964" w:type="dxa"/>
            <w:tcBorders>
              <w:top w:val="single" w:sz="4" w:space="0" w:color="000000"/>
              <w:bottom w:val="single" w:sz="4" w:space="0" w:color="000000"/>
            </w:tcBorders>
            <w:vAlign w:val="center"/>
          </w:tcPr>
          <w:p w14:paraId="7C992F87" w14:textId="023116B8" w:rsidR="00C408C0" w:rsidRPr="005031CB" w:rsidRDefault="00C408C0" w:rsidP="000C35EE">
            <w:pPr>
              <w:spacing w:before="60" w:after="60"/>
              <w:jc w:val="center"/>
              <w:rPr>
                <w:sz w:val="20"/>
                <w:szCs w:val="20"/>
              </w:rPr>
            </w:pPr>
            <w:r w:rsidRPr="005031CB">
              <w:rPr>
                <w:sz w:val="20"/>
                <w:szCs w:val="20"/>
              </w:rPr>
              <w:t>3.0%</w:t>
            </w:r>
          </w:p>
        </w:tc>
        <w:tc>
          <w:tcPr>
            <w:tcW w:w="964" w:type="dxa"/>
            <w:tcBorders>
              <w:top w:val="single" w:sz="4" w:space="0" w:color="000000"/>
              <w:bottom w:val="single" w:sz="4" w:space="0" w:color="000000"/>
            </w:tcBorders>
            <w:vAlign w:val="center"/>
          </w:tcPr>
          <w:p w14:paraId="1BC153A5" w14:textId="30414359" w:rsidR="00C408C0" w:rsidRPr="005031CB" w:rsidRDefault="00C408C0" w:rsidP="000C35EE">
            <w:pPr>
              <w:spacing w:before="60" w:after="60"/>
              <w:jc w:val="center"/>
              <w:rPr>
                <w:sz w:val="20"/>
                <w:szCs w:val="20"/>
              </w:rPr>
            </w:pPr>
            <w:r w:rsidRPr="005031CB">
              <w:rPr>
                <w:sz w:val="20"/>
                <w:szCs w:val="20"/>
              </w:rPr>
              <w:t>10</w:t>
            </w:r>
          </w:p>
        </w:tc>
        <w:tc>
          <w:tcPr>
            <w:tcW w:w="964" w:type="dxa"/>
            <w:tcBorders>
              <w:top w:val="single" w:sz="4" w:space="0" w:color="000000"/>
              <w:bottom w:val="single" w:sz="4" w:space="0" w:color="000000"/>
            </w:tcBorders>
            <w:vAlign w:val="center"/>
          </w:tcPr>
          <w:p w14:paraId="62B28F52" w14:textId="52C17125" w:rsidR="00C408C0" w:rsidRPr="005031CB" w:rsidRDefault="00C408C0" w:rsidP="000C35EE">
            <w:pPr>
              <w:spacing w:before="60" w:after="60"/>
              <w:jc w:val="center"/>
              <w:rPr>
                <w:sz w:val="20"/>
                <w:szCs w:val="20"/>
              </w:rPr>
            </w:pPr>
            <w:r w:rsidRPr="005031CB">
              <w:rPr>
                <w:sz w:val="20"/>
                <w:szCs w:val="20"/>
              </w:rPr>
              <w:t>80%</w:t>
            </w:r>
          </w:p>
        </w:tc>
      </w:tr>
      <w:tr w:rsidR="005031CB" w:rsidRPr="005031CB" w14:paraId="15F7F244" w14:textId="77777777" w:rsidTr="009A68DD">
        <w:trPr>
          <w:trHeight w:val="456"/>
        </w:trPr>
        <w:tc>
          <w:tcPr>
            <w:tcW w:w="5784" w:type="dxa"/>
            <w:gridSpan w:val="3"/>
            <w:tcBorders>
              <w:top w:val="single" w:sz="4" w:space="0" w:color="000000"/>
            </w:tcBorders>
            <w:shd w:val="clear" w:color="auto" w:fill="CCFFFF"/>
            <w:vAlign w:val="center"/>
          </w:tcPr>
          <w:p w14:paraId="42CE91EE" w14:textId="1087F752" w:rsidR="005031CB" w:rsidRPr="005031CB" w:rsidRDefault="005031CB" w:rsidP="000C35EE">
            <w:pPr>
              <w:spacing w:before="60" w:after="60"/>
              <w:jc w:val="center"/>
              <w:rPr>
                <w:sz w:val="20"/>
                <w:szCs w:val="20"/>
              </w:rPr>
            </w:pPr>
            <w:r w:rsidRPr="005031CB">
              <w:rPr>
                <w:sz w:val="20"/>
                <w:szCs w:val="20"/>
              </w:rPr>
              <w:t>MOBILE AIR CONDITIONING</w:t>
            </w:r>
          </w:p>
        </w:tc>
        <w:tc>
          <w:tcPr>
            <w:tcW w:w="964" w:type="dxa"/>
            <w:tcBorders>
              <w:top w:val="single" w:sz="4" w:space="0" w:color="000000"/>
              <w:bottom w:val="single" w:sz="4" w:space="0" w:color="000000"/>
            </w:tcBorders>
            <w:shd w:val="clear" w:color="auto" w:fill="CCFFFF"/>
            <w:vAlign w:val="center"/>
          </w:tcPr>
          <w:p w14:paraId="09C11F2C" w14:textId="6415E5EE" w:rsidR="005031CB" w:rsidRPr="005031CB" w:rsidRDefault="005031CB" w:rsidP="000C35EE">
            <w:pPr>
              <w:spacing w:before="60" w:after="60"/>
              <w:jc w:val="center"/>
              <w:rPr>
                <w:sz w:val="20"/>
                <w:szCs w:val="20"/>
              </w:rPr>
            </w:pPr>
            <w:r w:rsidRPr="005031CB">
              <w:rPr>
                <w:sz w:val="20"/>
                <w:szCs w:val="20"/>
              </w:rPr>
              <w:t>Crash</w:t>
            </w:r>
          </w:p>
        </w:tc>
        <w:tc>
          <w:tcPr>
            <w:tcW w:w="964" w:type="dxa"/>
            <w:tcBorders>
              <w:top w:val="single" w:sz="4" w:space="0" w:color="000000"/>
            </w:tcBorders>
            <w:shd w:val="clear" w:color="auto" w:fill="CCFFFF"/>
            <w:vAlign w:val="center"/>
          </w:tcPr>
          <w:p w14:paraId="50D587F1" w14:textId="07BDD31E" w:rsidR="005031CB" w:rsidRPr="005031CB" w:rsidRDefault="005031CB" w:rsidP="000C35EE">
            <w:pPr>
              <w:spacing w:before="60" w:after="60"/>
              <w:jc w:val="center"/>
              <w:rPr>
                <w:sz w:val="20"/>
                <w:szCs w:val="20"/>
              </w:rPr>
            </w:pPr>
            <w:r w:rsidRPr="005031CB">
              <w:rPr>
                <w:sz w:val="20"/>
                <w:szCs w:val="20"/>
              </w:rPr>
              <w:t>HFCs</w:t>
            </w:r>
          </w:p>
        </w:tc>
        <w:tc>
          <w:tcPr>
            <w:tcW w:w="1928" w:type="dxa"/>
            <w:gridSpan w:val="2"/>
            <w:tcBorders>
              <w:top w:val="single" w:sz="4" w:space="0" w:color="000000"/>
            </w:tcBorders>
            <w:shd w:val="clear" w:color="auto" w:fill="CCFFFF"/>
            <w:vAlign w:val="center"/>
          </w:tcPr>
          <w:p w14:paraId="15CA890A" w14:textId="77777777" w:rsidR="005031CB" w:rsidRPr="005031CB" w:rsidRDefault="005031CB" w:rsidP="000C35EE">
            <w:pPr>
              <w:spacing w:before="60" w:after="60"/>
              <w:jc w:val="center"/>
              <w:rPr>
                <w:sz w:val="20"/>
                <w:szCs w:val="20"/>
              </w:rPr>
            </w:pPr>
          </w:p>
        </w:tc>
      </w:tr>
      <w:tr w:rsidR="006C0926" w:rsidRPr="005031CB" w14:paraId="5116C146" w14:textId="77777777" w:rsidTr="009A68DD">
        <w:trPr>
          <w:trHeight w:val="456"/>
        </w:trPr>
        <w:tc>
          <w:tcPr>
            <w:tcW w:w="1276" w:type="dxa"/>
            <w:tcBorders>
              <w:top w:val="single" w:sz="4" w:space="0" w:color="000000"/>
            </w:tcBorders>
            <w:vAlign w:val="center"/>
          </w:tcPr>
          <w:p w14:paraId="45CB3F0C" w14:textId="4BAE8455" w:rsidR="006C0926" w:rsidRPr="005031CB" w:rsidRDefault="006C0926" w:rsidP="000C35EE">
            <w:pPr>
              <w:spacing w:before="60" w:after="60"/>
              <w:ind w:left="34"/>
              <w:jc w:val="left"/>
              <w:rPr>
                <w:sz w:val="20"/>
                <w:szCs w:val="20"/>
              </w:rPr>
            </w:pPr>
            <w:r w:rsidRPr="005031CB">
              <w:rPr>
                <w:sz w:val="20"/>
                <w:szCs w:val="20"/>
              </w:rPr>
              <w:t>MAC1-1</w:t>
            </w:r>
          </w:p>
        </w:tc>
        <w:tc>
          <w:tcPr>
            <w:tcW w:w="3544" w:type="dxa"/>
            <w:tcBorders>
              <w:top w:val="single" w:sz="4" w:space="0" w:color="000000"/>
            </w:tcBorders>
            <w:vAlign w:val="center"/>
          </w:tcPr>
          <w:p w14:paraId="213E9258" w14:textId="1FFAA131" w:rsidR="006C0926" w:rsidRPr="005031CB" w:rsidRDefault="006C0926" w:rsidP="000D4B44">
            <w:pPr>
              <w:spacing w:before="60" w:after="60"/>
              <w:jc w:val="left"/>
              <w:rPr>
                <w:sz w:val="20"/>
                <w:szCs w:val="20"/>
              </w:rPr>
            </w:pPr>
            <w:r w:rsidRPr="005031CB">
              <w:rPr>
                <w:sz w:val="20"/>
                <w:szCs w:val="20"/>
              </w:rPr>
              <w:t>Passenger vehicles</w:t>
            </w:r>
          </w:p>
        </w:tc>
        <w:tc>
          <w:tcPr>
            <w:tcW w:w="964" w:type="dxa"/>
            <w:tcBorders>
              <w:top w:val="single" w:sz="4" w:space="0" w:color="000000"/>
            </w:tcBorders>
            <w:vAlign w:val="center"/>
          </w:tcPr>
          <w:p w14:paraId="7880EB6B" w14:textId="3A463342" w:rsidR="006C0926" w:rsidRPr="005031CB" w:rsidRDefault="006C0926" w:rsidP="000C35EE">
            <w:pPr>
              <w:spacing w:before="60" w:after="60"/>
              <w:jc w:val="center"/>
              <w:rPr>
                <w:sz w:val="20"/>
                <w:szCs w:val="20"/>
              </w:rPr>
            </w:pPr>
            <w:r w:rsidRPr="005031CB">
              <w:rPr>
                <w:sz w:val="20"/>
                <w:szCs w:val="20"/>
              </w:rPr>
              <w:t>0.61</w:t>
            </w:r>
          </w:p>
        </w:tc>
        <w:tc>
          <w:tcPr>
            <w:tcW w:w="964" w:type="dxa"/>
            <w:tcBorders>
              <w:top w:val="single" w:sz="4" w:space="0" w:color="000000"/>
            </w:tcBorders>
            <w:shd w:val="clear" w:color="auto" w:fill="CCFFFF"/>
            <w:vAlign w:val="center"/>
          </w:tcPr>
          <w:p w14:paraId="04D46395" w14:textId="726D7E54" w:rsidR="006C0926" w:rsidRPr="005031CB" w:rsidRDefault="006C0926" w:rsidP="000C35EE">
            <w:pPr>
              <w:spacing w:before="60" w:after="60"/>
              <w:jc w:val="center"/>
              <w:rPr>
                <w:sz w:val="20"/>
                <w:szCs w:val="20"/>
              </w:rPr>
            </w:pPr>
            <w:r w:rsidRPr="005031CB">
              <w:rPr>
                <w:sz w:val="20"/>
                <w:szCs w:val="20"/>
              </w:rPr>
              <w:t>1.5%</w:t>
            </w:r>
          </w:p>
        </w:tc>
        <w:tc>
          <w:tcPr>
            <w:tcW w:w="964" w:type="dxa"/>
            <w:tcBorders>
              <w:top w:val="single" w:sz="4" w:space="0" w:color="000000"/>
            </w:tcBorders>
            <w:vAlign w:val="center"/>
          </w:tcPr>
          <w:p w14:paraId="62FCFA68" w14:textId="39BC8D66" w:rsidR="006C0926" w:rsidRPr="005031CB" w:rsidRDefault="006C0926" w:rsidP="000C35EE">
            <w:pPr>
              <w:spacing w:before="60" w:after="60"/>
              <w:jc w:val="center"/>
              <w:rPr>
                <w:sz w:val="20"/>
                <w:szCs w:val="20"/>
              </w:rPr>
            </w:pPr>
            <w:r w:rsidRPr="005031CB">
              <w:rPr>
                <w:sz w:val="20"/>
                <w:szCs w:val="20"/>
              </w:rPr>
              <w:t>10.0%</w:t>
            </w:r>
          </w:p>
        </w:tc>
        <w:tc>
          <w:tcPr>
            <w:tcW w:w="964" w:type="dxa"/>
            <w:tcBorders>
              <w:top w:val="single" w:sz="4" w:space="0" w:color="000000"/>
            </w:tcBorders>
            <w:vAlign w:val="center"/>
          </w:tcPr>
          <w:p w14:paraId="1E1F593A" w14:textId="2628F682" w:rsidR="006C0926" w:rsidRPr="005031CB" w:rsidRDefault="008D5A0E" w:rsidP="008D5A0E">
            <w:pPr>
              <w:spacing w:before="60" w:after="60"/>
              <w:jc w:val="center"/>
              <w:rPr>
                <w:sz w:val="20"/>
                <w:szCs w:val="20"/>
              </w:rPr>
            </w:pPr>
            <w:r>
              <w:rPr>
                <w:sz w:val="20"/>
                <w:szCs w:val="20"/>
              </w:rPr>
              <w:t>-</w:t>
            </w:r>
          </w:p>
        </w:tc>
        <w:tc>
          <w:tcPr>
            <w:tcW w:w="964" w:type="dxa"/>
            <w:tcBorders>
              <w:top w:val="single" w:sz="4" w:space="0" w:color="000000"/>
            </w:tcBorders>
            <w:vAlign w:val="center"/>
          </w:tcPr>
          <w:p w14:paraId="33AEB9B2" w14:textId="7E755E8C" w:rsidR="006C0926" w:rsidRPr="005031CB" w:rsidRDefault="006C0926" w:rsidP="000C35EE">
            <w:pPr>
              <w:spacing w:before="60" w:after="60"/>
              <w:jc w:val="center"/>
              <w:rPr>
                <w:sz w:val="20"/>
                <w:szCs w:val="20"/>
              </w:rPr>
            </w:pPr>
            <w:r w:rsidRPr="005031CB">
              <w:rPr>
                <w:sz w:val="20"/>
                <w:szCs w:val="20"/>
              </w:rPr>
              <w:t>60%</w:t>
            </w:r>
          </w:p>
        </w:tc>
      </w:tr>
      <w:tr w:rsidR="006C0926" w:rsidRPr="005031CB" w14:paraId="284C3ACA" w14:textId="77777777" w:rsidTr="009A68DD">
        <w:trPr>
          <w:trHeight w:val="456"/>
        </w:trPr>
        <w:tc>
          <w:tcPr>
            <w:tcW w:w="1276" w:type="dxa"/>
            <w:tcBorders>
              <w:top w:val="single" w:sz="4" w:space="0" w:color="000000"/>
            </w:tcBorders>
            <w:vAlign w:val="center"/>
          </w:tcPr>
          <w:p w14:paraId="16ACAF76" w14:textId="011782C8" w:rsidR="006C0926" w:rsidRPr="005031CB" w:rsidRDefault="006C0926" w:rsidP="000C35EE">
            <w:pPr>
              <w:spacing w:before="60" w:after="60"/>
              <w:ind w:left="34"/>
              <w:jc w:val="left"/>
              <w:rPr>
                <w:sz w:val="20"/>
                <w:szCs w:val="20"/>
              </w:rPr>
            </w:pPr>
            <w:r w:rsidRPr="005031CB">
              <w:rPr>
                <w:sz w:val="20"/>
                <w:szCs w:val="20"/>
              </w:rPr>
              <w:t>MAC1-2</w:t>
            </w:r>
          </w:p>
        </w:tc>
        <w:tc>
          <w:tcPr>
            <w:tcW w:w="3544" w:type="dxa"/>
            <w:tcBorders>
              <w:top w:val="single" w:sz="4" w:space="0" w:color="000000"/>
            </w:tcBorders>
            <w:vAlign w:val="center"/>
          </w:tcPr>
          <w:p w14:paraId="79D3FC3C" w14:textId="2E703FEC" w:rsidR="006C0926" w:rsidRPr="005031CB" w:rsidRDefault="006C0926" w:rsidP="000D4B44">
            <w:pPr>
              <w:spacing w:before="60" w:after="60"/>
              <w:jc w:val="left"/>
              <w:rPr>
                <w:sz w:val="20"/>
                <w:szCs w:val="20"/>
              </w:rPr>
            </w:pPr>
            <w:r w:rsidRPr="005031CB">
              <w:rPr>
                <w:sz w:val="20"/>
                <w:szCs w:val="20"/>
              </w:rPr>
              <w:t>Light commercial vehicles</w:t>
            </w:r>
          </w:p>
        </w:tc>
        <w:tc>
          <w:tcPr>
            <w:tcW w:w="964" w:type="dxa"/>
            <w:tcBorders>
              <w:top w:val="single" w:sz="4" w:space="0" w:color="000000"/>
            </w:tcBorders>
            <w:vAlign w:val="center"/>
          </w:tcPr>
          <w:p w14:paraId="548076BE" w14:textId="5FB3A590" w:rsidR="006C0926" w:rsidRPr="005031CB" w:rsidRDefault="006C0926" w:rsidP="000C35EE">
            <w:pPr>
              <w:spacing w:before="60" w:after="60"/>
              <w:jc w:val="center"/>
              <w:rPr>
                <w:sz w:val="20"/>
                <w:szCs w:val="20"/>
              </w:rPr>
            </w:pPr>
            <w:r w:rsidRPr="005031CB">
              <w:rPr>
                <w:sz w:val="20"/>
                <w:szCs w:val="20"/>
              </w:rPr>
              <w:t>0.61</w:t>
            </w:r>
          </w:p>
        </w:tc>
        <w:tc>
          <w:tcPr>
            <w:tcW w:w="964" w:type="dxa"/>
            <w:tcBorders>
              <w:top w:val="single" w:sz="4" w:space="0" w:color="000000"/>
            </w:tcBorders>
            <w:shd w:val="clear" w:color="auto" w:fill="CCFFFF"/>
            <w:vAlign w:val="center"/>
          </w:tcPr>
          <w:p w14:paraId="5F58350F" w14:textId="09E37EDA" w:rsidR="006C0926" w:rsidRPr="005031CB" w:rsidRDefault="006C0926" w:rsidP="000C35EE">
            <w:pPr>
              <w:spacing w:before="60" w:after="60"/>
              <w:jc w:val="center"/>
              <w:rPr>
                <w:sz w:val="20"/>
                <w:szCs w:val="20"/>
              </w:rPr>
            </w:pPr>
            <w:r w:rsidRPr="005031CB">
              <w:rPr>
                <w:sz w:val="20"/>
                <w:szCs w:val="20"/>
              </w:rPr>
              <w:t>1.5%</w:t>
            </w:r>
          </w:p>
        </w:tc>
        <w:tc>
          <w:tcPr>
            <w:tcW w:w="964" w:type="dxa"/>
            <w:tcBorders>
              <w:top w:val="single" w:sz="4" w:space="0" w:color="000000"/>
            </w:tcBorders>
            <w:vAlign w:val="center"/>
          </w:tcPr>
          <w:p w14:paraId="55F858B7" w14:textId="77861622" w:rsidR="006C0926" w:rsidRPr="005031CB" w:rsidRDefault="006C0926" w:rsidP="000C35EE">
            <w:pPr>
              <w:spacing w:before="60" w:after="60"/>
              <w:jc w:val="center"/>
              <w:rPr>
                <w:sz w:val="20"/>
                <w:szCs w:val="20"/>
              </w:rPr>
            </w:pPr>
            <w:r w:rsidRPr="005031CB">
              <w:rPr>
                <w:sz w:val="20"/>
                <w:szCs w:val="20"/>
              </w:rPr>
              <w:t>10.0%</w:t>
            </w:r>
          </w:p>
        </w:tc>
        <w:tc>
          <w:tcPr>
            <w:tcW w:w="964" w:type="dxa"/>
            <w:tcBorders>
              <w:top w:val="single" w:sz="4" w:space="0" w:color="000000"/>
            </w:tcBorders>
            <w:vAlign w:val="center"/>
          </w:tcPr>
          <w:p w14:paraId="33703D46" w14:textId="05E375B9" w:rsidR="006C0926" w:rsidRPr="005031CB" w:rsidRDefault="008D5A0E" w:rsidP="000C35EE">
            <w:pPr>
              <w:spacing w:before="60" w:after="60"/>
              <w:jc w:val="center"/>
              <w:rPr>
                <w:sz w:val="20"/>
                <w:szCs w:val="20"/>
              </w:rPr>
            </w:pPr>
            <w:r>
              <w:rPr>
                <w:sz w:val="20"/>
                <w:szCs w:val="20"/>
              </w:rPr>
              <w:t>-</w:t>
            </w:r>
          </w:p>
        </w:tc>
        <w:tc>
          <w:tcPr>
            <w:tcW w:w="964" w:type="dxa"/>
            <w:tcBorders>
              <w:top w:val="single" w:sz="4" w:space="0" w:color="000000"/>
            </w:tcBorders>
            <w:vAlign w:val="center"/>
          </w:tcPr>
          <w:p w14:paraId="73EB6345" w14:textId="42618BB3" w:rsidR="006C0926" w:rsidRPr="005031CB" w:rsidRDefault="006C0926" w:rsidP="000C35EE">
            <w:pPr>
              <w:spacing w:before="60" w:after="60"/>
              <w:jc w:val="center"/>
              <w:rPr>
                <w:sz w:val="20"/>
                <w:szCs w:val="20"/>
              </w:rPr>
            </w:pPr>
            <w:r w:rsidRPr="005031CB">
              <w:rPr>
                <w:sz w:val="20"/>
                <w:szCs w:val="20"/>
              </w:rPr>
              <w:t>60%</w:t>
            </w:r>
          </w:p>
        </w:tc>
      </w:tr>
      <w:tr w:rsidR="006C0926" w:rsidRPr="005031CB" w14:paraId="09068D2F" w14:textId="77777777" w:rsidTr="009A68DD">
        <w:trPr>
          <w:trHeight w:val="456"/>
        </w:trPr>
        <w:tc>
          <w:tcPr>
            <w:tcW w:w="1276" w:type="dxa"/>
            <w:tcBorders>
              <w:top w:val="single" w:sz="4" w:space="0" w:color="000000"/>
            </w:tcBorders>
            <w:vAlign w:val="center"/>
          </w:tcPr>
          <w:p w14:paraId="1F130E7F" w14:textId="7E00D438" w:rsidR="006C0926" w:rsidRPr="005031CB" w:rsidRDefault="006C0926" w:rsidP="000C35EE">
            <w:pPr>
              <w:spacing w:before="60" w:after="60"/>
              <w:ind w:left="34"/>
              <w:jc w:val="left"/>
              <w:rPr>
                <w:sz w:val="20"/>
                <w:szCs w:val="20"/>
              </w:rPr>
            </w:pPr>
            <w:r w:rsidRPr="005031CB">
              <w:rPr>
                <w:sz w:val="20"/>
                <w:szCs w:val="20"/>
              </w:rPr>
              <w:t>MAC2-1</w:t>
            </w:r>
          </w:p>
        </w:tc>
        <w:tc>
          <w:tcPr>
            <w:tcW w:w="3544" w:type="dxa"/>
            <w:tcBorders>
              <w:top w:val="single" w:sz="4" w:space="0" w:color="000000"/>
            </w:tcBorders>
            <w:vAlign w:val="center"/>
          </w:tcPr>
          <w:p w14:paraId="391FCFF7" w14:textId="79A34900" w:rsidR="006C0926" w:rsidRPr="005031CB" w:rsidRDefault="006C0926" w:rsidP="000D4B44">
            <w:pPr>
              <w:spacing w:before="60" w:after="60"/>
              <w:jc w:val="left"/>
              <w:rPr>
                <w:sz w:val="20"/>
                <w:szCs w:val="20"/>
              </w:rPr>
            </w:pPr>
            <w:r w:rsidRPr="005031CB">
              <w:rPr>
                <w:sz w:val="20"/>
                <w:szCs w:val="20"/>
              </w:rPr>
              <w:t>Rigid truck and other</w:t>
            </w:r>
          </w:p>
        </w:tc>
        <w:tc>
          <w:tcPr>
            <w:tcW w:w="964" w:type="dxa"/>
            <w:tcBorders>
              <w:top w:val="single" w:sz="4" w:space="0" w:color="000000"/>
            </w:tcBorders>
            <w:vAlign w:val="center"/>
          </w:tcPr>
          <w:p w14:paraId="147A088E" w14:textId="1D2EEB9C" w:rsidR="006C0926" w:rsidRPr="005031CB" w:rsidRDefault="006C0926" w:rsidP="000C35EE">
            <w:pPr>
              <w:spacing w:before="60" w:after="60"/>
              <w:jc w:val="center"/>
              <w:rPr>
                <w:sz w:val="20"/>
                <w:szCs w:val="20"/>
              </w:rPr>
            </w:pPr>
            <w:r w:rsidRPr="005031CB">
              <w:rPr>
                <w:sz w:val="20"/>
                <w:szCs w:val="20"/>
              </w:rPr>
              <w:t>1.00</w:t>
            </w:r>
          </w:p>
        </w:tc>
        <w:tc>
          <w:tcPr>
            <w:tcW w:w="964" w:type="dxa"/>
            <w:tcBorders>
              <w:top w:val="single" w:sz="4" w:space="0" w:color="000000"/>
            </w:tcBorders>
            <w:shd w:val="clear" w:color="auto" w:fill="CCFFFF"/>
            <w:vAlign w:val="center"/>
          </w:tcPr>
          <w:p w14:paraId="28A6F08D" w14:textId="2C119312" w:rsidR="006C0926" w:rsidRPr="005031CB" w:rsidRDefault="006C0926"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14:paraId="27671735" w14:textId="3943D362" w:rsidR="006C0926" w:rsidRPr="005031CB" w:rsidRDefault="006C0926" w:rsidP="000C35EE">
            <w:pPr>
              <w:spacing w:before="60" w:after="60"/>
              <w:jc w:val="center"/>
              <w:rPr>
                <w:sz w:val="20"/>
                <w:szCs w:val="20"/>
              </w:rPr>
            </w:pPr>
            <w:r w:rsidRPr="005031CB">
              <w:rPr>
                <w:sz w:val="20"/>
                <w:szCs w:val="20"/>
              </w:rPr>
              <w:t>10.0%</w:t>
            </w:r>
          </w:p>
        </w:tc>
        <w:tc>
          <w:tcPr>
            <w:tcW w:w="964" w:type="dxa"/>
            <w:tcBorders>
              <w:top w:val="single" w:sz="4" w:space="0" w:color="000000"/>
            </w:tcBorders>
            <w:vAlign w:val="center"/>
          </w:tcPr>
          <w:p w14:paraId="38F218C2" w14:textId="33391D68" w:rsidR="006C0926" w:rsidRPr="005031CB" w:rsidRDefault="006C0926" w:rsidP="000C35EE">
            <w:pPr>
              <w:spacing w:before="60" w:after="60"/>
              <w:jc w:val="center"/>
              <w:rPr>
                <w:sz w:val="20"/>
                <w:szCs w:val="20"/>
              </w:rPr>
            </w:pPr>
            <w:r w:rsidRPr="005031CB">
              <w:rPr>
                <w:sz w:val="20"/>
                <w:szCs w:val="20"/>
              </w:rPr>
              <w:t> -</w:t>
            </w:r>
          </w:p>
        </w:tc>
        <w:tc>
          <w:tcPr>
            <w:tcW w:w="964" w:type="dxa"/>
            <w:tcBorders>
              <w:top w:val="single" w:sz="4" w:space="0" w:color="000000"/>
            </w:tcBorders>
            <w:vAlign w:val="center"/>
          </w:tcPr>
          <w:p w14:paraId="3AAC8F69" w14:textId="1666BB6B" w:rsidR="006C0926" w:rsidRPr="005031CB" w:rsidRDefault="006C0926" w:rsidP="000C35EE">
            <w:pPr>
              <w:spacing w:before="60" w:after="60"/>
              <w:jc w:val="center"/>
              <w:rPr>
                <w:sz w:val="20"/>
                <w:szCs w:val="20"/>
              </w:rPr>
            </w:pPr>
            <w:r w:rsidRPr="005031CB">
              <w:rPr>
                <w:sz w:val="20"/>
                <w:szCs w:val="20"/>
              </w:rPr>
              <w:t>60%</w:t>
            </w:r>
          </w:p>
        </w:tc>
      </w:tr>
      <w:tr w:rsidR="006C0926" w:rsidRPr="005031CB" w14:paraId="66E66C54" w14:textId="77777777" w:rsidTr="009A68DD">
        <w:trPr>
          <w:trHeight w:val="456"/>
        </w:trPr>
        <w:tc>
          <w:tcPr>
            <w:tcW w:w="1276" w:type="dxa"/>
            <w:tcBorders>
              <w:top w:val="single" w:sz="4" w:space="0" w:color="000000"/>
            </w:tcBorders>
            <w:vAlign w:val="center"/>
          </w:tcPr>
          <w:p w14:paraId="608E0345" w14:textId="00DA76F0" w:rsidR="006C0926" w:rsidRPr="005031CB" w:rsidRDefault="006C0926" w:rsidP="000C35EE">
            <w:pPr>
              <w:spacing w:before="60" w:after="60"/>
              <w:ind w:left="34"/>
              <w:jc w:val="left"/>
              <w:rPr>
                <w:sz w:val="20"/>
                <w:szCs w:val="20"/>
              </w:rPr>
            </w:pPr>
            <w:r w:rsidRPr="005031CB">
              <w:rPr>
                <w:sz w:val="20"/>
                <w:szCs w:val="20"/>
              </w:rPr>
              <w:t>MAC2-2</w:t>
            </w:r>
          </w:p>
        </w:tc>
        <w:tc>
          <w:tcPr>
            <w:tcW w:w="3544" w:type="dxa"/>
            <w:tcBorders>
              <w:top w:val="single" w:sz="4" w:space="0" w:color="000000"/>
            </w:tcBorders>
            <w:vAlign w:val="center"/>
          </w:tcPr>
          <w:p w14:paraId="432056AB" w14:textId="63739BCA" w:rsidR="006C0926" w:rsidRPr="005031CB" w:rsidRDefault="006C0926" w:rsidP="000D4B44">
            <w:pPr>
              <w:spacing w:before="60" w:after="60"/>
              <w:jc w:val="left"/>
              <w:rPr>
                <w:sz w:val="20"/>
                <w:szCs w:val="20"/>
              </w:rPr>
            </w:pPr>
            <w:r w:rsidRPr="005031CB">
              <w:rPr>
                <w:sz w:val="20"/>
                <w:szCs w:val="20"/>
              </w:rPr>
              <w:t>Truck: articulated</w:t>
            </w:r>
          </w:p>
        </w:tc>
        <w:tc>
          <w:tcPr>
            <w:tcW w:w="964" w:type="dxa"/>
            <w:tcBorders>
              <w:top w:val="single" w:sz="4" w:space="0" w:color="000000"/>
            </w:tcBorders>
            <w:vAlign w:val="center"/>
          </w:tcPr>
          <w:p w14:paraId="4AA9A77A" w14:textId="01C9A1BA" w:rsidR="006C0926" w:rsidRPr="005031CB" w:rsidRDefault="006C0926" w:rsidP="000C35EE">
            <w:pPr>
              <w:spacing w:before="60" w:after="60"/>
              <w:jc w:val="center"/>
              <w:rPr>
                <w:sz w:val="20"/>
                <w:szCs w:val="20"/>
              </w:rPr>
            </w:pPr>
            <w:r w:rsidRPr="005031CB">
              <w:rPr>
                <w:sz w:val="20"/>
                <w:szCs w:val="20"/>
              </w:rPr>
              <w:t>1.00</w:t>
            </w:r>
          </w:p>
        </w:tc>
        <w:tc>
          <w:tcPr>
            <w:tcW w:w="964" w:type="dxa"/>
            <w:tcBorders>
              <w:top w:val="single" w:sz="4" w:space="0" w:color="000000"/>
            </w:tcBorders>
            <w:shd w:val="clear" w:color="auto" w:fill="CCFFFF"/>
            <w:vAlign w:val="center"/>
          </w:tcPr>
          <w:p w14:paraId="698AC67D" w14:textId="2F4DFE11" w:rsidR="006C0926" w:rsidRPr="005031CB" w:rsidRDefault="006C0926"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14:paraId="0BED9B14" w14:textId="5E188D12" w:rsidR="006C0926" w:rsidRPr="005031CB" w:rsidRDefault="006C0926" w:rsidP="000C35EE">
            <w:pPr>
              <w:spacing w:before="60" w:after="60"/>
              <w:jc w:val="center"/>
              <w:rPr>
                <w:sz w:val="20"/>
                <w:szCs w:val="20"/>
              </w:rPr>
            </w:pPr>
            <w:r w:rsidRPr="005031CB">
              <w:rPr>
                <w:sz w:val="20"/>
                <w:szCs w:val="20"/>
              </w:rPr>
              <w:t>10.0%</w:t>
            </w:r>
          </w:p>
        </w:tc>
        <w:tc>
          <w:tcPr>
            <w:tcW w:w="964" w:type="dxa"/>
            <w:tcBorders>
              <w:top w:val="single" w:sz="4" w:space="0" w:color="000000"/>
            </w:tcBorders>
            <w:vAlign w:val="center"/>
          </w:tcPr>
          <w:p w14:paraId="356316CC" w14:textId="3129EE48" w:rsidR="006C0926" w:rsidRPr="005031CB" w:rsidRDefault="006C0926" w:rsidP="000C35EE">
            <w:pPr>
              <w:spacing w:before="60" w:after="60"/>
              <w:jc w:val="center"/>
              <w:rPr>
                <w:sz w:val="20"/>
                <w:szCs w:val="20"/>
              </w:rPr>
            </w:pPr>
            <w:r w:rsidRPr="005031CB">
              <w:rPr>
                <w:sz w:val="20"/>
                <w:szCs w:val="20"/>
              </w:rPr>
              <w:t> -</w:t>
            </w:r>
          </w:p>
        </w:tc>
        <w:tc>
          <w:tcPr>
            <w:tcW w:w="964" w:type="dxa"/>
            <w:tcBorders>
              <w:top w:val="single" w:sz="4" w:space="0" w:color="000000"/>
            </w:tcBorders>
            <w:vAlign w:val="center"/>
          </w:tcPr>
          <w:p w14:paraId="356E635B" w14:textId="7E30BAEE" w:rsidR="006C0926" w:rsidRPr="005031CB" w:rsidRDefault="006C0926" w:rsidP="000C35EE">
            <w:pPr>
              <w:spacing w:before="60" w:after="60"/>
              <w:jc w:val="center"/>
              <w:rPr>
                <w:sz w:val="20"/>
                <w:szCs w:val="20"/>
              </w:rPr>
            </w:pPr>
            <w:r w:rsidRPr="005031CB">
              <w:rPr>
                <w:sz w:val="20"/>
                <w:szCs w:val="20"/>
              </w:rPr>
              <w:t>60%</w:t>
            </w:r>
          </w:p>
        </w:tc>
      </w:tr>
      <w:tr w:rsidR="006C0926" w:rsidRPr="005031CB" w14:paraId="5A0F7D55" w14:textId="77777777" w:rsidTr="009A68DD">
        <w:trPr>
          <w:trHeight w:val="456"/>
        </w:trPr>
        <w:tc>
          <w:tcPr>
            <w:tcW w:w="1276" w:type="dxa"/>
            <w:tcBorders>
              <w:top w:val="single" w:sz="4" w:space="0" w:color="000000"/>
            </w:tcBorders>
            <w:vAlign w:val="center"/>
          </w:tcPr>
          <w:p w14:paraId="39FD4AC3" w14:textId="58118750" w:rsidR="006C0926" w:rsidRPr="005031CB" w:rsidRDefault="006C0926" w:rsidP="000C35EE">
            <w:pPr>
              <w:spacing w:before="60" w:after="60"/>
              <w:ind w:left="34"/>
              <w:jc w:val="left"/>
              <w:rPr>
                <w:sz w:val="20"/>
                <w:szCs w:val="20"/>
              </w:rPr>
            </w:pPr>
            <w:r w:rsidRPr="005031CB">
              <w:rPr>
                <w:sz w:val="20"/>
                <w:szCs w:val="20"/>
              </w:rPr>
              <w:t>MAC2-3</w:t>
            </w:r>
          </w:p>
        </w:tc>
        <w:tc>
          <w:tcPr>
            <w:tcW w:w="3544" w:type="dxa"/>
            <w:tcBorders>
              <w:top w:val="single" w:sz="4" w:space="0" w:color="000000"/>
            </w:tcBorders>
            <w:vAlign w:val="center"/>
          </w:tcPr>
          <w:p w14:paraId="4529E8D7" w14:textId="768A1B7C" w:rsidR="006C0926" w:rsidRPr="005031CB" w:rsidRDefault="006C0926" w:rsidP="000D4B44">
            <w:pPr>
              <w:spacing w:before="60" w:after="60"/>
              <w:jc w:val="left"/>
              <w:rPr>
                <w:sz w:val="20"/>
                <w:szCs w:val="20"/>
              </w:rPr>
            </w:pPr>
            <w:r w:rsidRPr="005031CB">
              <w:rPr>
                <w:sz w:val="20"/>
                <w:szCs w:val="20"/>
              </w:rPr>
              <w:t>Commuter buses</w:t>
            </w:r>
          </w:p>
        </w:tc>
        <w:tc>
          <w:tcPr>
            <w:tcW w:w="964" w:type="dxa"/>
            <w:tcBorders>
              <w:top w:val="single" w:sz="4" w:space="0" w:color="000000"/>
            </w:tcBorders>
            <w:vAlign w:val="center"/>
          </w:tcPr>
          <w:p w14:paraId="73D65D50" w14:textId="75083377" w:rsidR="006C0926" w:rsidRPr="005031CB" w:rsidRDefault="006C0926" w:rsidP="000C35EE">
            <w:pPr>
              <w:spacing w:before="60" w:after="60"/>
              <w:jc w:val="center"/>
              <w:rPr>
                <w:sz w:val="20"/>
                <w:szCs w:val="20"/>
              </w:rPr>
            </w:pPr>
            <w:r w:rsidRPr="005031CB">
              <w:rPr>
                <w:sz w:val="20"/>
                <w:szCs w:val="20"/>
              </w:rPr>
              <w:t>1.00</w:t>
            </w:r>
          </w:p>
        </w:tc>
        <w:tc>
          <w:tcPr>
            <w:tcW w:w="964" w:type="dxa"/>
            <w:tcBorders>
              <w:top w:val="single" w:sz="4" w:space="0" w:color="000000"/>
            </w:tcBorders>
            <w:shd w:val="clear" w:color="auto" w:fill="CCFFFF"/>
            <w:vAlign w:val="center"/>
          </w:tcPr>
          <w:p w14:paraId="01C6C4C5" w14:textId="56AB5071" w:rsidR="006C0926" w:rsidRPr="005031CB" w:rsidRDefault="006C0926"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14:paraId="41777309" w14:textId="0539F4C4" w:rsidR="006C0926" w:rsidRPr="005031CB" w:rsidRDefault="006C0926" w:rsidP="000C35EE">
            <w:pPr>
              <w:spacing w:before="60" w:after="60"/>
              <w:jc w:val="center"/>
              <w:rPr>
                <w:sz w:val="20"/>
                <w:szCs w:val="20"/>
              </w:rPr>
            </w:pPr>
            <w:r w:rsidRPr="005031CB">
              <w:rPr>
                <w:sz w:val="20"/>
                <w:szCs w:val="20"/>
              </w:rPr>
              <w:t>10.0%</w:t>
            </w:r>
          </w:p>
        </w:tc>
        <w:tc>
          <w:tcPr>
            <w:tcW w:w="964" w:type="dxa"/>
            <w:tcBorders>
              <w:top w:val="single" w:sz="4" w:space="0" w:color="000000"/>
            </w:tcBorders>
            <w:vAlign w:val="center"/>
          </w:tcPr>
          <w:p w14:paraId="1E850654" w14:textId="30A70F48" w:rsidR="006C0926" w:rsidRPr="005031CB" w:rsidRDefault="006C0926" w:rsidP="000C35EE">
            <w:pPr>
              <w:spacing w:before="60" w:after="60"/>
              <w:jc w:val="center"/>
              <w:rPr>
                <w:sz w:val="20"/>
                <w:szCs w:val="20"/>
              </w:rPr>
            </w:pPr>
            <w:r w:rsidRPr="005031CB">
              <w:rPr>
                <w:sz w:val="20"/>
                <w:szCs w:val="20"/>
              </w:rPr>
              <w:t> -</w:t>
            </w:r>
          </w:p>
        </w:tc>
        <w:tc>
          <w:tcPr>
            <w:tcW w:w="964" w:type="dxa"/>
            <w:tcBorders>
              <w:top w:val="single" w:sz="4" w:space="0" w:color="000000"/>
            </w:tcBorders>
            <w:vAlign w:val="center"/>
          </w:tcPr>
          <w:p w14:paraId="705077C4" w14:textId="2E802C1B" w:rsidR="006C0926" w:rsidRPr="005031CB" w:rsidRDefault="006C0926" w:rsidP="000C35EE">
            <w:pPr>
              <w:spacing w:before="60" w:after="60"/>
              <w:jc w:val="center"/>
              <w:rPr>
                <w:sz w:val="20"/>
                <w:szCs w:val="20"/>
              </w:rPr>
            </w:pPr>
            <w:r w:rsidRPr="005031CB">
              <w:rPr>
                <w:sz w:val="20"/>
                <w:szCs w:val="20"/>
              </w:rPr>
              <w:t>60%</w:t>
            </w:r>
          </w:p>
        </w:tc>
      </w:tr>
      <w:tr w:rsidR="006C0926" w:rsidRPr="005031CB" w14:paraId="20F3172D" w14:textId="77777777" w:rsidTr="009A68DD">
        <w:trPr>
          <w:trHeight w:val="456"/>
        </w:trPr>
        <w:tc>
          <w:tcPr>
            <w:tcW w:w="1276" w:type="dxa"/>
            <w:tcBorders>
              <w:top w:val="single" w:sz="4" w:space="0" w:color="000000"/>
            </w:tcBorders>
            <w:vAlign w:val="center"/>
          </w:tcPr>
          <w:p w14:paraId="4D864121" w14:textId="3380F5C3" w:rsidR="006C0926" w:rsidRPr="005031CB" w:rsidRDefault="006C0926" w:rsidP="000C35EE">
            <w:pPr>
              <w:spacing w:before="60" w:after="60"/>
              <w:ind w:left="34"/>
              <w:jc w:val="left"/>
              <w:rPr>
                <w:sz w:val="20"/>
                <w:szCs w:val="20"/>
              </w:rPr>
            </w:pPr>
            <w:r w:rsidRPr="005031CB">
              <w:rPr>
                <w:sz w:val="20"/>
                <w:szCs w:val="20"/>
              </w:rPr>
              <w:t>MAC2-4</w:t>
            </w:r>
          </w:p>
        </w:tc>
        <w:tc>
          <w:tcPr>
            <w:tcW w:w="3544" w:type="dxa"/>
            <w:tcBorders>
              <w:top w:val="single" w:sz="4" w:space="0" w:color="000000"/>
            </w:tcBorders>
            <w:vAlign w:val="center"/>
          </w:tcPr>
          <w:p w14:paraId="327D71AC" w14:textId="52E65EC1" w:rsidR="006C0926" w:rsidRPr="005031CB" w:rsidRDefault="006C0926" w:rsidP="000D4B44">
            <w:pPr>
              <w:spacing w:before="60" w:after="60"/>
              <w:jc w:val="left"/>
              <w:rPr>
                <w:sz w:val="20"/>
                <w:szCs w:val="20"/>
              </w:rPr>
            </w:pPr>
            <w:r w:rsidRPr="005031CB">
              <w:rPr>
                <w:sz w:val="20"/>
                <w:szCs w:val="20"/>
              </w:rPr>
              <w:t>Buses (&gt; 7m)</w:t>
            </w:r>
          </w:p>
        </w:tc>
        <w:tc>
          <w:tcPr>
            <w:tcW w:w="964" w:type="dxa"/>
            <w:tcBorders>
              <w:top w:val="single" w:sz="4" w:space="0" w:color="000000"/>
            </w:tcBorders>
            <w:vAlign w:val="center"/>
          </w:tcPr>
          <w:p w14:paraId="117E8F6E" w14:textId="29CE0B38" w:rsidR="006C0926" w:rsidRPr="005031CB" w:rsidRDefault="006C0926" w:rsidP="000C35EE">
            <w:pPr>
              <w:spacing w:before="60" w:after="60"/>
              <w:jc w:val="center"/>
              <w:rPr>
                <w:sz w:val="20"/>
                <w:szCs w:val="20"/>
              </w:rPr>
            </w:pPr>
            <w:r w:rsidRPr="005031CB">
              <w:rPr>
                <w:sz w:val="20"/>
                <w:szCs w:val="20"/>
              </w:rPr>
              <w:t>9.00</w:t>
            </w:r>
          </w:p>
        </w:tc>
        <w:tc>
          <w:tcPr>
            <w:tcW w:w="964" w:type="dxa"/>
            <w:tcBorders>
              <w:top w:val="single" w:sz="4" w:space="0" w:color="000000"/>
            </w:tcBorders>
            <w:shd w:val="clear" w:color="auto" w:fill="CCFFFF"/>
            <w:vAlign w:val="center"/>
          </w:tcPr>
          <w:p w14:paraId="3F512E6D" w14:textId="6091237B" w:rsidR="006C0926" w:rsidRPr="005031CB" w:rsidRDefault="006C0926"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14:paraId="286EDFAB" w14:textId="3B0B121B" w:rsidR="006C0926" w:rsidRPr="005031CB" w:rsidRDefault="006C0926" w:rsidP="000C35EE">
            <w:pPr>
              <w:spacing w:before="60" w:after="60"/>
              <w:jc w:val="center"/>
              <w:rPr>
                <w:sz w:val="20"/>
                <w:szCs w:val="20"/>
              </w:rPr>
            </w:pPr>
            <w:r w:rsidRPr="005031CB">
              <w:rPr>
                <w:sz w:val="20"/>
                <w:szCs w:val="20"/>
              </w:rPr>
              <w:t>12.0%</w:t>
            </w:r>
          </w:p>
        </w:tc>
        <w:tc>
          <w:tcPr>
            <w:tcW w:w="964" w:type="dxa"/>
            <w:tcBorders>
              <w:top w:val="single" w:sz="4" w:space="0" w:color="000000"/>
            </w:tcBorders>
            <w:vAlign w:val="center"/>
          </w:tcPr>
          <w:p w14:paraId="40877551" w14:textId="14020FCE" w:rsidR="006C0926" w:rsidRPr="005031CB" w:rsidRDefault="006C0926" w:rsidP="000C35EE">
            <w:pPr>
              <w:spacing w:before="60" w:after="60"/>
              <w:jc w:val="center"/>
              <w:rPr>
                <w:sz w:val="20"/>
                <w:szCs w:val="20"/>
              </w:rPr>
            </w:pPr>
            <w:r w:rsidRPr="005031CB">
              <w:rPr>
                <w:sz w:val="20"/>
                <w:szCs w:val="20"/>
              </w:rPr>
              <w:t> -</w:t>
            </w:r>
          </w:p>
        </w:tc>
        <w:tc>
          <w:tcPr>
            <w:tcW w:w="964" w:type="dxa"/>
            <w:tcBorders>
              <w:top w:val="single" w:sz="4" w:space="0" w:color="000000"/>
            </w:tcBorders>
            <w:vAlign w:val="center"/>
          </w:tcPr>
          <w:p w14:paraId="27AC883B" w14:textId="0628D42A" w:rsidR="006C0926" w:rsidRPr="005031CB" w:rsidRDefault="006C0926" w:rsidP="000C35EE">
            <w:pPr>
              <w:spacing w:before="60" w:after="60"/>
              <w:jc w:val="center"/>
              <w:rPr>
                <w:sz w:val="20"/>
                <w:szCs w:val="20"/>
              </w:rPr>
            </w:pPr>
            <w:r w:rsidRPr="005031CB">
              <w:rPr>
                <w:sz w:val="20"/>
                <w:szCs w:val="20"/>
              </w:rPr>
              <w:t>60%</w:t>
            </w:r>
          </w:p>
        </w:tc>
      </w:tr>
      <w:tr w:rsidR="006C0926" w:rsidRPr="005031CB" w14:paraId="1C70BC2E" w14:textId="77777777" w:rsidTr="009A68DD">
        <w:trPr>
          <w:trHeight w:val="456"/>
        </w:trPr>
        <w:tc>
          <w:tcPr>
            <w:tcW w:w="1276" w:type="dxa"/>
            <w:tcBorders>
              <w:top w:val="single" w:sz="4" w:space="0" w:color="000000"/>
            </w:tcBorders>
            <w:vAlign w:val="center"/>
          </w:tcPr>
          <w:p w14:paraId="1735CABB" w14:textId="7560F5C8" w:rsidR="006C0926" w:rsidRPr="005031CB" w:rsidRDefault="006C0926" w:rsidP="000C35EE">
            <w:pPr>
              <w:spacing w:before="60" w:after="60"/>
              <w:ind w:left="34"/>
              <w:jc w:val="left"/>
              <w:rPr>
                <w:sz w:val="20"/>
                <w:szCs w:val="20"/>
              </w:rPr>
            </w:pPr>
            <w:r w:rsidRPr="005031CB">
              <w:rPr>
                <w:sz w:val="20"/>
                <w:szCs w:val="20"/>
              </w:rPr>
              <w:t>MAC3-1</w:t>
            </w:r>
          </w:p>
        </w:tc>
        <w:tc>
          <w:tcPr>
            <w:tcW w:w="3544" w:type="dxa"/>
            <w:tcBorders>
              <w:top w:val="single" w:sz="4" w:space="0" w:color="000000"/>
            </w:tcBorders>
            <w:vAlign w:val="center"/>
          </w:tcPr>
          <w:p w14:paraId="05AF35F0" w14:textId="776EF1FE" w:rsidR="006C0926" w:rsidRPr="005031CB" w:rsidRDefault="006C0926" w:rsidP="000D4B44">
            <w:pPr>
              <w:spacing w:before="60" w:after="60"/>
              <w:jc w:val="left"/>
              <w:rPr>
                <w:sz w:val="20"/>
                <w:szCs w:val="20"/>
              </w:rPr>
            </w:pPr>
            <w:r w:rsidRPr="005031CB">
              <w:rPr>
                <w:sz w:val="20"/>
                <w:szCs w:val="20"/>
              </w:rPr>
              <w:t xml:space="preserve">Passenger rail </w:t>
            </w:r>
          </w:p>
        </w:tc>
        <w:tc>
          <w:tcPr>
            <w:tcW w:w="964" w:type="dxa"/>
            <w:tcBorders>
              <w:top w:val="single" w:sz="4" w:space="0" w:color="000000"/>
            </w:tcBorders>
            <w:vAlign w:val="center"/>
          </w:tcPr>
          <w:p w14:paraId="2DB4EF09" w14:textId="674DAFF8" w:rsidR="006C0926" w:rsidRPr="005031CB" w:rsidRDefault="006C0926" w:rsidP="000C35EE">
            <w:pPr>
              <w:spacing w:before="60" w:after="60"/>
              <w:jc w:val="center"/>
              <w:rPr>
                <w:sz w:val="20"/>
                <w:szCs w:val="20"/>
              </w:rPr>
            </w:pPr>
            <w:r w:rsidRPr="005031CB">
              <w:rPr>
                <w:sz w:val="20"/>
                <w:szCs w:val="20"/>
              </w:rPr>
              <w:t>7.00</w:t>
            </w:r>
          </w:p>
        </w:tc>
        <w:tc>
          <w:tcPr>
            <w:tcW w:w="964" w:type="dxa"/>
            <w:tcBorders>
              <w:top w:val="single" w:sz="4" w:space="0" w:color="000000"/>
            </w:tcBorders>
            <w:shd w:val="clear" w:color="auto" w:fill="CCFFFF"/>
            <w:vAlign w:val="center"/>
          </w:tcPr>
          <w:p w14:paraId="1143049D" w14:textId="2A649B81" w:rsidR="006C0926" w:rsidRPr="005031CB" w:rsidRDefault="006C0926" w:rsidP="000C35EE">
            <w:pPr>
              <w:spacing w:before="60" w:after="60"/>
              <w:jc w:val="center"/>
              <w:rPr>
                <w:sz w:val="20"/>
                <w:szCs w:val="20"/>
              </w:rPr>
            </w:pPr>
            <w:r w:rsidRPr="005031CB">
              <w:rPr>
                <w:sz w:val="20"/>
                <w:szCs w:val="20"/>
              </w:rPr>
              <w:t>-</w:t>
            </w:r>
          </w:p>
        </w:tc>
        <w:tc>
          <w:tcPr>
            <w:tcW w:w="964" w:type="dxa"/>
            <w:tcBorders>
              <w:top w:val="single" w:sz="4" w:space="0" w:color="000000"/>
            </w:tcBorders>
            <w:vAlign w:val="center"/>
          </w:tcPr>
          <w:p w14:paraId="5314B46E" w14:textId="70AE789B" w:rsidR="006C0926" w:rsidRPr="005031CB" w:rsidRDefault="006C0926" w:rsidP="000C35EE">
            <w:pPr>
              <w:spacing w:before="60" w:after="60"/>
              <w:jc w:val="center"/>
              <w:rPr>
                <w:sz w:val="20"/>
                <w:szCs w:val="20"/>
              </w:rPr>
            </w:pPr>
            <w:r w:rsidRPr="005031CB">
              <w:rPr>
                <w:sz w:val="20"/>
                <w:szCs w:val="20"/>
              </w:rPr>
              <w:t>12.0%</w:t>
            </w:r>
          </w:p>
        </w:tc>
        <w:tc>
          <w:tcPr>
            <w:tcW w:w="964" w:type="dxa"/>
            <w:tcBorders>
              <w:top w:val="single" w:sz="4" w:space="0" w:color="000000"/>
            </w:tcBorders>
            <w:vAlign w:val="center"/>
          </w:tcPr>
          <w:p w14:paraId="5C5ABF0B" w14:textId="7055BCDB" w:rsidR="006C0926" w:rsidRPr="005031CB" w:rsidRDefault="006C0926"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14:paraId="205FF618" w14:textId="67600641" w:rsidR="006C0926" w:rsidRPr="005031CB" w:rsidRDefault="006C0926" w:rsidP="000C35EE">
            <w:pPr>
              <w:spacing w:before="60" w:after="60"/>
              <w:jc w:val="center"/>
              <w:rPr>
                <w:sz w:val="20"/>
                <w:szCs w:val="20"/>
              </w:rPr>
            </w:pPr>
            <w:r w:rsidRPr="005031CB">
              <w:rPr>
                <w:sz w:val="20"/>
                <w:szCs w:val="20"/>
              </w:rPr>
              <w:t>60%</w:t>
            </w:r>
          </w:p>
        </w:tc>
      </w:tr>
      <w:tr w:rsidR="006C0926" w:rsidRPr="005031CB" w14:paraId="1473A5E6" w14:textId="77777777" w:rsidTr="009A68DD">
        <w:trPr>
          <w:trHeight w:val="456"/>
        </w:trPr>
        <w:tc>
          <w:tcPr>
            <w:tcW w:w="1276" w:type="dxa"/>
            <w:tcBorders>
              <w:top w:val="single" w:sz="4" w:space="0" w:color="000000"/>
            </w:tcBorders>
            <w:vAlign w:val="center"/>
          </w:tcPr>
          <w:p w14:paraId="580BDEB5" w14:textId="23C1DF7C" w:rsidR="006C0926" w:rsidRPr="005031CB" w:rsidRDefault="006C0926" w:rsidP="000C35EE">
            <w:pPr>
              <w:spacing w:before="60" w:after="60"/>
              <w:ind w:left="34"/>
              <w:jc w:val="left"/>
              <w:rPr>
                <w:sz w:val="20"/>
                <w:szCs w:val="20"/>
              </w:rPr>
            </w:pPr>
            <w:r w:rsidRPr="005031CB">
              <w:rPr>
                <w:sz w:val="20"/>
                <w:szCs w:val="20"/>
              </w:rPr>
              <w:t>MAC3-2</w:t>
            </w:r>
          </w:p>
        </w:tc>
        <w:tc>
          <w:tcPr>
            <w:tcW w:w="3544" w:type="dxa"/>
            <w:tcBorders>
              <w:top w:val="single" w:sz="4" w:space="0" w:color="000000"/>
            </w:tcBorders>
            <w:vAlign w:val="center"/>
          </w:tcPr>
          <w:p w14:paraId="5A6BBA91" w14:textId="0D33ED28" w:rsidR="006C0926" w:rsidRPr="005031CB" w:rsidRDefault="006C0926" w:rsidP="000D4B44">
            <w:pPr>
              <w:spacing w:before="60" w:after="60"/>
              <w:jc w:val="left"/>
              <w:rPr>
                <w:sz w:val="20"/>
                <w:szCs w:val="20"/>
              </w:rPr>
            </w:pPr>
            <w:r w:rsidRPr="005031CB">
              <w:rPr>
                <w:sz w:val="20"/>
                <w:szCs w:val="20"/>
              </w:rPr>
              <w:t>Locomotive</w:t>
            </w:r>
          </w:p>
        </w:tc>
        <w:tc>
          <w:tcPr>
            <w:tcW w:w="964" w:type="dxa"/>
            <w:tcBorders>
              <w:top w:val="single" w:sz="4" w:space="0" w:color="000000"/>
            </w:tcBorders>
            <w:vAlign w:val="center"/>
          </w:tcPr>
          <w:p w14:paraId="71E12D55" w14:textId="243B02CA" w:rsidR="006C0926" w:rsidRPr="005031CB" w:rsidRDefault="006C0926" w:rsidP="000C35EE">
            <w:pPr>
              <w:spacing w:before="60" w:after="60"/>
              <w:jc w:val="center"/>
              <w:rPr>
                <w:sz w:val="20"/>
                <w:szCs w:val="20"/>
              </w:rPr>
            </w:pPr>
            <w:r w:rsidRPr="005031CB">
              <w:rPr>
                <w:sz w:val="20"/>
                <w:szCs w:val="20"/>
              </w:rPr>
              <w:t>4.00</w:t>
            </w:r>
          </w:p>
        </w:tc>
        <w:tc>
          <w:tcPr>
            <w:tcW w:w="964" w:type="dxa"/>
            <w:tcBorders>
              <w:top w:val="single" w:sz="4" w:space="0" w:color="000000"/>
              <w:bottom w:val="single" w:sz="4" w:space="0" w:color="000000"/>
            </w:tcBorders>
            <w:shd w:val="clear" w:color="auto" w:fill="CCFFFF"/>
            <w:vAlign w:val="center"/>
          </w:tcPr>
          <w:p w14:paraId="6694FBDB" w14:textId="53D6EE1F" w:rsidR="006C0926" w:rsidRPr="005031CB" w:rsidRDefault="006C0926" w:rsidP="000C35EE">
            <w:pPr>
              <w:spacing w:before="60" w:after="60"/>
              <w:jc w:val="center"/>
              <w:rPr>
                <w:sz w:val="20"/>
                <w:szCs w:val="20"/>
              </w:rPr>
            </w:pPr>
            <w:r w:rsidRPr="005031CB">
              <w:rPr>
                <w:sz w:val="20"/>
                <w:szCs w:val="20"/>
              </w:rPr>
              <w:t>-</w:t>
            </w:r>
          </w:p>
        </w:tc>
        <w:tc>
          <w:tcPr>
            <w:tcW w:w="964" w:type="dxa"/>
            <w:tcBorders>
              <w:top w:val="single" w:sz="4" w:space="0" w:color="000000"/>
            </w:tcBorders>
            <w:vAlign w:val="center"/>
          </w:tcPr>
          <w:p w14:paraId="7C8EE2A3" w14:textId="5DB2D936" w:rsidR="006C0926" w:rsidRPr="005031CB" w:rsidRDefault="006C0926" w:rsidP="000C35EE">
            <w:pPr>
              <w:spacing w:before="60" w:after="60"/>
              <w:jc w:val="center"/>
              <w:rPr>
                <w:sz w:val="20"/>
                <w:szCs w:val="20"/>
              </w:rPr>
            </w:pPr>
            <w:r w:rsidRPr="005031CB">
              <w:rPr>
                <w:sz w:val="20"/>
                <w:szCs w:val="20"/>
              </w:rPr>
              <w:t>12.0%</w:t>
            </w:r>
          </w:p>
        </w:tc>
        <w:tc>
          <w:tcPr>
            <w:tcW w:w="964" w:type="dxa"/>
            <w:tcBorders>
              <w:top w:val="single" w:sz="4" w:space="0" w:color="000000"/>
            </w:tcBorders>
            <w:vAlign w:val="center"/>
          </w:tcPr>
          <w:p w14:paraId="10997E81" w14:textId="3143C94E" w:rsidR="006C0926" w:rsidRPr="005031CB" w:rsidRDefault="006C0926" w:rsidP="000C35EE">
            <w:pPr>
              <w:spacing w:before="60" w:after="60"/>
              <w:jc w:val="center"/>
              <w:rPr>
                <w:sz w:val="20"/>
                <w:szCs w:val="20"/>
              </w:rPr>
            </w:pPr>
            <w:r w:rsidRPr="005031CB">
              <w:rPr>
                <w:sz w:val="20"/>
                <w:szCs w:val="20"/>
              </w:rPr>
              <w:t>10</w:t>
            </w:r>
          </w:p>
        </w:tc>
        <w:tc>
          <w:tcPr>
            <w:tcW w:w="964" w:type="dxa"/>
            <w:tcBorders>
              <w:top w:val="single" w:sz="4" w:space="0" w:color="000000"/>
            </w:tcBorders>
            <w:vAlign w:val="center"/>
          </w:tcPr>
          <w:p w14:paraId="6B96D4EE" w14:textId="69DCD1E3" w:rsidR="006C0926" w:rsidRPr="005031CB" w:rsidRDefault="006C0926" w:rsidP="000C35EE">
            <w:pPr>
              <w:spacing w:before="60" w:after="60"/>
              <w:jc w:val="center"/>
              <w:rPr>
                <w:sz w:val="20"/>
                <w:szCs w:val="20"/>
              </w:rPr>
            </w:pPr>
            <w:r w:rsidRPr="005031CB">
              <w:rPr>
                <w:sz w:val="20"/>
                <w:szCs w:val="20"/>
              </w:rPr>
              <w:t>60%</w:t>
            </w:r>
          </w:p>
        </w:tc>
      </w:tr>
      <w:tr w:rsidR="006C0926" w:rsidRPr="005031CB" w14:paraId="408CDD27" w14:textId="77777777" w:rsidTr="009A68DD">
        <w:trPr>
          <w:trHeight w:val="456"/>
        </w:trPr>
        <w:tc>
          <w:tcPr>
            <w:tcW w:w="1276" w:type="dxa"/>
            <w:tcBorders>
              <w:top w:val="single" w:sz="4" w:space="0" w:color="000000"/>
            </w:tcBorders>
            <w:vAlign w:val="center"/>
          </w:tcPr>
          <w:p w14:paraId="61698D03" w14:textId="1C1DE024" w:rsidR="006C0926" w:rsidRPr="005031CB" w:rsidRDefault="006C0926" w:rsidP="000C35EE">
            <w:pPr>
              <w:spacing w:before="60" w:after="60"/>
              <w:ind w:left="34"/>
              <w:jc w:val="left"/>
              <w:rPr>
                <w:sz w:val="20"/>
                <w:szCs w:val="20"/>
              </w:rPr>
            </w:pPr>
            <w:r w:rsidRPr="005031CB">
              <w:rPr>
                <w:sz w:val="20"/>
                <w:szCs w:val="20"/>
              </w:rPr>
              <w:t>MAC4</w:t>
            </w:r>
          </w:p>
        </w:tc>
        <w:tc>
          <w:tcPr>
            <w:tcW w:w="3544" w:type="dxa"/>
            <w:tcBorders>
              <w:top w:val="single" w:sz="4" w:space="0" w:color="000000"/>
            </w:tcBorders>
            <w:vAlign w:val="center"/>
          </w:tcPr>
          <w:p w14:paraId="295395BE" w14:textId="412C78EE" w:rsidR="006C0926" w:rsidRPr="005031CB" w:rsidRDefault="006C0926" w:rsidP="000D4B44">
            <w:pPr>
              <w:spacing w:before="60" w:after="60"/>
              <w:jc w:val="left"/>
              <w:rPr>
                <w:sz w:val="20"/>
                <w:szCs w:val="20"/>
              </w:rPr>
            </w:pPr>
            <w:r w:rsidRPr="005031CB">
              <w:rPr>
                <w:sz w:val="20"/>
                <w:szCs w:val="20"/>
              </w:rPr>
              <w:t xml:space="preserve">Off-road, defence and other (boat, etc.) </w:t>
            </w:r>
          </w:p>
        </w:tc>
        <w:tc>
          <w:tcPr>
            <w:tcW w:w="964" w:type="dxa"/>
            <w:tcBorders>
              <w:top w:val="single" w:sz="4" w:space="0" w:color="000000"/>
            </w:tcBorders>
            <w:vAlign w:val="center"/>
          </w:tcPr>
          <w:p w14:paraId="06A451D9" w14:textId="108E8344" w:rsidR="006C0926" w:rsidRPr="005031CB" w:rsidRDefault="006C0926" w:rsidP="000C35EE">
            <w:pPr>
              <w:spacing w:before="60" w:after="60"/>
              <w:jc w:val="center"/>
              <w:rPr>
                <w:sz w:val="20"/>
                <w:szCs w:val="20"/>
              </w:rPr>
            </w:pPr>
            <w:r w:rsidRPr="005031CB">
              <w:rPr>
                <w:sz w:val="20"/>
                <w:szCs w:val="20"/>
              </w:rPr>
              <w:t>2.75</w:t>
            </w:r>
          </w:p>
        </w:tc>
        <w:tc>
          <w:tcPr>
            <w:tcW w:w="964" w:type="dxa"/>
            <w:tcBorders>
              <w:top w:val="single" w:sz="4" w:space="0" w:color="000000"/>
            </w:tcBorders>
            <w:shd w:val="clear" w:color="auto" w:fill="CCFFFF"/>
            <w:vAlign w:val="center"/>
          </w:tcPr>
          <w:p w14:paraId="68E4B1AB" w14:textId="1F9C9703" w:rsidR="006C0926" w:rsidRPr="005031CB" w:rsidRDefault="006C0926" w:rsidP="000C35EE">
            <w:pPr>
              <w:spacing w:before="60" w:after="60"/>
              <w:jc w:val="center"/>
              <w:rPr>
                <w:sz w:val="20"/>
                <w:szCs w:val="20"/>
              </w:rPr>
            </w:pPr>
            <w:r w:rsidRPr="005031CB">
              <w:rPr>
                <w:sz w:val="20"/>
                <w:szCs w:val="20"/>
              </w:rPr>
              <w:t>-</w:t>
            </w:r>
          </w:p>
        </w:tc>
        <w:tc>
          <w:tcPr>
            <w:tcW w:w="964" w:type="dxa"/>
            <w:tcBorders>
              <w:top w:val="single" w:sz="4" w:space="0" w:color="000000"/>
            </w:tcBorders>
            <w:vAlign w:val="center"/>
          </w:tcPr>
          <w:p w14:paraId="2880E409" w14:textId="4B4E6B97" w:rsidR="006C0926" w:rsidRPr="005031CB" w:rsidRDefault="006C0926" w:rsidP="000C35EE">
            <w:pPr>
              <w:spacing w:before="60" w:after="60"/>
              <w:jc w:val="center"/>
              <w:rPr>
                <w:sz w:val="20"/>
                <w:szCs w:val="20"/>
              </w:rPr>
            </w:pPr>
            <w:r w:rsidRPr="005031CB">
              <w:rPr>
                <w:sz w:val="20"/>
                <w:szCs w:val="20"/>
              </w:rPr>
              <w:t>12.0%</w:t>
            </w:r>
          </w:p>
        </w:tc>
        <w:tc>
          <w:tcPr>
            <w:tcW w:w="964" w:type="dxa"/>
            <w:tcBorders>
              <w:top w:val="single" w:sz="4" w:space="0" w:color="000000"/>
            </w:tcBorders>
            <w:vAlign w:val="center"/>
          </w:tcPr>
          <w:p w14:paraId="73B8EADC" w14:textId="1A825F3E" w:rsidR="006C0926" w:rsidRPr="005031CB" w:rsidRDefault="006C0926" w:rsidP="000C35EE">
            <w:pPr>
              <w:spacing w:before="60" w:after="60"/>
              <w:jc w:val="center"/>
              <w:rPr>
                <w:sz w:val="20"/>
                <w:szCs w:val="20"/>
              </w:rPr>
            </w:pPr>
            <w:r w:rsidRPr="005031CB">
              <w:rPr>
                <w:sz w:val="20"/>
                <w:szCs w:val="20"/>
              </w:rPr>
              <w:t>15</w:t>
            </w:r>
          </w:p>
        </w:tc>
        <w:tc>
          <w:tcPr>
            <w:tcW w:w="964" w:type="dxa"/>
            <w:tcBorders>
              <w:top w:val="single" w:sz="4" w:space="0" w:color="000000"/>
            </w:tcBorders>
            <w:vAlign w:val="center"/>
          </w:tcPr>
          <w:p w14:paraId="1816DF9A" w14:textId="5F4C2895" w:rsidR="006C0926" w:rsidRPr="005031CB" w:rsidRDefault="006C0926" w:rsidP="000C35EE">
            <w:pPr>
              <w:spacing w:before="60" w:after="60"/>
              <w:jc w:val="center"/>
              <w:rPr>
                <w:sz w:val="20"/>
                <w:szCs w:val="20"/>
              </w:rPr>
            </w:pPr>
            <w:r w:rsidRPr="005031CB">
              <w:rPr>
                <w:sz w:val="20"/>
                <w:szCs w:val="20"/>
              </w:rPr>
              <w:t>60%</w:t>
            </w:r>
          </w:p>
        </w:tc>
      </w:tr>
      <w:tr w:rsidR="005031CB" w:rsidRPr="005031CB" w14:paraId="02F19A60" w14:textId="77777777" w:rsidTr="009A68DD">
        <w:trPr>
          <w:trHeight w:val="456"/>
        </w:trPr>
        <w:tc>
          <w:tcPr>
            <w:tcW w:w="9640" w:type="dxa"/>
            <w:gridSpan w:val="7"/>
            <w:tcBorders>
              <w:top w:val="single" w:sz="4" w:space="0" w:color="000000"/>
            </w:tcBorders>
            <w:shd w:val="clear" w:color="auto" w:fill="CCFFFF"/>
            <w:vAlign w:val="center"/>
          </w:tcPr>
          <w:p w14:paraId="3A5FA960" w14:textId="534E66F6" w:rsidR="005031CB" w:rsidRPr="005031CB" w:rsidRDefault="005031CB" w:rsidP="008D5A0E">
            <w:pPr>
              <w:spacing w:before="60" w:after="60"/>
              <w:jc w:val="center"/>
              <w:rPr>
                <w:sz w:val="20"/>
                <w:szCs w:val="20"/>
              </w:rPr>
            </w:pPr>
            <w:r>
              <w:rPr>
                <w:sz w:val="20"/>
                <w:szCs w:val="20"/>
              </w:rPr>
              <w:lastRenderedPageBreak/>
              <w:t>DOMESTIC REFRIGERATION</w:t>
            </w:r>
          </w:p>
        </w:tc>
      </w:tr>
      <w:tr w:rsidR="008D5A0E" w:rsidRPr="005031CB" w14:paraId="38761C38" w14:textId="77777777" w:rsidTr="009A68DD">
        <w:trPr>
          <w:trHeight w:val="456"/>
        </w:trPr>
        <w:tc>
          <w:tcPr>
            <w:tcW w:w="1276" w:type="dxa"/>
            <w:tcBorders>
              <w:top w:val="single" w:sz="4" w:space="0" w:color="000000"/>
            </w:tcBorders>
            <w:vAlign w:val="center"/>
          </w:tcPr>
          <w:p w14:paraId="074FF035" w14:textId="1F366D2D" w:rsidR="008D5A0E" w:rsidRPr="005031CB" w:rsidRDefault="008D5A0E" w:rsidP="008D5A0E">
            <w:pPr>
              <w:spacing w:before="60" w:after="60"/>
              <w:ind w:left="34"/>
              <w:jc w:val="left"/>
              <w:rPr>
                <w:sz w:val="20"/>
                <w:szCs w:val="20"/>
              </w:rPr>
            </w:pPr>
            <w:r w:rsidRPr="005031CB">
              <w:rPr>
                <w:sz w:val="20"/>
                <w:szCs w:val="20"/>
              </w:rPr>
              <w:t>DR1</w:t>
            </w:r>
          </w:p>
        </w:tc>
        <w:tc>
          <w:tcPr>
            <w:tcW w:w="3544" w:type="dxa"/>
            <w:tcBorders>
              <w:top w:val="single" w:sz="4" w:space="0" w:color="000000"/>
            </w:tcBorders>
            <w:vAlign w:val="center"/>
          </w:tcPr>
          <w:p w14:paraId="20BEC419" w14:textId="17F8D995" w:rsidR="008D5A0E" w:rsidRPr="005031CB" w:rsidRDefault="008D5A0E" w:rsidP="000D4B44">
            <w:pPr>
              <w:spacing w:before="60" w:after="60"/>
              <w:jc w:val="left"/>
              <w:rPr>
                <w:sz w:val="20"/>
                <w:szCs w:val="20"/>
              </w:rPr>
            </w:pPr>
            <w:r w:rsidRPr="005031CB">
              <w:rPr>
                <w:sz w:val="20"/>
                <w:szCs w:val="20"/>
              </w:rPr>
              <w:t>Domestic refrigerators</w:t>
            </w:r>
            <w:r>
              <w:rPr>
                <w:sz w:val="20"/>
                <w:szCs w:val="20"/>
              </w:rPr>
              <w:t xml:space="preserve"> &amp; freezers</w:t>
            </w:r>
          </w:p>
        </w:tc>
        <w:tc>
          <w:tcPr>
            <w:tcW w:w="964" w:type="dxa"/>
            <w:tcBorders>
              <w:top w:val="single" w:sz="4" w:space="0" w:color="000000"/>
            </w:tcBorders>
            <w:vAlign w:val="center"/>
          </w:tcPr>
          <w:p w14:paraId="5175B851" w14:textId="6BFA3BE0" w:rsidR="008D5A0E" w:rsidRPr="005031CB" w:rsidRDefault="008D5A0E" w:rsidP="000C35EE">
            <w:pPr>
              <w:spacing w:before="60" w:after="60"/>
              <w:jc w:val="center"/>
              <w:rPr>
                <w:sz w:val="20"/>
                <w:szCs w:val="20"/>
              </w:rPr>
            </w:pPr>
            <w:r w:rsidRPr="008D5A0E">
              <w:rPr>
                <w:sz w:val="20"/>
                <w:szCs w:val="20"/>
              </w:rPr>
              <w:t>0.140</w:t>
            </w:r>
          </w:p>
        </w:tc>
        <w:tc>
          <w:tcPr>
            <w:tcW w:w="964" w:type="dxa"/>
            <w:tcBorders>
              <w:top w:val="single" w:sz="4" w:space="0" w:color="000000"/>
            </w:tcBorders>
            <w:vAlign w:val="center"/>
          </w:tcPr>
          <w:p w14:paraId="2C2CCEF9" w14:textId="6FBEC81C" w:rsidR="008D5A0E" w:rsidRPr="005031CB" w:rsidRDefault="008D5A0E" w:rsidP="000C35EE">
            <w:pPr>
              <w:spacing w:before="60" w:after="60"/>
              <w:jc w:val="center"/>
              <w:rPr>
                <w:sz w:val="20"/>
                <w:szCs w:val="20"/>
              </w:rPr>
            </w:pPr>
            <w:r w:rsidRPr="008D5A0E">
              <w:rPr>
                <w:sz w:val="20"/>
                <w:szCs w:val="20"/>
              </w:rPr>
              <w:t>n.a.</w:t>
            </w:r>
          </w:p>
        </w:tc>
        <w:tc>
          <w:tcPr>
            <w:tcW w:w="964" w:type="dxa"/>
            <w:tcBorders>
              <w:top w:val="single" w:sz="4" w:space="0" w:color="000000"/>
            </w:tcBorders>
            <w:vAlign w:val="center"/>
          </w:tcPr>
          <w:p w14:paraId="4E0CEE3D" w14:textId="5605BA05" w:rsidR="008D5A0E" w:rsidRPr="005031CB" w:rsidRDefault="008D5A0E" w:rsidP="000C35EE">
            <w:pPr>
              <w:spacing w:before="60" w:after="60"/>
              <w:jc w:val="center"/>
              <w:rPr>
                <w:sz w:val="20"/>
                <w:szCs w:val="20"/>
              </w:rPr>
            </w:pPr>
            <w:r w:rsidRPr="008D5A0E">
              <w:rPr>
                <w:sz w:val="20"/>
                <w:szCs w:val="20"/>
              </w:rPr>
              <w:t>1%</w:t>
            </w:r>
          </w:p>
        </w:tc>
        <w:tc>
          <w:tcPr>
            <w:tcW w:w="964" w:type="dxa"/>
            <w:tcBorders>
              <w:top w:val="single" w:sz="4" w:space="0" w:color="000000"/>
            </w:tcBorders>
            <w:vAlign w:val="center"/>
          </w:tcPr>
          <w:p w14:paraId="611C7472" w14:textId="4A0E9FA8" w:rsidR="008D5A0E" w:rsidRPr="005031CB" w:rsidRDefault="008D5A0E" w:rsidP="000C35EE">
            <w:pPr>
              <w:spacing w:before="60" w:after="60"/>
              <w:jc w:val="center"/>
              <w:rPr>
                <w:sz w:val="20"/>
                <w:szCs w:val="20"/>
              </w:rPr>
            </w:pPr>
            <w:r w:rsidRPr="008D5A0E">
              <w:rPr>
                <w:sz w:val="20"/>
                <w:szCs w:val="20"/>
              </w:rPr>
              <w:t>-</w:t>
            </w:r>
          </w:p>
        </w:tc>
        <w:tc>
          <w:tcPr>
            <w:tcW w:w="964" w:type="dxa"/>
            <w:tcBorders>
              <w:top w:val="single" w:sz="4" w:space="0" w:color="000000"/>
            </w:tcBorders>
            <w:vAlign w:val="center"/>
          </w:tcPr>
          <w:p w14:paraId="1BAC34E6" w14:textId="7EBD3C47" w:rsidR="008D5A0E" w:rsidRPr="005031CB" w:rsidRDefault="008D5A0E" w:rsidP="000C35EE">
            <w:pPr>
              <w:spacing w:before="60" w:after="60"/>
              <w:jc w:val="center"/>
              <w:rPr>
                <w:sz w:val="20"/>
                <w:szCs w:val="20"/>
              </w:rPr>
            </w:pPr>
            <w:r>
              <w:rPr>
                <w:sz w:val="20"/>
                <w:szCs w:val="20"/>
              </w:rPr>
              <w:t>80%</w:t>
            </w:r>
          </w:p>
        </w:tc>
      </w:tr>
      <w:tr w:rsidR="006C0926" w:rsidRPr="005031CB" w14:paraId="1913FC38" w14:textId="77777777" w:rsidTr="009A68DD">
        <w:trPr>
          <w:trHeight w:val="456"/>
        </w:trPr>
        <w:tc>
          <w:tcPr>
            <w:tcW w:w="1276" w:type="dxa"/>
            <w:tcBorders>
              <w:top w:val="single" w:sz="4" w:space="0" w:color="000000"/>
            </w:tcBorders>
            <w:vAlign w:val="center"/>
          </w:tcPr>
          <w:p w14:paraId="1209C365" w14:textId="59B255BE" w:rsidR="006C0926" w:rsidRPr="005031CB" w:rsidRDefault="006C0926" w:rsidP="008D5A0E">
            <w:pPr>
              <w:spacing w:before="60" w:after="60"/>
              <w:ind w:left="34"/>
              <w:jc w:val="left"/>
              <w:rPr>
                <w:sz w:val="20"/>
                <w:szCs w:val="20"/>
              </w:rPr>
            </w:pPr>
            <w:r w:rsidRPr="005031CB">
              <w:rPr>
                <w:sz w:val="20"/>
                <w:szCs w:val="20"/>
              </w:rPr>
              <w:t>DR2</w:t>
            </w:r>
          </w:p>
        </w:tc>
        <w:tc>
          <w:tcPr>
            <w:tcW w:w="3544" w:type="dxa"/>
            <w:tcBorders>
              <w:top w:val="single" w:sz="4" w:space="0" w:color="000000"/>
            </w:tcBorders>
            <w:vAlign w:val="center"/>
          </w:tcPr>
          <w:p w14:paraId="1B99BA48" w14:textId="4EF6C957" w:rsidR="006C0926" w:rsidRPr="005031CB" w:rsidRDefault="006C0926" w:rsidP="000D4B44">
            <w:pPr>
              <w:spacing w:before="60" w:after="60"/>
              <w:jc w:val="left"/>
              <w:rPr>
                <w:sz w:val="20"/>
                <w:szCs w:val="20"/>
              </w:rPr>
            </w:pPr>
            <w:r w:rsidRPr="005031CB">
              <w:rPr>
                <w:sz w:val="20"/>
                <w:szCs w:val="20"/>
              </w:rPr>
              <w:t>Portable and vehicle refrigerators</w:t>
            </w:r>
          </w:p>
        </w:tc>
        <w:tc>
          <w:tcPr>
            <w:tcW w:w="964" w:type="dxa"/>
            <w:tcBorders>
              <w:top w:val="single" w:sz="4" w:space="0" w:color="000000"/>
            </w:tcBorders>
            <w:vAlign w:val="center"/>
          </w:tcPr>
          <w:p w14:paraId="738C25A8" w14:textId="2E0FCD18" w:rsidR="006C0926" w:rsidRPr="005031CB" w:rsidRDefault="008D5A0E" w:rsidP="000C35EE">
            <w:pPr>
              <w:spacing w:before="60" w:after="60"/>
              <w:jc w:val="center"/>
              <w:rPr>
                <w:sz w:val="20"/>
                <w:szCs w:val="20"/>
              </w:rPr>
            </w:pPr>
            <w:r>
              <w:rPr>
                <w:sz w:val="20"/>
                <w:szCs w:val="20"/>
              </w:rPr>
              <w:t>0.06</w:t>
            </w:r>
          </w:p>
        </w:tc>
        <w:tc>
          <w:tcPr>
            <w:tcW w:w="964" w:type="dxa"/>
            <w:tcBorders>
              <w:top w:val="single" w:sz="4" w:space="0" w:color="000000"/>
            </w:tcBorders>
            <w:vAlign w:val="center"/>
          </w:tcPr>
          <w:p w14:paraId="628DA580" w14:textId="2F3BDC20" w:rsidR="006C0926" w:rsidRPr="005031CB" w:rsidRDefault="008D5A0E" w:rsidP="000C35EE">
            <w:pPr>
              <w:spacing w:before="60" w:after="60"/>
              <w:jc w:val="center"/>
              <w:rPr>
                <w:sz w:val="20"/>
                <w:szCs w:val="20"/>
              </w:rPr>
            </w:pPr>
            <w:r>
              <w:rPr>
                <w:sz w:val="20"/>
                <w:szCs w:val="20"/>
              </w:rPr>
              <w:t>n.a.</w:t>
            </w:r>
          </w:p>
        </w:tc>
        <w:tc>
          <w:tcPr>
            <w:tcW w:w="964" w:type="dxa"/>
            <w:tcBorders>
              <w:top w:val="single" w:sz="4" w:space="0" w:color="000000"/>
            </w:tcBorders>
            <w:vAlign w:val="center"/>
          </w:tcPr>
          <w:p w14:paraId="6F1308EC" w14:textId="26787944" w:rsidR="006C0926" w:rsidRPr="005031CB" w:rsidRDefault="008D5A0E" w:rsidP="000C35EE">
            <w:pPr>
              <w:spacing w:before="60" w:after="60"/>
              <w:jc w:val="center"/>
              <w:rPr>
                <w:sz w:val="20"/>
                <w:szCs w:val="20"/>
              </w:rPr>
            </w:pPr>
            <w:r>
              <w:rPr>
                <w:sz w:val="20"/>
                <w:szCs w:val="20"/>
              </w:rPr>
              <w:t>1%</w:t>
            </w:r>
          </w:p>
        </w:tc>
        <w:tc>
          <w:tcPr>
            <w:tcW w:w="964" w:type="dxa"/>
            <w:tcBorders>
              <w:top w:val="single" w:sz="4" w:space="0" w:color="000000"/>
            </w:tcBorders>
            <w:vAlign w:val="center"/>
          </w:tcPr>
          <w:p w14:paraId="484A3561" w14:textId="76D0DDAC" w:rsidR="006C0926" w:rsidRPr="005031CB" w:rsidRDefault="008D5A0E" w:rsidP="000C35EE">
            <w:pPr>
              <w:spacing w:before="60" w:after="60"/>
              <w:jc w:val="center"/>
              <w:rPr>
                <w:sz w:val="20"/>
                <w:szCs w:val="20"/>
              </w:rPr>
            </w:pPr>
            <w:r>
              <w:rPr>
                <w:sz w:val="20"/>
                <w:szCs w:val="20"/>
              </w:rPr>
              <w:t>8</w:t>
            </w:r>
          </w:p>
        </w:tc>
        <w:tc>
          <w:tcPr>
            <w:tcW w:w="964" w:type="dxa"/>
            <w:tcBorders>
              <w:top w:val="single" w:sz="4" w:space="0" w:color="000000"/>
            </w:tcBorders>
            <w:vAlign w:val="center"/>
          </w:tcPr>
          <w:p w14:paraId="61EE9697" w14:textId="45D503A0" w:rsidR="006C0926" w:rsidRPr="005031CB" w:rsidRDefault="008D5A0E" w:rsidP="000C35EE">
            <w:pPr>
              <w:spacing w:before="60" w:after="60"/>
              <w:jc w:val="center"/>
              <w:rPr>
                <w:sz w:val="20"/>
                <w:szCs w:val="20"/>
              </w:rPr>
            </w:pPr>
            <w:r>
              <w:rPr>
                <w:sz w:val="20"/>
                <w:szCs w:val="20"/>
              </w:rPr>
              <w:t>90%</w:t>
            </w:r>
          </w:p>
        </w:tc>
      </w:tr>
      <w:tr w:rsidR="005031CB" w:rsidRPr="005031CB" w14:paraId="55ED63C3" w14:textId="77777777" w:rsidTr="009A68DD">
        <w:trPr>
          <w:trHeight w:val="456"/>
        </w:trPr>
        <w:tc>
          <w:tcPr>
            <w:tcW w:w="9640" w:type="dxa"/>
            <w:gridSpan w:val="7"/>
            <w:tcBorders>
              <w:top w:val="single" w:sz="4" w:space="0" w:color="000000"/>
            </w:tcBorders>
            <w:shd w:val="clear" w:color="auto" w:fill="CCFFFF"/>
            <w:vAlign w:val="center"/>
          </w:tcPr>
          <w:p w14:paraId="51877DAE" w14:textId="4035FEEB" w:rsidR="005031CB" w:rsidRPr="005031CB" w:rsidRDefault="005031CB" w:rsidP="008D5A0E">
            <w:pPr>
              <w:spacing w:before="60" w:after="60"/>
              <w:jc w:val="center"/>
              <w:rPr>
                <w:sz w:val="20"/>
                <w:szCs w:val="20"/>
              </w:rPr>
            </w:pPr>
            <w:r>
              <w:rPr>
                <w:sz w:val="20"/>
                <w:szCs w:val="20"/>
              </w:rPr>
              <w:t>REFRIGERATED COLD FOOD CHAIN</w:t>
            </w:r>
          </w:p>
        </w:tc>
      </w:tr>
      <w:tr w:rsidR="003F736A" w:rsidRPr="005031CB" w14:paraId="11154F61" w14:textId="77777777" w:rsidTr="009A68DD">
        <w:trPr>
          <w:trHeight w:val="456"/>
        </w:trPr>
        <w:tc>
          <w:tcPr>
            <w:tcW w:w="1276" w:type="dxa"/>
            <w:tcBorders>
              <w:top w:val="single" w:sz="4" w:space="0" w:color="000000"/>
            </w:tcBorders>
            <w:vAlign w:val="center"/>
          </w:tcPr>
          <w:p w14:paraId="14BA4D78" w14:textId="2EF1E532" w:rsidR="003F736A" w:rsidRPr="005031CB" w:rsidRDefault="003F736A" w:rsidP="000C35EE">
            <w:pPr>
              <w:spacing w:before="60" w:after="60"/>
              <w:ind w:left="34"/>
              <w:jc w:val="left"/>
              <w:rPr>
                <w:sz w:val="20"/>
                <w:szCs w:val="20"/>
              </w:rPr>
            </w:pPr>
            <w:r w:rsidRPr="005031CB">
              <w:rPr>
                <w:sz w:val="20"/>
                <w:szCs w:val="20"/>
              </w:rPr>
              <w:t>RCFC1-1</w:t>
            </w:r>
          </w:p>
        </w:tc>
        <w:tc>
          <w:tcPr>
            <w:tcW w:w="3544" w:type="dxa"/>
            <w:tcBorders>
              <w:top w:val="single" w:sz="4" w:space="0" w:color="000000"/>
            </w:tcBorders>
            <w:vAlign w:val="center"/>
          </w:tcPr>
          <w:p w14:paraId="4A3AA6CC" w14:textId="10F2852F" w:rsidR="003F736A" w:rsidRPr="005031CB" w:rsidRDefault="003F736A" w:rsidP="000D4B44">
            <w:pPr>
              <w:spacing w:before="60" w:after="60"/>
              <w:jc w:val="left"/>
              <w:rPr>
                <w:sz w:val="20"/>
                <w:szCs w:val="20"/>
              </w:rPr>
            </w:pPr>
            <w:r w:rsidRPr="005031CB">
              <w:rPr>
                <w:sz w:val="20"/>
                <w:szCs w:val="20"/>
              </w:rPr>
              <w:t>Refrigeration cabinets</w:t>
            </w:r>
          </w:p>
        </w:tc>
        <w:tc>
          <w:tcPr>
            <w:tcW w:w="964" w:type="dxa"/>
            <w:tcBorders>
              <w:top w:val="single" w:sz="4" w:space="0" w:color="000000"/>
            </w:tcBorders>
            <w:vAlign w:val="center"/>
          </w:tcPr>
          <w:p w14:paraId="471DAE69" w14:textId="213E2483" w:rsidR="003F736A" w:rsidRPr="005031CB" w:rsidRDefault="003F736A" w:rsidP="000C35EE">
            <w:pPr>
              <w:spacing w:before="60" w:after="60"/>
              <w:jc w:val="center"/>
              <w:rPr>
                <w:sz w:val="20"/>
                <w:szCs w:val="20"/>
              </w:rPr>
            </w:pPr>
            <w:r w:rsidRPr="008F4A33">
              <w:t>2.00</w:t>
            </w:r>
          </w:p>
        </w:tc>
        <w:tc>
          <w:tcPr>
            <w:tcW w:w="964" w:type="dxa"/>
            <w:tcBorders>
              <w:top w:val="single" w:sz="4" w:space="0" w:color="000000"/>
            </w:tcBorders>
            <w:vAlign w:val="center"/>
          </w:tcPr>
          <w:p w14:paraId="58B8C4DD" w14:textId="7E95ECFE" w:rsidR="003F736A" w:rsidRPr="005031CB" w:rsidRDefault="003F736A" w:rsidP="000C35EE">
            <w:pPr>
              <w:spacing w:before="60" w:after="60"/>
              <w:jc w:val="center"/>
              <w:rPr>
                <w:sz w:val="20"/>
                <w:szCs w:val="20"/>
              </w:rPr>
            </w:pPr>
            <w:r w:rsidRPr="004A6F9A">
              <w:t>10.0%</w:t>
            </w:r>
          </w:p>
        </w:tc>
        <w:tc>
          <w:tcPr>
            <w:tcW w:w="964" w:type="dxa"/>
            <w:tcBorders>
              <w:top w:val="single" w:sz="4" w:space="0" w:color="000000"/>
            </w:tcBorders>
            <w:vAlign w:val="center"/>
          </w:tcPr>
          <w:p w14:paraId="43654081" w14:textId="58B1CCC6" w:rsidR="003F736A" w:rsidRPr="005031CB" w:rsidRDefault="003F736A" w:rsidP="000C35EE">
            <w:pPr>
              <w:spacing w:before="60" w:after="60"/>
              <w:jc w:val="center"/>
              <w:rPr>
                <w:sz w:val="20"/>
                <w:szCs w:val="20"/>
              </w:rPr>
            </w:pPr>
            <w:r w:rsidRPr="004A6F9A">
              <w:t>7.0%</w:t>
            </w:r>
          </w:p>
        </w:tc>
        <w:tc>
          <w:tcPr>
            <w:tcW w:w="964" w:type="dxa"/>
            <w:tcBorders>
              <w:top w:val="single" w:sz="4" w:space="0" w:color="000000"/>
            </w:tcBorders>
            <w:vAlign w:val="center"/>
          </w:tcPr>
          <w:p w14:paraId="1E68761F" w14:textId="3809B58D" w:rsidR="003F736A" w:rsidRPr="005031CB" w:rsidRDefault="003F736A" w:rsidP="000C35EE">
            <w:pPr>
              <w:spacing w:before="60" w:after="60"/>
              <w:jc w:val="center"/>
              <w:rPr>
                <w:sz w:val="20"/>
                <w:szCs w:val="20"/>
              </w:rPr>
            </w:pPr>
            <w:r w:rsidRPr="004A6F9A">
              <w:t>15</w:t>
            </w:r>
          </w:p>
        </w:tc>
        <w:tc>
          <w:tcPr>
            <w:tcW w:w="964" w:type="dxa"/>
            <w:tcBorders>
              <w:top w:val="single" w:sz="4" w:space="0" w:color="000000"/>
            </w:tcBorders>
            <w:vAlign w:val="center"/>
          </w:tcPr>
          <w:p w14:paraId="28885443" w14:textId="5C06BDBA" w:rsidR="003F736A" w:rsidRPr="005031CB" w:rsidRDefault="003F736A" w:rsidP="000C35EE">
            <w:pPr>
              <w:spacing w:before="60" w:after="60"/>
              <w:jc w:val="center"/>
              <w:rPr>
                <w:sz w:val="20"/>
                <w:szCs w:val="20"/>
              </w:rPr>
            </w:pPr>
            <w:r w:rsidRPr="009B79A4">
              <w:t>80%</w:t>
            </w:r>
          </w:p>
        </w:tc>
      </w:tr>
      <w:tr w:rsidR="003F736A" w:rsidRPr="005031CB" w14:paraId="17158017" w14:textId="77777777" w:rsidTr="009A68DD">
        <w:trPr>
          <w:trHeight w:val="456"/>
        </w:trPr>
        <w:tc>
          <w:tcPr>
            <w:tcW w:w="1276" w:type="dxa"/>
            <w:tcBorders>
              <w:top w:val="single" w:sz="4" w:space="0" w:color="000000"/>
            </w:tcBorders>
            <w:vAlign w:val="center"/>
          </w:tcPr>
          <w:p w14:paraId="79930930" w14:textId="42EC23A2" w:rsidR="003F736A" w:rsidRPr="005031CB" w:rsidRDefault="003F736A" w:rsidP="000C35EE">
            <w:pPr>
              <w:spacing w:before="60" w:after="60"/>
              <w:ind w:left="34"/>
              <w:jc w:val="left"/>
              <w:rPr>
                <w:sz w:val="20"/>
                <w:szCs w:val="20"/>
              </w:rPr>
            </w:pPr>
            <w:r w:rsidRPr="005031CB">
              <w:rPr>
                <w:sz w:val="20"/>
                <w:szCs w:val="20"/>
              </w:rPr>
              <w:t>RCFC1-2</w:t>
            </w:r>
          </w:p>
        </w:tc>
        <w:tc>
          <w:tcPr>
            <w:tcW w:w="3544" w:type="dxa"/>
            <w:tcBorders>
              <w:top w:val="single" w:sz="4" w:space="0" w:color="000000"/>
            </w:tcBorders>
            <w:vAlign w:val="center"/>
          </w:tcPr>
          <w:p w14:paraId="18D4652F" w14:textId="781FC33B" w:rsidR="003F736A" w:rsidRPr="005031CB" w:rsidRDefault="003F736A" w:rsidP="000D4B44">
            <w:pPr>
              <w:spacing w:before="60" w:after="60"/>
              <w:jc w:val="left"/>
              <w:rPr>
                <w:sz w:val="20"/>
                <w:szCs w:val="20"/>
              </w:rPr>
            </w:pPr>
            <w:r w:rsidRPr="005031CB">
              <w:rPr>
                <w:sz w:val="20"/>
                <w:szCs w:val="20"/>
              </w:rPr>
              <w:t>Refrigeration beverage vending machines</w:t>
            </w:r>
          </w:p>
        </w:tc>
        <w:tc>
          <w:tcPr>
            <w:tcW w:w="964" w:type="dxa"/>
            <w:tcBorders>
              <w:top w:val="single" w:sz="4" w:space="0" w:color="000000"/>
            </w:tcBorders>
            <w:vAlign w:val="center"/>
          </w:tcPr>
          <w:p w14:paraId="273A8189" w14:textId="680B6F5C" w:rsidR="003F736A" w:rsidRPr="005031CB" w:rsidRDefault="003F736A" w:rsidP="000C35EE">
            <w:pPr>
              <w:spacing w:before="60" w:after="60"/>
              <w:jc w:val="center"/>
              <w:rPr>
                <w:sz w:val="20"/>
                <w:szCs w:val="20"/>
              </w:rPr>
            </w:pPr>
            <w:r w:rsidRPr="008F4A33">
              <w:t>0.25</w:t>
            </w:r>
          </w:p>
        </w:tc>
        <w:tc>
          <w:tcPr>
            <w:tcW w:w="964" w:type="dxa"/>
            <w:tcBorders>
              <w:top w:val="single" w:sz="4" w:space="0" w:color="000000"/>
            </w:tcBorders>
            <w:vAlign w:val="center"/>
          </w:tcPr>
          <w:p w14:paraId="0A8826DC" w14:textId="6786B218" w:rsidR="003F736A" w:rsidRPr="005031CB" w:rsidRDefault="003F736A" w:rsidP="000C35EE">
            <w:pPr>
              <w:spacing w:before="60" w:after="60"/>
              <w:jc w:val="center"/>
              <w:rPr>
                <w:sz w:val="20"/>
                <w:szCs w:val="20"/>
              </w:rPr>
            </w:pPr>
            <w:r w:rsidRPr="004A6F9A">
              <w:t>5.0%</w:t>
            </w:r>
          </w:p>
        </w:tc>
        <w:tc>
          <w:tcPr>
            <w:tcW w:w="964" w:type="dxa"/>
            <w:tcBorders>
              <w:top w:val="single" w:sz="4" w:space="0" w:color="000000"/>
            </w:tcBorders>
            <w:vAlign w:val="center"/>
          </w:tcPr>
          <w:p w14:paraId="24478158" w14:textId="356B34B0" w:rsidR="003F736A" w:rsidRPr="005031CB" w:rsidRDefault="003F736A" w:rsidP="000C35EE">
            <w:pPr>
              <w:spacing w:before="60" w:after="60"/>
              <w:jc w:val="center"/>
              <w:rPr>
                <w:sz w:val="20"/>
                <w:szCs w:val="20"/>
              </w:rPr>
            </w:pPr>
            <w:r w:rsidRPr="004A6F9A">
              <w:t>2.0%</w:t>
            </w:r>
          </w:p>
        </w:tc>
        <w:tc>
          <w:tcPr>
            <w:tcW w:w="964" w:type="dxa"/>
            <w:tcBorders>
              <w:top w:val="single" w:sz="4" w:space="0" w:color="000000"/>
            </w:tcBorders>
            <w:vAlign w:val="center"/>
          </w:tcPr>
          <w:p w14:paraId="6639C204" w14:textId="6CD101FA" w:rsidR="003F736A" w:rsidRPr="005031CB" w:rsidRDefault="003F736A" w:rsidP="000C35EE">
            <w:pPr>
              <w:spacing w:before="60" w:after="60"/>
              <w:jc w:val="center"/>
              <w:rPr>
                <w:sz w:val="20"/>
                <w:szCs w:val="20"/>
              </w:rPr>
            </w:pPr>
            <w:r w:rsidRPr="004A6F9A">
              <w:t>12</w:t>
            </w:r>
          </w:p>
        </w:tc>
        <w:tc>
          <w:tcPr>
            <w:tcW w:w="964" w:type="dxa"/>
            <w:tcBorders>
              <w:top w:val="single" w:sz="4" w:space="0" w:color="000000"/>
            </w:tcBorders>
            <w:vAlign w:val="center"/>
          </w:tcPr>
          <w:p w14:paraId="50D5045F" w14:textId="09A95ED1" w:rsidR="003F736A" w:rsidRPr="005031CB" w:rsidRDefault="003F736A" w:rsidP="000C35EE">
            <w:pPr>
              <w:spacing w:before="60" w:after="60"/>
              <w:jc w:val="center"/>
              <w:rPr>
                <w:sz w:val="20"/>
                <w:szCs w:val="20"/>
              </w:rPr>
            </w:pPr>
            <w:r w:rsidRPr="009B79A4">
              <w:t>80%</w:t>
            </w:r>
          </w:p>
        </w:tc>
      </w:tr>
      <w:tr w:rsidR="003F736A" w:rsidRPr="005031CB" w14:paraId="032C269E" w14:textId="77777777" w:rsidTr="009A68DD">
        <w:trPr>
          <w:trHeight w:val="456"/>
        </w:trPr>
        <w:tc>
          <w:tcPr>
            <w:tcW w:w="1276" w:type="dxa"/>
            <w:tcBorders>
              <w:top w:val="single" w:sz="4" w:space="0" w:color="000000"/>
            </w:tcBorders>
            <w:vAlign w:val="center"/>
          </w:tcPr>
          <w:p w14:paraId="2EDFA216" w14:textId="7591B647" w:rsidR="003F736A" w:rsidRPr="005031CB" w:rsidRDefault="003F736A" w:rsidP="000C35EE">
            <w:pPr>
              <w:spacing w:before="60" w:after="60"/>
              <w:ind w:left="34"/>
              <w:jc w:val="left"/>
              <w:rPr>
                <w:sz w:val="20"/>
                <w:szCs w:val="20"/>
              </w:rPr>
            </w:pPr>
            <w:r w:rsidRPr="005031CB">
              <w:rPr>
                <w:sz w:val="20"/>
                <w:szCs w:val="20"/>
              </w:rPr>
              <w:t>RCFC1-3</w:t>
            </w:r>
          </w:p>
        </w:tc>
        <w:tc>
          <w:tcPr>
            <w:tcW w:w="3544" w:type="dxa"/>
            <w:tcBorders>
              <w:top w:val="single" w:sz="4" w:space="0" w:color="000000"/>
            </w:tcBorders>
            <w:vAlign w:val="center"/>
          </w:tcPr>
          <w:p w14:paraId="5459F484" w14:textId="720AA7C5" w:rsidR="003F736A" w:rsidRPr="005031CB" w:rsidRDefault="003F736A" w:rsidP="000D4B44">
            <w:pPr>
              <w:spacing w:before="60" w:after="60"/>
              <w:jc w:val="left"/>
              <w:rPr>
                <w:sz w:val="20"/>
                <w:szCs w:val="20"/>
              </w:rPr>
            </w:pPr>
            <w:r w:rsidRPr="005031CB">
              <w:rPr>
                <w:sz w:val="20"/>
                <w:szCs w:val="20"/>
              </w:rPr>
              <w:t>Ice makers</w:t>
            </w:r>
          </w:p>
        </w:tc>
        <w:tc>
          <w:tcPr>
            <w:tcW w:w="964" w:type="dxa"/>
            <w:tcBorders>
              <w:top w:val="single" w:sz="4" w:space="0" w:color="000000"/>
            </w:tcBorders>
            <w:vAlign w:val="center"/>
          </w:tcPr>
          <w:p w14:paraId="1A065395" w14:textId="19BBF7FD" w:rsidR="003F736A" w:rsidRPr="005031CB" w:rsidRDefault="003F736A" w:rsidP="000C35EE">
            <w:pPr>
              <w:spacing w:before="60" w:after="60"/>
              <w:jc w:val="center"/>
              <w:rPr>
                <w:sz w:val="20"/>
                <w:szCs w:val="20"/>
              </w:rPr>
            </w:pPr>
            <w:r w:rsidRPr="008F4A33">
              <w:t>0.7</w:t>
            </w:r>
          </w:p>
        </w:tc>
        <w:tc>
          <w:tcPr>
            <w:tcW w:w="964" w:type="dxa"/>
            <w:tcBorders>
              <w:top w:val="single" w:sz="4" w:space="0" w:color="000000"/>
            </w:tcBorders>
            <w:vAlign w:val="center"/>
          </w:tcPr>
          <w:p w14:paraId="7FC1369E" w14:textId="2945BCF2" w:rsidR="003F736A" w:rsidRPr="005031CB" w:rsidRDefault="003F736A" w:rsidP="000C35EE">
            <w:pPr>
              <w:spacing w:before="60" w:after="60"/>
              <w:jc w:val="center"/>
              <w:rPr>
                <w:sz w:val="20"/>
                <w:szCs w:val="20"/>
              </w:rPr>
            </w:pPr>
            <w:r w:rsidRPr="004A6F9A">
              <w:t>4.0%</w:t>
            </w:r>
          </w:p>
        </w:tc>
        <w:tc>
          <w:tcPr>
            <w:tcW w:w="964" w:type="dxa"/>
            <w:tcBorders>
              <w:top w:val="single" w:sz="4" w:space="0" w:color="000000"/>
            </w:tcBorders>
            <w:vAlign w:val="center"/>
          </w:tcPr>
          <w:p w14:paraId="32595425" w14:textId="736E63C2" w:rsidR="003F736A" w:rsidRPr="005031CB" w:rsidRDefault="003F736A" w:rsidP="000C35EE">
            <w:pPr>
              <w:spacing w:before="60" w:after="60"/>
              <w:jc w:val="center"/>
              <w:rPr>
                <w:sz w:val="20"/>
                <w:szCs w:val="20"/>
              </w:rPr>
            </w:pPr>
            <w:r w:rsidRPr="004A6F9A">
              <w:t>3.0%</w:t>
            </w:r>
          </w:p>
        </w:tc>
        <w:tc>
          <w:tcPr>
            <w:tcW w:w="964" w:type="dxa"/>
            <w:tcBorders>
              <w:top w:val="single" w:sz="4" w:space="0" w:color="000000"/>
            </w:tcBorders>
            <w:vAlign w:val="center"/>
          </w:tcPr>
          <w:p w14:paraId="27FDD5F3" w14:textId="6CF5ED21" w:rsidR="003F736A" w:rsidRPr="005031CB" w:rsidRDefault="003F736A" w:rsidP="000C35EE">
            <w:pPr>
              <w:spacing w:before="60" w:after="60"/>
              <w:jc w:val="center"/>
              <w:rPr>
                <w:sz w:val="20"/>
                <w:szCs w:val="20"/>
              </w:rPr>
            </w:pPr>
            <w:r w:rsidRPr="004A6F9A">
              <w:t>10</w:t>
            </w:r>
          </w:p>
        </w:tc>
        <w:tc>
          <w:tcPr>
            <w:tcW w:w="964" w:type="dxa"/>
            <w:tcBorders>
              <w:top w:val="single" w:sz="4" w:space="0" w:color="000000"/>
            </w:tcBorders>
            <w:vAlign w:val="center"/>
          </w:tcPr>
          <w:p w14:paraId="5005A232" w14:textId="41A72E06" w:rsidR="003F736A" w:rsidRPr="005031CB" w:rsidRDefault="003F736A" w:rsidP="000C35EE">
            <w:pPr>
              <w:spacing w:before="60" w:after="60"/>
              <w:jc w:val="center"/>
              <w:rPr>
                <w:sz w:val="20"/>
                <w:szCs w:val="20"/>
              </w:rPr>
            </w:pPr>
            <w:r w:rsidRPr="009B79A4">
              <w:t>80%</w:t>
            </w:r>
          </w:p>
        </w:tc>
      </w:tr>
      <w:tr w:rsidR="003F736A" w:rsidRPr="005031CB" w14:paraId="022043F5" w14:textId="77777777" w:rsidTr="009A68DD">
        <w:trPr>
          <w:trHeight w:val="456"/>
        </w:trPr>
        <w:tc>
          <w:tcPr>
            <w:tcW w:w="1276" w:type="dxa"/>
            <w:tcBorders>
              <w:top w:val="single" w:sz="4" w:space="0" w:color="000000"/>
            </w:tcBorders>
            <w:vAlign w:val="center"/>
          </w:tcPr>
          <w:p w14:paraId="4FD235B1" w14:textId="6774355D" w:rsidR="003F736A" w:rsidRPr="005031CB" w:rsidRDefault="003F736A" w:rsidP="000C35EE">
            <w:pPr>
              <w:spacing w:before="60" w:after="60"/>
              <w:ind w:left="34"/>
              <w:jc w:val="left"/>
              <w:rPr>
                <w:sz w:val="20"/>
                <w:szCs w:val="20"/>
              </w:rPr>
            </w:pPr>
            <w:r w:rsidRPr="005031CB">
              <w:rPr>
                <w:sz w:val="20"/>
                <w:szCs w:val="20"/>
              </w:rPr>
              <w:t>RCFC1-4</w:t>
            </w:r>
            <w:r>
              <w:rPr>
                <w:sz w:val="20"/>
                <w:szCs w:val="20"/>
              </w:rPr>
              <w:t>-1</w:t>
            </w:r>
          </w:p>
        </w:tc>
        <w:tc>
          <w:tcPr>
            <w:tcW w:w="3544" w:type="dxa"/>
            <w:tcBorders>
              <w:top w:val="single" w:sz="4" w:space="0" w:color="000000"/>
            </w:tcBorders>
            <w:vAlign w:val="center"/>
          </w:tcPr>
          <w:p w14:paraId="4E62AD48" w14:textId="7DAF8909" w:rsidR="003F736A" w:rsidRPr="005031CB" w:rsidRDefault="003F736A" w:rsidP="008D5A0E">
            <w:pPr>
              <w:spacing w:before="60" w:after="60"/>
              <w:jc w:val="left"/>
              <w:rPr>
                <w:sz w:val="20"/>
                <w:szCs w:val="20"/>
              </w:rPr>
            </w:pPr>
            <w:r w:rsidRPr="005031CB">
              <w:rPr>
                <w:sz w:val="20"/>
                <w:szCs w:val="20"/>
              </w:rPr>
              <w:t xml:space="preserve">Walk-in coolrooms: </w:t>
            </w:r>
            <w:r>
              <w:rPr>
                <w:sz w:val="20"/>
                <w:szCs w:val="20"/>
              </w:rPr>
              <w:t>mini</w:t>
            </w:r>
          </w:p>
        </w:tc>
        <w:tc>
          <w:tcPr>
            <w:tcW w:w="964" w:type="dxa"/>
            <w:tcBorders>
              <w:top w:val="single" w:sz="4" w:space="0" w:color="000000"/>
            </w:tcBorders>
            <w:vAlign w:val="center"/>
          </w:tcPr>
          <w:p w14:paraId="3A9E75CE" w14:textId="5B255709" w:rsidR="003F736A" w:rsidRPr="005031CB" w:rsidRDefault="003F736A" w:rsidP="000C35EE">
            <w:pPr>
              <w:spacing w:before="60" w:after="60"/>
              <w:jc w:val="center"/>
              <w:rPr>
                <w:sz w:val="20"/>
                <w:szCs w:val="20"/>
              </w:rPr>
            </w:pPr>
            <w:r w:rsidRPr="008F4A33">
              <w:t>1.0</w:t>
            </w:r>
          </w:p>
        </w:tc>
        <w:tc>
          <w:tcPr>
            <w:tcW w:w="964" w:type="dxa"/>
            <w:tcBorders>
              <w:top w:val="single" w:sz="4" w:space="0" w:color="000000"/>
            </w:tcBorders>
            <w:vAlign w:val="center"/>
          </w:tcPr>
          <w:p w14:paraId="6C1A20B9" w14:textId="3196FB4F"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14:paraId="41663E96" w14:textId="0833C3F8" w:rsidR="003F736A" w:rsidRPr="005031CB" w:rsidRDefault="003F736A" w:rsidP="000C35EE">
            <w:pPr>
              <w:spacing w:before="60" w:after="60"/>
              <w:jc w:val="center"/>
              <w:rPr>
                <w:sz w:val="20"/>
                <w:szCs w:val="20"/>
              </w:rPr>
            </w:pPr>
            <w:r w:rsidRPr="004A6F9A">
              <w:t>17.5%</w:t>
            </w:r>
          </w:p>
        </w:tc>
        <w:tc>
          <w:tcPr>
            <w:tcW w:w="964" w:type="dxa"/>
            <w:tcBorders>
              <w:top w:val="single" w:sz="4" w:space="0" w:color="000000"/>
            </w:tcBorders>
            <w:vAlign w:val="center"/>
          </w:tcPr>
          <w:p w14:paraId="0A7BD132" w14:textId="44F1B266" w:rsidR="003F736A" w:rsidRPr="005031CB" w:rsidRDefault="003F736A" w:rsidP="000C35EE">
            <w:pPr>
              <w:spacing w:before="60" w:after="60"/>
              <w:jc w:val="center"/>
              <w:rPr>
                <w:sz w:val="20"/>
                <w:szCs w:val="20"/>
              </w:rPr>
            </w:pPr>
            <w:r w:rsidRPr="004A6F9A">
              <w:t>12</w:t>
            </w:r>
          </w:p>
        </w:tc>
        <w:tc>
          <w:tcPr>
            <w:tcW w:w="964" w:type="dxa"/>
            <w:tcBorders>
              <w:top w:val="single" w:sz="4" w:space="0" w:color="000000"/>
            </w:tcBorders>
            <w:vAlign w:val="center"/>
          </w:tcPr>
          <w:p w14:paraId="4B151054" w14:textId="459D7B90" w:rsidR="003F736A" w:rsidRPr="005031CB" w:rsidRDefault="003F736A" w:rsidP="000C35EE">
            <w:pPr>
              <w:spacing w:before="60" w:after="60"/>
              <w:jc w:val="center"/>
              <w:rPr>
                <w:sz w:val="20"/>
                <w:szCs w:val="20"/>
              </w:rPr>
            </w:pPr>
            <w:r w:rsidRPr="009B79A4">
              <w:t>70%</w:t>
            </w:r>
          </w:p>
        </w:tc>
      </w:tr>
      <w:tr w:rsidR="003F736A" w:rsidRPr="005031CB" w14:paraId="645FFB7F" w14:textId="77777777" w:rsidTr="009A68DD">
        <w:trPr>
          <w:trHeight w:val="456"/>
        </w:trPr>
        <w:tc>
          <w:tcPr>
            <w:tcW w:w="1276" w:type="dxa"/>
            <w:tcBorders>
              <w:top w:val="single" w:sz="4" w:space="0" w:color="000000"/>
            </w:tcBorders>
            <w:vAlign w:val="center"/>
          </w:tcPr>
          <w:p w14:paraId="04CF8A19" w14:textId="70302047" w:rsidR="003F736A" w:rsidRPr="005031CB" w:rsidRDefault="003F736A" w:rsidP="000C35EE">
            <w:pPr>
              <w:spacing w:before="60" w:after="60"/>
              <w:ind w:left="34"/>
              <w:jc w:val="left"/>
              <w:rPr>
                <w:sz w:val="20"/>
                <w:szCs w:val="20"/>
              </w:rPr>
            </w:pPr>
            <w:r w:rsidRPr="005031CB">
              <w:rPr>
                <w:sz w:val="20"/>
                <w:szCs w:val="20"/>
              </w:rPr>
              <w:t>RCFC1-4</w:t>
            </w:r>
            <w:r>
              <w:rPr>
                <w:sz w:val="20"/>
                <w:szCs w:val="20"/>
              </w:rPr>
              <w:t>-2</w:t>
            </w:r>
          </w:p>
        </w:tc>
        <w:tc>
          <w:tcPr>
            <w:tcW w:w="3544" w:type="dxa"/>
            <w:tcBorders>
              <w:top w:val="single" w:sz="4" w:space="0" w:color="000000"/>
            </w:tcBorders>
            <w:vAlign w:val="center"/>
          </w:tcPr>
          <w:p w14:paraId="28F185B9" w14:textId="66E7D8C7" w:rsidR="003F736A" w:rsidRPr="005031CB" w:rsidRDefault="003F736A" w:rsidP="000D4B44">
            <w:pPr>
              <w:spacing w:before="60" w:after="60"/>
              <w:jc w:val="left"/>
              <w:rPr>
                <w:sz w:val="20"/>
                <w:szCs w:val="20"/>
              </w:rPr>
            </w:pPr>
            <w:r w:rsidRPr="005031CB">
              <w:rPr>
                <w:sz w:val="20"/>
                <w:szCs w:val="20"/>
              </w:rPr>
              <w:t>Walk-in coolrooms: small</w:t>
            </w:r>
          </w:p>
        </w:tc>
        <w:tc>
          <w:tcPr>
            <w:tcW w:w="964" w:type="dxa"/>
            <w:tcBorders>
              <w:top w:val="single" w:sz="4" w:space="0" w:color="000000"/>
            </w:tcBorders>
            <w:vAlign w:val="center"/>
          </w:tcPr>
          <w:p w14:paraId="54A3DD3A" w14:textId="4288E1F7" w:rsidR="003F736A" w:rsidRPr="005031CB" w:rsidRDefault="003F736A" w:rsidP="000C35EE">
            <w:pPr>
              <w:spacing w:before="60" w:after="60"/>
              <w:jc w:val="center"/>
              <w:rPr>
                <w:sz w:val="20"/>
                <w:szCs w:val="20"/>
              </w:rPr>
            </w:pPr>
            <w:r w:rsidRPr="008F4A33">
              <w:t>5.0</w:t>
            </w:r>
          </w:p>
        </w:tc>
        <w:tc>
          <w:tcPr>
            <w:tcW w:w="964" w:type="dxa"/>
            <w:tcBorders>
              <w:top w:val="single" w:sz="4" w:space="0" w:color="000000"/>
            </w:tcBorders>
            <w:vAlign w:val="center"/>
          </w:tcPr>
          <w:p w14:paraId="2D6ADDCD" w14:textId="0755BA77"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14:paraId="77CBD23E" w14:textId="7EDF1EAD" w:rsidR="003F736A" w:rsidRPr="005031CB" w:rsidRDefault="003F736A" w:rsidP="000C35EE">
            <w:pPr>
              <w:spacing w:before="60" w:after="60"/>
              <w:jc w:val="center"/>
              <w:rPr>
                <w:sz w:val="20"/>
                <w:szCs w:val="20"/>
              </w:rPr>
            </w:pPr>
            <w:r w:rsidRPr="004A6F9A">
              <w:t>17.5%</w:t>
            </w:r>
          </w:p>
        </w:tc>
        <w:tc>
          <w:tcPr>
            <w:tcW w:w="964" w:type="dxa"/>
            <w:tcBorders>
              <w:top w:val="single" w:sz="4" w:space="0" w:color="000000"/>
            </w:tcBorders>
            <w:vAlign w:val="center"/>
          </w:tcPr>
          <w:p w14:paraId="614D8D62" w14:textId="50A8BC92" w:rsidR="003F736A" w:rsidRPr="005031CB" w:rsidRDefault="003F736A" w:rsidP="000C35EE">
            <w:pPr>
              <w:spacing w:before="60" w:after="60"/>
              <w:jc w:val="center"/>
              <w:rPr>
                <w:sz w:val="20"/>
                <w:szCs w:val="20"/>
              </w:rPr>
            </w:pPr>
            <w:r w:rsidRPr="004A6F9A">
              <w:t>12</w:t>
            </w:r>
          </w:p>
        </w:tc>
        <w:tc>
          <w:tcPr>
            <w:tcW w:w="964" w:type="dxa"/>
            <w:tcBorders>
              <w:top w:val="single" w:sz="4" w:space="0" w:color="000000"/>
            </w:tcBorders>
            <w:vAlign w:val="center"/>
          </w:tcPr>
          <w:p w14:paraId="7735C1FD" w14:textId="459A25EB" w:rsidR="003F736A" w:rsidRPr="005031CB" w:rsidRDefault="003F736A" w:rsidP="000C35EE">
            <w:pPr>
              <w:spacing w:before="60" w:after="60"/>
              <w:jc w:val="center"/>
              <w:rPr>
                <w:sz w:val="20"/>
                <w:szCs w:val="20"/>
              </w:rPr>
            </w:pPr>
            <w:r w:rsidRPr="009B79A4">
              <w:t>90%</w:t>
            </w:r>
          </w:p>
        </w:tc>
      </w:tr>
      <w:tr w:rsidR="003F736A" w:rsidRPr="005031CB" w14:paraId="26910E0A" w14:textId="77777777" w:rsidTr="009A68DD">
        <w:trPr>
          <w:trHeight w:val="456"/>
        </w:trPr>
        <w:tc>
          <w:tcPr>
            <w:tcW w:w="1276" w:type="dxa"/>
            <w:tcBorders>
              <w:top w:val="single" w:sz="4" w:space="0" w:color="000000"/>
            </w:tcBorders>
            <w:vAlign w:val="center"/>
          </w:tcPr>
          <w:p w14:paraId="1AD2BB83" w14:textId="3D12E060" w:rsidR="003F736A" w:rsidRPr="005031CB" w:rsidRDefault="003F736A" w:rsidP="000C35EE">
            <w:pPr>
              <w:spacing w:before="60" w:after="60"/>
              <w:ind w:left="34"/>
              <w:jc w:val="left"/>
              <w:rPr>
                <w:sz w:val="20"/>
                <w:szCs w:val="20"/>
              </w:rPr>
            </w:pPr>
            <w:r w:rsidRPr="005031CB">
              <w:rPr>
                <w:sz w:val="20"/>
                <w:szCs w:val="20"/>
              </w:rPr>
              <w:t>RCFC1-5</w:t>
            </w:r>
          </w:p>
        </w:tc>
        <w:tc>
          <w:tcPr>
            <w:tcW w:w="3544" w:type="dxa"/>
            <w:tcBorders>
              <w:top w:val="single" w:sz="4" w:space="0" w:color="000000"/>
            </w:tcBorders>
            <w:vAlign w:val="center"/>
          </w:tcPr>
          <w:p w14:paraId="21705B38" w14:textId="18368FD4" w:rsidR="003F736A" w:rsidRPr="005031CB" w:rsidRDefault="003F736A" w:rsidP="000D4B44">
            <w:pPr>
              <w:spacing w:before="60" w:after="60"/>
              <w:jc w:val="left"/>
              <w:rPr>
                <w:sz w:val="20"/>
                <w:szCs w:val="20"/>
              </w:rPr>
            </w:pPr>
            <w:r w:rsidRPr="005031CB">
              <w:rPr>
                <w:sz w:val="20"/>
                <w:szCs w:val="20"/>
              </w:rPr>
              <w:t>Walk-in coolrooms: medium</w:t>
            </w:r>
          </w:p>
        </w:tc>
        <w:tc>
          <w:tcPr>
            <w:tcW w:w="964" w:type="dxa"/>
            <w:tcBorders>
              <w:top w:val="single" w:sz="4" w:space="0" w:color="000000"/>
            </w:tcBorders>
            <w:vAlign w:val="center"/>
          </w:tcPr>
          <w:p w14:paraId="6E6849E2" w14:textId="18519793" w:rsidR="003F736A" w:rsidRPr="005031CB" w:rsidRDefault="003F736A" w:rsidP="000C35EE">
            <w:pPr>
              <w:spacing w:before="60" w:after="60"/>
              <w:jc w:val="center"/>
              <w:rPr>
                <w:sz w:val="20"/>
                <w:szCs w:val="20"/>
              </w:rPr>
            </w:pPr>
            <w:r w:rsidRPr="008F4A33">
              <w:t>17.0</w:t>
            </w:r>
          </w:p>
        </w:tc>
        <w:tc>
          <w:tcPr>
            <w:tcW w:w="964" w:type="dxa"/>
            <w:tcBorders>
              <w:top w:val="single" w:sz="4" w:space="0" w:color="000000"/>
            </w:tcBorders>
            <w:vAlign w:val="center"/>
          </w:tcPr>
          <w:p w14:paraId="31E75B70" w14:textId="74571244"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14:paraId="13ABA6BD" w14:textId="4B64A3C1" w:rsidR="003F736A" w:rsidRPr="005031CB" w:rsidRDefault="003F736A" w:rsidP="000C35EE">
            <w:pPr>
              <w:spacing w:before="60" w:after="60"/>
              <w:jc w:val="center"/>
              <w:rPr>
                <w:sz w:val="20"/>
                <w:szCs w:val="20"/>
              </w:rPr>
            </w:pPr>
            <w:r w:rsidRPr="004A6F9A">
              <w:t>17.5%</w:t>
            </w:r>
          </w:p>
        </w:tc>
        <w:tc>
          <w:tcPr>
            <w:tcW w:w="964" w:type="dxa"/>
            <w:tcBorders>
              <w:top w:val="single" w:sz="4" w:space="0" w:color="000000"/>
            </w:tcBorders>
            <w:vAlign w:val="center"/>
          </w:tcPr>
          <w:p w14:paraId="3B286C57" w14:textId="6EEAF010" w:rsidR="003F736A" w:rsidRPr="005031CB" w:rsidRDefault="003F736A" w:rsidP="000C35EE">
            <w:pPr>
              <w:spacing w:before="60" w:after="60"/>
              <w:jc w:val="center"/>
              <w:rPr>
                <w:sz w:val="20"/>
                <w:szCs w:val="20"/>
              </w:rPr>
            </w:pPr>
            <w:r w:rsidRPr="004A6F9A">
              <w:t>12</w:t>
            </w:r>
          </w:p>
        </w:tc>
        <w:tc>
          <w:tcPr>
            <w:tcW w:w="964" w:type="dxa"/>
            <w:tcBorders>
              <w:top w:val="single" w:sz="4" w:space="0" w:color="000000"/>
            </w:tcBorders>
            <w:vAlign w:val="center"/>
          </w:tcPr>
          <w:p w14:paraId="18D10A9E" w14:textId="45AD83B5" w:rsidR="003F736A" w:rsidRPr="005031CB" w:rsidRDefault="003F736A" w:rsidP="000C35EE">
            <w:pPr>
              <w:spacing w:before="60" w:after="60"/>
              <w:jc w:val="center"/>
              <w:rPr>
                <w:sz w:val="20"/>
                <w:szCs w:val="20"/>
              </w:rPr>
            </w:pPr>
            <w:r w:rsidRPr="009B79A4">
              <w:t>70%</w:t>
            </w:r>
          </w:p>
        </w:tc>
      </w:tr>
      <w:tr w:rsidR="003F736A" w:rsidRPr="005031CB" w14:paraId="579C532D" w14:textId="77777777" w:rsidTr="009A68DD">
        <w:trPr>
          <w:trHeight w:val="456"/>
        </w:trPr>
        <w:tc>
          <w:tcPr>
            <w:tcW w:w="1276" w:type="dxa"/>
            <w:tcBorders>
              <w:top w:val="single" w:sz="4" w:space="0" w:color="000000"/>
            </w:tcBorders>
            <w:vAlign w:val="center"/>
          </w:tcPr>
          <w:p w14:paraId="25D469C7" w14:textId="00388067" w:rsidR="003F736A" w:rsidRPr="005031CB" w:rsidRDefault="003F736A" w:rsidP="000C35EE">
            <w:pPr>
              <w:spacing w:before="60" w:after="60"/>
              <w:ind w:left="34"/>
              <w:jc w:val="left"/>
              <w:rPr>
                <w:sz w:val="20"/>
                <w:szCs w:val="20"/>
              </w:rPr>
            </w:pPr>
            <w:r w:rsidRPr="005031CB">
              <w:rPr>
                <w:sz w:val="20"/>
                <w:szCs w:val="20"/>
              </w:rPr>
              <w:t>RCFC1-6</w:t>
            </w:r>
          </w:p>
        </w:tc>
        <w:tc>
          <w:tcPr>
            <w:tcW w:w="3544" w:type="dxa"/>
            <w:tcBorders>
              <w:top w:val="single" w:sz="4" w:space="0" w:color="000000"/>
            </w:tcBorders>
            <w:vAlign w:val="center"/>
          </w:tcPr>
          <w:p w14:paraId="60EAD075" w14:textId="12A28E5E" w:rsidR="003F736A" w:rsidRPr="005031CB" w:rsidRDefault="003F736A" w:rsidP="000D4B44">
            <w:pPr>
              <w:spacing w:before="60" w:after="60"/>
              <w:jc w:val="left"/>
              <w:rPr>
                <w:sz w:val="20"/>
                <w:szCs w:val="20"/>
              </w:rPr>
            </w:pPr>
            <w:r w:rsidRPr="005031CB">
              <w:rPr>
                <w:sz w:val="20"/>
                <w:szCs w:val="20"/>
              </w:rPr>
              <w:t>Walk-in coolrooms: large</w:t>
            </w:r>
          </w:p>
        </w:tc>
        <w:tc>
          <w:tcPr>
            <w:tcW w:w="964" w:type="dxa"/>
            <w:tcBorders>
              <w:top w:val="single" w:sz="4" w:space="0" w:color="000000"/>
            </w:tcBorders>
            <w:vAlign w:val="center"/>
          </w:tcPr>
          <w:p w14:paraId="2B4BF830" w14:textId="0D30A9E3" w:rsidR="003F736A" w:rsidRPr="005031CB" w:rsidRDefault="003F736A" w:rsidP="000C35EE">
            <w:pPr>
              <w:spacing w:before="60" w:after="60"/>
              <w:jc w:val="center"/>
              <w:rPr>
                <w:sz w:val="20"/>
                <w:szCs w:val="20"/>
              </w:rPr>
            </w:pPr>
            <w:r w:rsidRPr="008F4A33">
              <w:t>23.0</w:t>
            </w:r>
          </w:p>
        </w:tc>
        <w:tc>
          <w:tcPr>
            <w:tcW w:w="964" w:type="dxa"/>
            <w:tcBorders>
              <w:top w:val="single" w:sz="4" w:space="0" w:color="000000"/>
            </w:tcBorders>
            <w:vAlign w:val="center"/>
          </w:tcPr>
          <w:p w14:paraId="1C7D218E" w14:textId="4608848E"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14:paraId="077D0F71" w14:textId="4FD22768" w:rsidR="003F736A" w:rsidRPr="005031CB" w:rsidRDefault="003F736A" w:rsidP="000C35EE">
            <w:pPr>
              <w:spacing w:before="60" w:after="60"/>
              <w:jc w:val="center"/>
              <w:rPr>
                <w:sz w:val="20"/>
                <w:szCs w:val="20"/>
              </w:rPr>
            </w:pPr>
            <w:r w:rsidRPr="004A6F9A">
              <w:t>17.5%</w:t>
            </w:r>
          </w:p>
        </w:tc>
        <w:tc>
          <w:tcPr>
            <w:tcW w:w="964" w:type="dxa"/>
            <w:tcBorders>
              <w:top w:val="single" w:sz="4" w:space="0" w:color="000000"/>
            </w:tcBorders>
            <w:vAlign w:val="center"/>
          </w:tcPr>
          <w:p w14:paraId="63C62722" w14:textId="4C3EA93B" w:rsidR="003F736A" w:rsidRPr="005031CB" w:rsidRDefault="003F736A" w:rsidP="000C35EE">
            <w:pPr>
              <w:spacing w:before="60" w:after="60"/>
              <w:jc w:val="center"/>
              <w:rPr>
                <w:sz w:val="20"/>
                <w:szCs w:val="20"/>
              </w:rPr>
            </w:pPr>
            <w:r w:rsidRPr="004A6F9A">
              <w:t>15</w:t>
            </w:r>
          </w:p>
        </w:tc>
        <w:tc>
          <w:tcPr>
            <w:tcW w:w="964" w:type="dxa"/>
            <w:tcBorders>
              <w:top w:val="single" w:sz="4" w:space="0" w:color="000000"/>
            </w:tcBorders>
            <w:vAlign w:val="center"/>
          </w:tcPr>
          <w:p w14:paraId="43D82F53" w14:textId="2CA2A0B4" w:rsidR="003F736A" w:rsidRPr="005031CB" w:rsidRDefault="003F736A" w:rsidP="000C35EE">
            <w:pPr>
              <w:spacing w:before="60" w:after="60"/>
              <w:jc w:val="center"/>
              <w:rPr>
                <w:sz w:val="20"/>
                <w:szCs w:val="20"/>
              </w:rPr>
            </w:pPr>
            <w:r w:rsidRPr="009B79A4">
              <w:t>70%</w:t>
            </w:r>
          </w:p>
        </w:tc>
      </w:tr>
      <w:tr w:rsidR="003F736A" w:rsidRPr="005031CB" w14:paraId="1B3FAFF8" w14:textId="77777777" w:rsidTr="009A68DD">
        <w:trPr>
          <w:trHeight w:val="456"/>
        </w:trPr>
        <w:tc>
          <w:tcPr>
            <w:tcW w:w="1276" w:type="dxa"/>
            <w:tcBorders>
              <w:top w:val="single" w:sz="4" w:space="0" w:color="000000"/>
            </w:tcBorders>
            <w:vAlign w:val="center"/>
          </w:tcPr>
          <w:p w14:paraId="232FBEE4" w14:textId="013C604E" w:rsidR="003F736A" w:rsidRPr="005031CB" w:rsidRDefault="003F736A" w:rsidP="000C35EE">
            <w:pPr>
              <w:spacing w:before="60" w:after="60"/>
              <w:ind w:left="34"/>
              <w:jc w:val="left"/>
              <w:rPr>
                <w:sz w:val="20"/>
                <w:szCs w:val="20"/>
              </w:rPr>
            </w:pPr>
            <w:r w:rsidRPr="005031CB">
              <w:rPr>
                <w:sz w:val="20"/>
                <w:szCs w:val="20"/>
              </w:rPr>
              <w:t>RCFC1-7</w:t>
            </w:r>
          </w:p>
        </w:tc>
        <w:tc>
          <w:tcPr>
            <w:tcW w:w="3544" w:type="dxa"/>
            <w:tcBorders>
              <w:top w:val="single" w:sz="4" w:space="0" w:color="000000"/>
            </w:tcBorders>
            <w:vAlign w:val="center"/>
          </w:tcPr>
          <w:p w14:paraId="79BAE6A0" w14:textId="04473C01" w:rsidR="003F736A" w:rsidRPr="005031CB" w:rsidRDefault="003F736A" w:rsidP="000D4B44">
            <w:pPr>
              <w:spacing w:before="60" w:after="60"/>
              <w:jc w:val="left"/>
              <w:rPr>
                <w:sz w:val="20"/>
                <w:szCs w:val="20"/>
              </w:rPr>
            </w:pPr>
            <w:r w:rsidRPr="005031CB">
              <w:rPr>
                <w:sz w:val="20"/>
                <w:szCs w:val="20"/>
              </w:rPr>
              <w:t>Beverage cooling (post mix)</w:t>
            </w:r>
          </w:p>
        </w:tc>
        <w:tc>
          <w:tcPr>
            <w:tcW w:w="964" w:type="dxa"/>
            <w:tcBorders>
              <w:top w:val="single" w:sz="4" w:space="0" w:color="000000"/>
            </w:tcBorders>
            <w:vAlign w:val="center"/>
          </w:tcPr>
          <w:p w14:paraId="122E7200" w14:textId="1EF227E2" w:rsidR="003F736A" w:rsidRPr="005031CB" w:rsidRDefault="003F736A" w:rsidP="000C35EE">
            <w:pPr>
              <w:spacing w:before="60" w:after="60"/>
              <w:jc w:val="center"/>
              <w:rPr>
                <w:sz w:val="20"/>
                <w:szCs w:val="20"/>
              </w:rPr>
            </w:pPr>
            <w:r w:rsidRPr="008F4A33">
              <w:t>1.60</w:t>
            </w:r>
          </w:p>
        </w:tc>
        <w:tc>
          <w:tcPr>
            <w:tcW w:w="964" w:type="dxa"/>
            <w:tcBorders>
              <w:top w:val="single" w:sz="4" w:space="0" w:color="000000"/>
            </w:tcBorders>
            <w:vAlign w:val="center"/>
          </w:tcPr>
          <w:p w14:paraId="1AD836CE" w14:textId="1AEF1E38" w:rsidR="003F736A" w:rsidRPr="005031CB" w:rsidRDefault="003F736A" w:rsidP="000C35EE">
            <w:pPr>
              <w:spacing w:before="60" w:after="60"/>
              <w:jc w:val="center"/>
              <w:rPr>
                <w:sz w:val="20"/>
                <w:szCs w:val="20"/>
              </w:rPr>
            </w:pPr>
            <w:r w:rsidRPr="004A6F9A">
              <w:t>8.0%</w:t>
            </w:r>
          </w:p>
        </w:tc>
        <w:tc>
          <w:tcPr>
            <w:tcW w:w="964" w:type="dxa"/>
            <w:tcBorders>
              <w:top w:val="single" w:sz="4" w:space="0" w:color="000000"/>
            </w:tcBorders>
            <w:vAlign w:val="center"/>
          </w:tcPr>
          <w:p w14:paraId="73BB3747" w14:textId="6266FF64" w:rsidR="003F736A" w:rsidRPr="005031CB" w:rsidRDefault="003F736A" w:rsidP="000C35EE">
            <w:pPr>
              <w:spacing w:before="60" w:after="60"/>
              <w:jc w:val="center"/>
              <w:rPr>
                <w:sz w:val="20"/>
                <w:szCs w:val="20"/>
              </w:rPr>
            </w:pPr>
            <w:r w:rsidRPr="004A6F9A">
              <w:t>5.0%</w:t>
            </w:r>
          </w:p>
        </w:tc>
        <w:tc>
          <w:tcPr>
            <w:tcW w:w="964" w:type="dxa"/>
            <w:tcBorders>
              <w:top w:val="single" w:sz="4" w:space="0" w:color="000000"/>
            </w:tcBorders>
            <w:vAlign w:val="center"/>
          </w:tcPr>
          <w:p w14:paraId="704492B4" w14:textId="2460903F" w:rsidR="003F736A" w:rsidRPr="005031CB" w:rsidRDefault="003F736A" w:rsidP="000C35EE">
            <w:pPr>
              <w:spacing w:before="60" w:after="60"/>
              <w:jc w:val="center"/>
              <w:rPr>
                <w:sz w:val="20"/>
                <w:szCs w:val="20"/>
              </w:rPr>
            </w:pPr>
            <w:r w:rsidRPr="004A6F9A">
              <w:t>8</w:t>
            </w:r>
          </w:p>
        </w:tc>
        <w:tc>
          <w:tcPr>
            <w:tcW w:w="964" w:type="dxa"/>
            <w:tcBorders>
              <w:top w:val="single" w:sz="4" w:space="0" w:color="000000"/>
            </w:tcBorders>
            <w:vAlign w:val="center"/>
          </w:tcPr>
          <w:p w14:paraId="11BD0399" w14:textId="75FBED15" w:rsidR="003F736A" w:rsidRPr="005031CB" w:rsidRDefault="003F736A" w:rsidP="000C35EE">
            <w:pPr>
              <w:spacing w:before="60" w:after="60"/>
              <w:jc w:val="center"/>
              <w:rPr>
                <w:sz w:val="20"/>
                <w:szCs w:val="20"/>
              </w:rPr>
            </w:pPr>
            <w:r w:rsidRPr="009B79A4">
              <w:t>80%</w:t>
            </w:r>
          </w:p>
        </w:tc>
      </w:tr>
      <w:tr w:rsidR="003F736A" w:rsidRPr="005031CB" w14:paraId="23D67E9A" w14:textId="77777777" w:rsidTr="009A68DD">
        <w:trPr>
          <w:trHeight w:val="456"/>
        </w:trPr>
        <w:tc>
          <w:tcPr>
            <w:tcW w:w="1276" w:type="dxa"/>
            <w:tcBorders>
              <w:top w:val="single" w:sz="4" w:space="0" w:color="000000"/>
            </w:tcBorders>
            <w:vAlign w:val="center"/>
          </w:tcPr>
          <w:p w14:paraId="754E7716" w14:textId="3BD5A9B8" w:rsidR="003F736A" w:rsidRPr="005031CB" w:rsidRDefault="003F736A" w:rsidP="000C35EE">
            <w:pPr>
              <w:spacing w:before="60" w:after="60"/>
              <w:ind w:left="34"/>
              <w:jc w:val="left"/>
              <w:rPr>
                <w:sz w:val="20"/>
                <w:szCs w:val="20"/>
              </w:rPr>
            </w:pPr>
            <w:r w:rsidRPr="005031CB">
              <w:rPr>
                <w:sz w:val="20"/>
                <w:szCs w:val="20"/>
              </w:rPr>
              <w:t>RCFC1-8</w:t>
            </w:r>
          </w:p>
        </w:tc>
        <w:tc>
          <w:tcPr>
            <w:tcW w:w="3544" w:type="dxa"/>
            <w:tcBorders>
              <w:top w:val="single" w:sz="4" w:space="0" w:color="000000"/>
            </w:tcBorders>
            <w:vAlign w:val="center"/>
          </w:tcPr>
          <w:p w14:paraId="5E3B7775" w14:textId="0EDCC796" w:rsidR="003F736A" w:rsidRPr="005031CB" w:rsidRDefault="003F736A" w:rsidP="000D4B44">
            <w:pPr>
              <w:spacing w:before="60" w:after="60"/>
              <w:jc w:val="left"/>
              <w:rPr>
                <w:sz w:val="20"/>
                <w:szCs w:val="20"/>
              </w:rPr>
            </w:pPr>
            <w:r w:rsidRPr="005031CB">
              <w:rPr>
                <w:sz w:val="20"/>
                <w:szCs w:val="20"/>
              </w:rPr>
              <w:t>Beverage cooling (beer)</w:t>
            </w:r>
          </w:p>
        </w:tc>
        <w:tc>
          <w:tcPr>
            <w:tcW w:w="964" w:type="dxa"/>
            <w:tcBorders>
              <w:top w:val="single" w:sz="4" w:space="0" w:color="000000"/>
            </w:tcBorders>
            <w:vAlign w:val="center"/>
          </w:tcPr>
          <w:p w14:paraId="2A62B612" w14:textId="4AF0C857" w:rsidR="003F736A" w:rsidRPr="005031CB" w:rsidRDefault="003F736A" w:rsidP="000C35EE">
            <w:pPr>
              <w:spacing w:before="60" w:after="60"/>
              <w:jc w:val="center"/>
              <w:rPr>
                <w:sz w:val="20"/>
                <w:szCs w:val="20"/>
              </w:rPr>
            </w:pPr>
            <w:r w:rsidRPr="008F4A33">
              <w:t>40.0</w:t>
            </w:r>
          </w:p>
        </w:tc>
        <w:tc>
          <w:tcPr>
            <w:tcW w:w="964" w:type="dxa"/>
            <w:tcBorders>
              <w:top w:val="single" w:sz="4" w:space="0" w:color="000000"/>
            </w:tcBorders>
            <w:vAlign w:val="center"/>
          </w:tcPr>
          <w:p w14:paraId="27EF9FF7" w14:textId="278A9076" w:rsidR="003F736A" w:rsidRPr="005031CB" w:rsidRDefault="003F736A" w:rsidP="000C35EE">
            <w:pPr>
              <w:spacing w:before="60" w:after="60"/>
              <w:jc w:val="center"/>
              <w:rPr>
                <w:sz w:val="20"/>
                <w:szCs w:val="20"/>
              </w:rPr>
            </w:pPr>
            <w:r w:rsidRPr="004A6F9A">
              <w:t>17.5%</w:t>
            </w:r>
          </w:p>
        </w:tc>
        <w:tc>
          <w:tcPr>
            <w:tcW w:w="964" w:type="dxa"/>
            <w:tcBorders>
              <w:top w:val="single" w:sz="4" w:space="0" w:color="000000"/>
            </w:tcBorders>
            <w:vAlign w:val="center"/>
          </w:tcPr>
          <w:p w14:paraId="2ED88EE3" w14:textId="09D4D4F7" w:rsidR="003F736A" w:rsidRPr="005031CB" w:rsidRDefault="003F736A" w:rsidP="000C35EE">
            <w:pPr>
              <w:spacing w:before="60" w:after="60"/>
              <w:jc w:val="center"/>
              <w:rPr>
                <w:sz w:val="20"/>
                <w:szCs w:val="20"/>
              </w:rPr>
            </w:pPr>
            <w:r w:rsidRPr="004A6F9A">
              <w:t>15.0%</w:t>
            </w:r>
          </w:p>
        </w:tc>
        <w:tc>
          <w:tcPr>
            <w:tcW w:w="964" w:type="dxa"/>
            <w:tcBorders>
              <w:top w:val="single" w:sz="4" w:space="0" w:color="000000"/>
            </w:tcBorders>
            <w:vAlign w:val="center"/>
          </w:tcPr>
          <w:p w14:paraId="44EE713B" w14:textId="44FAAFE4" w:rsidR="003F736A" w:rsidRPr="005031CB" w:rsidRDefault="003F736A" w:rsidP="000C35EE">
            <w:pPr>
              <w:spacing w:before="60" w:after="60"/>
              <w:jc w:val="center"/>
              <w:rPr>
                <w:sz w:val="20"/>
                <w:szCs w:val="20"/>
              </w:rPr>
            </w:pPr>
            <w:r w:rsidRPr="004A6F9A">
              <w:t>15</w:t>
            </w:r>
          </w:p>
        </w:tc>
        <w:tc>
          <w:tcPr>
            <w:tcW w:w="964" w:type="dxa"/>
            <w:tcBorders>
              <w:top w:val="single" w:sz="4" w:space="0" w:color="000000"/>
            </w:tcBorders>
            <w:vAlign w:val="center"/>
          </w:tcPr>
          <w:p w14:paraId="0A7ACB50" w14:textId="5CC33AB5" w:rsidR="003F736A" w:rsidRPr="005031CB" w:rsidRDefault="003F736A" w:rsidP="000C35EE">
            <w:pPr>
              <w:spacing w:before="60" w:after="60"/>
              <w:jc w:val="center"/>
              <w:rPr>
                <w:sz w:val="20"/>
                <w:szCs w:val="20"/>
              </w:rPr>
            </w:pPr>
            <w:r w:rsidRPr="009B79A4">
              <w:t>70%</w:t>
            </w:r>
          </w:p>
        </w:tc>
      </w:tr>
      <w:tr w:rsidR="003F736A" w:rsidRPr="005031CB" w14:paraId="788BB07A" w14:textId="77777777" w:rsidTr="009A68DD">
        <w:trPr>
          <w:trHeight w:val="456"/>
        </w:trPr>
        <w:tc>
          <w:tcPr>
            <w:tcW w:w="1276" w:type="dxa"/>
            <w:tcBorders>
              <w:top w:val="single" w:sz="4" w:space="0" w:color="000000"/>
            </w:tcBorders>
            <w:vAlign w:val="center"/>
          </w:tcPr>
          <w:p w14:paraId="38F41BEB" w14:textId="46E173A6" w:rsidR="003F736A" w:rsidRPr="005031CB" w:rsidRDefault="003F736A" w:rsidP="000C35EE">
            <w:pPr>
              <w:spacing w:before="60" w:after="60"/>
              <w:ind w:left="34"/>
              <w:jc w:val="left"/>
              <w:rPr>
                <w:sz w:val="20"/>
                <w:szCs w:val="20"/>
              </w:rPr>
            </w:pPr>
            <w:r w:rsidRPr="005031CB">
              <w:rPr>
                <w:sz w:val="20"/>
                <w:szCs w:val="20"/>
              </w:rPr>
              <w:t>RCFC1-9</w:t>
            </w:r>
          </w:p>
        </w:tc>
        <w:tc>
          <w:tcPr>
            <w:tcW w:w="3544" w:type="dxa"/>
            <w:tcBorders>
              <w:top w:val="single" w:sz="4" w:space="0" w:color="000000"/>
            </w:tcBorders>
            <w:vAlign w:val="center"/>
          </w:tcPr>
          <w:p w14:paraId="07DFE1B6" w14:textId="521E7CF2" w:rsidR="003F736A" w:rsidRPr="005031CB" w:rsidRDefault="003F736A" w:rsidP="000D4B44">
            <w:pPr>
              <w:spacing w:before="60" w:after="60"/>
              <w:jc w:val="left"/>
              <w:rPr>
                <w:sz w:val="20"/>
                <w:szCs w:val="20"/>
              </w:rPr>
            </w:pPr>
            <w:r w:rsidRPr="005031CB">
              <w:rPr>
                <w:sz w:val="20"/>
                <w:szCs w:val="20"/>
              </w:rPr>
              <w:t>Water dispensers (incl. bottle)</w:t>
            </w:r>
          </w:p>
        </w:tc>
        <w:tc>
          <w:tcPr>
            <w:tcW w:w="964" w:type="dxa"/>
            <w:tcBorders>
              <w:top w:val="single" w:sz="4" w:space="0" w:color="000000"/>
            </w:tcBorders>
            <w:vAlign w:val="center"/>
          </w:tcPr>
          <w:p w14:paraId="32E2C6B4" w14:textId="12429723" w:rsidR="003F736A" w:rsidRPr="005031CB" w:rsidRDefault="003F736A" w:rsidP="000C35EE">
            <w:pPr>
              <w:spacing w:before="60" w:after="60"/>
              <w:jc w:val="center"/>
              <w:rPr>
                <w:sz w:val="20"/>
                <w:szCs w:val="20"/>
              </w:rPr>
            </w:pPr>
            <w:r w:rsidRPr="008F4A33">
              <w:t>0.05</w:t>
            </w:r>
          </w:p>
        </w:tc>
        <w:tc>
          <w:tcPr>
            <w:tcW w:w="964" w:type="dxa"/>
            <w:tcBorders>
              <w:top w:val="single" w:sz="4" w:space="0" w:color="000000"/>
            </w:tcBorders>
            <w:vAlign w:val="center"/>
          </w:tcPr>
          <w:p w14:paraId="40EDBB16" w14:textId="603AA574" w:rsidR="003F736A" w:rsidRPr="005031CB" w:rsidRDefault="003F736A" w:rsidP="000C35EE">
            <w:pPr>
              <w:spacing w:before="60" w:after="60"/>
              <w:jc w:val="center"/>
              <w:rPr>
                <w:sz w:val="20"/>
                <w:szCs w:val="20"/>
              </w:rPr>
            </w:pPr>
            <w:r w:rsidRPr="004A6F9A">
              <w:t>2.0%</w:t>
            </w:r>
          </w:p>
        </w:tc>
        <w:tc>
          <w:tcPr>
            <w:tcW w:w="964" w:type="dxa"/>
            <w:tcBorders>
              <w:top w:val="single" w:sz="4" w:space="0" w:color="000000"/>
            </w:tcBorders>
            <w:vAlign w:val="center"/>
          </w:tcPr>
          <w:p w14:paraId="7B2F10B5" w14:textId="44EA34FF" w:rsidR="003F736A" w:rsidRPr="005031CB" w:rsidRDefault="003F736A" w:rsidP="000C35EE">
            <w:pPr>
              <w:spacing w:before="60" w:after="60"/>
              <w:jc w:val="center"/>
              <w:rPr>
                <w:sz w:val="20"/>
                <w:szCs w:val="20"/>
              </w:rPr>
            </w:pPr>
            <w:r w:rsidRPr="004A6F9A">
              <w:t>1.0%</w:t>
            </w:r>
          </w:p>
        </w:tc>
        <w:tc>
          <w:tcPr>
            <w:tcW w:w="964" w:type="dxa"/>
            <w:tcBorders>
              <w:top w:val="single" w:sz="4" w:space="0" w:color="000000"/>
            </w:tcBorders>
            <w:vAlign w:val="center"/>
          </w:tcPr>
          <w:p w14:paraId="57A0E82A" w14:textId="67FFFD04" w:rsidR="003F736A" w:rsidRPr="005031CB" w:rsidRDefault="003F736A" w:rsidP="000C35EE">
            <w:pPr>
              <w:spacing w:before="60" w:after="60"/>
              <w:jc w:val="center"/>
              <w:rPr>
                <w:sz w:val="20"/>
                <w:szCs w:val="20"/>
              </w:rPr>
            </w:pPr>
            <w:r w:rsidRPr="004A6F9A">
              <w:t>8</w:t>
            </w:r>
          </w:p>
        </w:tc>
        <w:tc>
          <w:tcPr>
            <w:tcW w:w="964" w:type="dxa"/>
            <w:tcBorders>
              <w:top w:val="single" w:sz="4" w:space="0" w:color="000000"/>
            </w:tcBorders>
            <w:vAlign w:val="center"/>
          </w:tcPr>
          <w:p w14:paraId="52F76933" w14:textId="48B02A2A" w:rsidR="003F736A" w:rsidRPr="005031CB" w:rsidRDefault="003F736A" w:rsidP="000C35EE">
            <w:pPr>
              <w:spacing w:before="60" w:after="60"/>
              <w:jc w:val="center"/>
              <w:rPr>
                <w:sz w:val="20"/>
                <w:szCs w:val="20"/>
              </w:rPr>
            </w:pPr>
            <w:r w:rsidRPr="009B79A4">
              <w:t>80%</w:t>
            </w:r>
          </w:p>
        </w:tc>
      </w:tr>
      <w:tr w:rsidR="003F736A" w:rsidRPr="005031CB" w14:paraId="5FFA892F" w14:textId="77777777" w:rsidTr="009A68DD">
        <w:trPr>
          <w:trHeight w:val="456"/>
        </w:trPr>
        <w:tc>
          <w:tcPr>
            <w:tcW w:w="1276" w:type="dxa"/>
            <w:tcBorders>
              <w:top w:val="single" w:sz="4" w:space="0" w:color="000000"/>
            </w:tcBorders>
            <w:vAlign w:val="center"/>
          </w:tcPr>
          <w:p w14:paraId="21FE2831" w14:textId="76AC415A" w:rsidR="003F736A" w:rsidRPr="005031CB" w:rsidRDefault="003F736A" w:rsidP="000C35EE">
            <w:pPr>
              <w:spacing w:before="60" w:after="60"/>
              <w:ind w:left="34"/>
              <w:jc w:val="left"/>
              <w:rPr>
                <w:sz w:val="20"/>
                <w:szCs w:val="20"/>
              </w:rPr>
            </w:pPr>
            <w:r w:rsidRPr="005031CB">
              <w:rPr>
                <w:sz w:val="20"/>
                <w:szCs w:val="20"/>
              </w:rPr>
              <w:t>RCFC1-10</w:t>
            </w:r>
          </w:p>
        </w:tc>
        <w:tc>
          <w:tcPr>
            <w:tcW w:w="3544" w:type="dxa"/>
            <w:tcBorders>
              <w:top w:val="single" w:sz="4" w:space="0" w:color="000000"/>
            </w:tcBorders>
            <w:vAlign w:val="center"/>
          </w:tcPr>
          <w:p w14:paraId="2E589A9F" w14:textId="49541A0C" w:rsidR="003F736A" w:rsidRPr="005031CB" w:rsidRDefault="003F736A" w:rsidP="000D4B44">
            <w:pPr>
              <w:spacing w:before="60" w:after="60"/>
              <w:jc w:val="left"/>
              <w:rPr>
                <w:sz w:val="20"/>
                <w:szCs w:val="20"/>
              </w:rPr>
            </w:pPr>
            <w:r w:rsidRPr="005031CB">
              <w:rPr>
                <w:sz w:val="20"/>
                <w:szCs w:val="20"/>
              </w:rPr>
              <w:t>Packaged liquid chillers</w:t>
            </w:r>
          </w:p>
        </w:tc>
        <w:tc>
          <w:tcPr>
            <w:tcW w:w="964" w:type="dxa"/>
            <w:tcBorders>
              <w:top w:val="single" w:sz="4" w:space="0" w:color="000000"/>
            </w:tcBorders>
            <w:vAlign w:val="center"/>
          </w:tcPr>
          <w:p w14:paraId="18308FCB" w14:textId="1FACD1EA" w:rsidR="003F736A" w:rsidRPr="005031CB" w:rsidRDefault="003F736A" w:rsidP="000C35EE">
            <w:pPr>
              <w:spacing w:before="60" w:after="60"/>
              <w:jc w:val="center"/>
              <w:rPr>
                <w:sz w:val="20"/>
                <w:szCs w:val="20"/>
              </w:rPr>
            </w:pPr>
            <w:r w:rsidRPr="008F4A33">
              <w:t>60.0</w:t>
            </w:r>
          </w:p>
        </w:tc>
        <w:tc>
          <w:tcPr>
            <w:tcW w:w="964" w:type="dxa"/>
            <w:tcBorders>
              <w:top w:val="single" w:sz="4" w:space="0" w:color="000000"/>
            </w:tcBorders>
            <w:vAlign w:val="center"/>
          </w:tcPr>
          <w:p w14:paraId="1A0923E8" w14:textId="629A6F3F" w:rsidR="003F736A" w:rsidRPr="005031CB" w:rsidRDefault="003F736A" w:rsidP="000C35EE">
            <w:pPr>
              <w:spacing w:before="60" w:after="60"/>
              <w:jc w:val="center"/>
              <w:rPr>
                <w:sz w:val="20"/>
                <w:szCs w:val="20"/>
              </w:rPr>
            </w:pPr>
            <w:r w:rsidRPr="004A6F9A">
              <w:t>12.5%</w:t>
            </w:r>
          </w:p>
        </w:tc>
        <w:tc>
          <w:tcPr>
            <w:tcW w:w="964" w:type="dxa"/>
            <w:tcBorders>
              <w:top w:val="single" w:sz="4" w:space="0" w:color="000000"/>
            </w:tcBorders>
            <w:vAlign w:val="center"/>
          </w:tcPr>
          <w:p w14:paraId="6BB347DB" w14:textId="59AABA32" w:rsidR="003F736A" w:rsidRPr="005031CB" w:rsidRDefault="003F736A" w:rsidP="000C35EE">
            <w:pPr>
              <w:spacing w:before="60" w:after="60"/>
              <w:jc w:val="center"/>
              <w:rPr>
                <w:sz w:val="20"/>
                <w:szCs w:val="20"/>
              </w:rPr>
            </w:pPr>
            <w:r w:rsidRPr="004A6F9A">
              <w:t>10.0%</w:t>
            </w:r>
          </w:p>
        </w:tc>
        <w:tc>
          <w:tcPr>
            <w:tcW w:w="964" w:type="dxa"/>
            <w:tcBorders>
              <w:top w:val="single" w:sz="4" w:space="0" w:color="000000"/>
            </w:tcBorders>
            <w:vAlign w:val="center"/>
          </w:tcPr>
          <w:p w14:paraId="57D88ED3" w14:textId="05B6091A" w:rsidR="003F736A" w:rsidRPr="005031CB" w:rsidRDefault="003F736A" w:rsidP="000C35EE">
            <w:pPr>
              <w:spacing w:before="60" w:after="60"/>
              <w:jc w:val="center"/>
              <w:rPr>
                <w:sz w:val="20"/>
                <w:szCs w:val="20"/>
              </w:rPr>
            </w:pPr>
            <w:r w:rsidRPr="004A6F9A">
              <w:t>15</w:t>
            </w:r>
          </w:p>
        </w:tc>
        <w:tc>
          <w:tcPr>
            <w:tcW w:w="964" w:type="dxa"/>
            <w:tcBorders>
              <w:top w:val="single" w:sz="4" w:space="0" w:color="000000"/>
            </w:tcBorders>
            <w:vAlign w:val="center"/>
          </w:tcPr>
          <w:p w14:paraId="29EC0EA5" w14:textId="294E6321" w:rsidR="003F736A" w:rsidRPr="005031CB" w:rsidRDefault="003F736A" w:rsidP="000C35EE">
            <w:pPr>
              <w:spacing w:before="60" w:after="60"/>
              <w:jc w:val="center"/>
              <w:rPr>
                <w:sz w:val="20"/>
                <w:szCs w:val="20"/>
              </w:rPr>
            </w:pPr>
            <w:r w:rsidRPr="009B79A4">
              <w:t>70%</w:t>
            </w:r>
          </w:p>
        </w:tc>
      </w:tr>
      <w:tr w:rsidR="003F736A" w:rsidRPr="005031CB" w14:paraId="29418864" w14:textId="77777777" w:rsidTr="009A68DD">
        <w:trPr>
          <w:trHeight w:val="456"/>
        </w:trPr>
        <w:tc>
          <w:tcPr>
            <w:tcW w:w="1276" w:type="dxa"/>
            <w:tcBorders>
              <w:top w:val="single" w:sz="4" w:space="0" w:color="000000"/>
            </w:tcBorders>
            <w:vAlign w:val="center"/>
          </w:tcPr>
          <w:p w14:paraId="296DC796" w14:textId="3A781E0B" w:rsidR="003F736A" w:rsidRPr="005031CB" w:rsidRDefault="003F736A" w:rsidP="000C35EE">
            <w:pPr>
              <w:spacing w:before="60" w:after="60"/>
              <w:ind w:left="34"/>
              <w:jc w:val="left"/>
              <w:rPr>
                <w:sz w:val="20"/>
                <w:szCs w:val="20"/>
              </w:rPr>
            </w:pPr>
            <w:r w:rsidRPr="005031CB">
              <w:rPr>
                <w:sz w:val="20"/>
                <w:szCs w:val="20"/>
              </w:rPr>
              <w:t>RCFC1-11</w:t>
            </w:r>
          </w:p>
        </w:tc>
        <w:tc>
          <w:tcPr>
            <w:tcW w:w="3544" w:type="dxa"/>
            <w:tcBorders>
              <w:top w:val="single" w:sz="4" w:space="0" w:color="000000"/>
            </w:tcBorders>
            <w:vAlign w:val="center"/>
          </w:tcPr>
          <w:p w14:paraId="738E9477" w14:textId="2D25641D" w:rsidR="003F736A" w:rsidRPr="005031CB" w:rsidRDefault="003F736A" w:rsidP="000D4B44">
            <w:pPr>
              <w:spacing w:before="60" w:after="60"/>
              <w:jc w:val="left"/>
              <w:rPr>
                <w:sz w:val="20"/>
                <w:szCs w:val="20"/>
              </w:rPr>
            </w:pPr>
            <w:r w:rsidRPr="005031CB">
              <w:rPr>
                <w:sz w:val="20"/>
                <w:szCs w:val="20"/>
              </w:rPr>
              <w:t>Milk vat refrigeration</w:t>
            </w:r>
          </w:p>
        </w:tc>
        <w:tc>
          <w:tcPr>
            <w:tcW w:w="964" w:type="dxa"/>
            <w:tcBorders>
              <w:top w:val="single" w:sz="4" w:space="0" w:color="000000"/>
            </w:tcBorders>
            <w:vAlign w:val="center"/>
          </w:tcPr>
          <w:p w14:paraId="3FE2844E" w14:textId="43FDBA53" w:rsidR="003F736A" w:rsidRPr="005031CB" w:rsidRDefault="003F736A" w:rsidP="000C35EE">
            <w:pPr>
              <w:spacing w:before="60" w:after="60"/>
              <w:jc w:val="center"/>
              <w:rPr>
                <w:sz w:val="20"/>
                <w:szCs w:val="20"/>
              </w:rPr>
            </w:pPr>
            <w:r w:rsidRPr="008F4A33">
              <w:t>40.0</w:t>
            </w:r>
          </w:p>
        </w:tc>
        <w:tc>
          <w:tcPr>
            <w:tcW w:w="964" w:type="dxa"/>
            <w:tcBorders>
              <w:top w:val="single" w:sz="4" w:space="0" w:color="000000"/>
            </w:tcBorders>
            <w:vAlign w:val="center"/>
          </w:tcPr>
          <w:p w14:paraId="6FFA6D8A" w14:textId="3387E45E" w:rsidR="003F736A" w:rsidRPr="005031CB" w:rsidRDefault="003F736A" w:rsidP="000C35EE">
            <w:pPr>
              <w:spacing w:before="60" w:after="60"/>
              <w:jc w:val="center"/>
              <w:rPr>
                <w:sz w:val="20"/>
                <w:szCs w:val="20"/>
              </w:rPr>
            </w:pPr>
            <w:r w:rsidRPr="004A6F9A">
              <w:t>25.0%</w:t>
            </w:r>
          </w:p>
        </w:tc>
        <w:tc>
          <w:tcPr>
            <w:tcW w:w="964" w:type="dxa"/>
            <w:tcBorders>
              <w:top w:val="single" w:sz="4" w:space="0" w:color="000000"/>
            </w:tcBorders>
            <w:vAlign w:val="center"/>
          </w:tcPr>
          <w:p w14:paraId="754932BA" w14:textId="7F50AD48" w:rsidR="003F736A" w:rsidRPr="005031CB" w:rsidRDefault="003F736A" w:rsidP="000C35EE">
            <w:pPr>
              <w:spacing w:before="60" w:after="60"/>
              <w:jc w:val="center"/>
              <w:rPr>
                <w:sz w:val="20"/>
                <w:szCs w:val="20"/>
              </w:rPr>
            </w:pPr>
            <w:r w:rsidRPr="004A6F9A">
              <w:t>15.0%</w:t>
            </w:r>
          </w:p>
        </w:tc>
        <w:tc>
          <w:tcPr>
            <w:tcW w:w="964" w:type="dxa"/>
            <w:tcBorders>
              <w:top w:val="single" w:sz="4" w:space="0" w:color="000000"/>
            </w:tcBorders>
            <w:vAlign w:val="center"/>
          </w:tcPr>
          <w:p w14:paraId="142C037B" w14:textId="551499C4" w:rsidR="003F736A" w:rsidRPr="005031CB" w:rsidRDefault="003F736A" w:rsidP="000C35EE">
            <w:pPr>
              <w:spacing w:before="60" w:after="60"/>
              <w:jc w:val="center"/>
              <w:rPr>
                <w:sz w:val="20"/>
                <w:szCs w:val="20"/>
              </w:rPr>
            </w:pPr>
            <w:r w:rsidRPr="004A6F9A">
              <w:t>20</w:t>
            </w:r>
          </w:p>
        </w:tc>
        <w:tc>
          <w:tcPr>
            <w:tcW w:w="964" w:type="dxa"/>
            <w:tcBorders>
              <w:top w:val="single" w:sz="4" w:space="0" w:color="000000"/>
            </w:tcBorders>
            <w:vAlign w:val="center"/>
          </w:tcPr>
          <w:p w14:paraId="778E4D89" w14:textId="3F3DA29C" w:rsidR="003F736A" w:rsidRPr="005031CB" w:rsidRDefault="003F736A" w:rsidP="000C35EE">
            <w:pPr>
              <w:spacing w:before="60" w:after="60"/>
              <w:jc w:val="center"/>
              <w:rPr>
                <w:sz w:val="20"/>
                <w:szCs w:val="20"/>
              </w:rPr>
            </w:pPr>
            <w:r w:rsidRPr="009B79A4">
              <w:t>70%</w:t>
            </w:r>
          </w:p>
        </w:tc>
      </w:tr>
      <w:tr w:rsidR="003F736A" w:rsidRPr="005031CB" w14:paraId="24AC30DC" w14:textId="77777777" w:rsidTr="009A68DD">
        <w:trPr>
          <w:trHeight w:val="456"/>
        </w:trPr>
        <w:tc>
          <w:tcPr>
            <w:tcW w:w="1276" w:type="dxa"/>
            <w:tcBorders>
              <w:top w:val="single" w:sz="4" w:space="0" w:color="000000"/>
            </w:tcBorders>
            <w:vAlign w:val="center"/>
          </w:tcPr>
          <w:p w14:paraId="521A357A" w14:textId="0E7E7764" w:rsidR="003F736A" w:rsidRPr="005031CB" w:rsidRDefault="003F736A" w:rsidP="000C35EE">
            <w:pPr>
              <w:spacing w:before="60" w:after="60"/>
              <w:ind w:left="34"/>
              <w:jc w:val="left"/>
              <w:rPr>
                <w:sz w:val="20"/>
                <w:szCs w:val="20"/>
              </w:rPr>
            </w:pPr>
            <w:r w:rsidRPr="005031CB">
              <w:rPr>
                <w:sz w:val="20"/>
                <w:szCs w:val="20"/>
              </w:rPr>
              <w:t>RCFC1-12</w:t>
            </w:r>
          </w:p>
        </w:tc>
        <w:tc>
          <w:tcPr>
            <w:tcW w:w="3544" w:type="dxa"/>
            <w:tcBorders>
              <w:top w:val="single" w:sz="4" w:space="0" w:color="000000"/>
            </w:tcBorders>
            <w:vAlign w:val="center"/>
          </w:tcPr>
          <w:p w14:paraId="5282584B" w14:textId="24B6FC6A" w:rsidR="003F736A" w:rsidRPr="005031CB" w:rsidRDefault="003F736A" w:rsidP="000D4B44">
            <w:pPr>
              <w:spacing w:before="60" w:after="60"/>
              <w:jc w:val="left"/>
              <w:rPr>
                <w:sz w:val="20"/>
                <w:szCs w:val="20"/>
              </w:rPr>
            </w:pPr>
            <w:r w:rsidRPr="005031CB">
              <w:rPr>
                <w:sz w:val="20"/>
                <w:szCs w:val="20"/>
              </w:rPr>
              <w:t>Portable refrigerators (commercial)</w:t>
            </w:r>
          </w:p>
        </w:tc>
        <w:tc>
          <w:tcPr>
            <w:tcW w:w="964" w:type="dxa"/>
            <w:tcBorders>
              <w:top w:val="single" w:sz="4" w:space="0" w:color="000000"/>
            </w:tcBorders>
            <w:vAlign w:val="center"/>
          </w:tcPr>
          <w:p w14:paraId="6D822051" w14:textId="77E1E475" w:rsidR="003F736A" w:rsidRPr="005031CB" w:rsidRDefault="003F736A" w:rsidP="000C35EE">
            <w:pPr>
              <w:spacing w:before="60" w:after="60"/>
              <w:jc w:val="center"/>
              <w:rPr>
                <w:sz w:val="20"/>
                <w:szCs w:val="20"/>
              </w:rPr>
            </w:pPr>
            <w:r w:rsidRPr="008F4A33">
              <w:t>0.355</w:t>
            </w:r>
          </w:p>
        </w:tc>
        <w:tc>
          <w:tcPr>
            <w:tcW w:w="964" w:type="dxa"/>
            <w:tcBorders>
              <w:top w:val="single" w:sz="4" w:space="0" w:color="000000"/>
            </w:tcBorders>
            <w:vAlign w:val="center"/>
          </w:tcPr>
          <w:p w14:paraId="341EB2EC" w14:textId="125BE2BA" w:rsidR="003F736A" w:rsidRPr="005031CB" w:rsidRDefault="003F736A" w:rsidP="000C35EE">
            <w:pPr>
              <w:spacing w:before="60" w:after="60"/>
              <w:jc w:val="center"/>
              <w:rPr>
                <w:sz w:val="20"/>
                <w:szCs w:val="20"/>
              </w:rPr>
            </w:pPr>
            <w:r w:rsidRPr="004A6F9A">
              <w:t>2.0%</w:t>
            </w:r>
          </w:p>
        </w:tc>
        <w:tc>
          <w:tcPr>
            <w:tcW w:w="964" w:type="dxa"/>
            <w:tcBorders>
              <w:top w:val="single" w:sz="4" w:space="0" w:color="000000"/>
            </w:tcBorders>
            <w:vAlign w:val="center"/>
          </w:tcPr>
          <w:p w14:paraId="18C2C601" w14:textId="6A15A9F9" w:rsidR="003F736A" w:rsidRPr="005031CB" w:rsidRDefault="003F736A" w:rsidP="000C35EE">
            <w:pPr>
              <w:spacing w:before="60" w:after="60"/>
              <w:jc w:val="center"/>
              <w:rPr>
                <w:sz w:val="20"/>
                <w:szCs w:val="20"/>
              </w:rPr>
            </w:pPr>
            <w:r w:rsidRPr="004A6F9A">
              <w:t>1.0%</w:t>
            </w:r>
          </w:p>
        </w:tc>
        <w:tc>
          <w:tcPr>
            <w:tcW w:w="964" w:type="dxa"/>
            <w:tcBorders>
              <w:top w:val="single" w:sz="4" w:space="0" w:color="000000"/>
            </w:tcBorders>
            <w:vAlign w:val="center"/>
          </w:tcPr>
          <w:p w14:paraId="0332C5AC" w14:textId="5C269C55" w:rsidR="003F736A" w:rsidRPr="005031CB" w:rsidRDefault="003F736A" w:rsidP="000C35EE">
            <w:pPr>
              <w:spacing w:before="60" w:after="60"/>
              <w:jc w:val="center"/>
              <w:rPr>
                <w:sz w:val="20"/>
                <w:szCs w:val="20"/>
              </w:rPr>
            </w:pPr>
            <w:r w:rsidRPr="004A6F9A">
              <w:t>14</w:t>
            </w:r>
          </w:p>
        </w:tc>
        <w:tc>
          <w:tcPr>
            <w:tcW w:w="964" w:type="dxa"/>
            <w:tcBorders>
              <w:top w:val="single" w:sz="4" w:space="0" w:color="000000"/>
            </w:tcBorders>
            <w:vAlign w:val="center"/>
          </w:tcPr>
          <w:p w14:paraId="4DD5F887" w14:textId="3A94084C" w:rsidR="003F736A" w:rsidRPr="005031CB" w:rsidRDefault="003F736A" w:rsidP="000C35EE">
            <w:pPr>
              <w:spacing w:before="60" w:after="60"/>
              <w:jc w:val="center"/>
              <w:rPr>
                <w:sz w:val="20"/>
                <w:szCs w:val="20"/>
              </w:rPr>
            </w:pPr>
            <w:r w:rsidRPr="009B79A4">
              <w:t>80%</w:t>
            </w:r>
          </w:p>
        </w:tc>
      </w:tr>
      <w:tr w:rsidR="003F736A" w:rsidRPr="005031CB" w14:paraId="302C539F" w14:textId="77777777" w:rsidTr="009A68DD">
        <w:trPr>
          <w:trHeight w:val="456"/>
        </w:trPr>
        <w:tc>
          <w:tcPr>
            <w:tcW w:w="1276" w:type="dxa"/>
            <w:tcBorders>
              <w:top w:val="single" w:sz="4" w:space="0" w:color="000000"/>
            </w:tcBorders>
            <w:vAlign w:val="center"/>
          </w:tcPr>
          <w:p w14:paraId="0229DC9A" w14:textId="1AFE341E" w:rsidR="003F736A" w:rsidRPr="005031CB" w:rsidRDefault="003F736A" w:rsidP="000C35EE">
            <w:pPr>
              <w:spacing w:before="60" w:after="60"/>
              <w:ind w:left="34"/>
              <w:jc w:val="left"/>
              <w:rPr>
                <w:sz w:val="20"/>
                <w:szCs w:val="20"/>
              </w:rPr>
            </w:pPr>
            <w:r w:rsidRPr="005031CB">
              <w:rPr>
                <w:sz w:val="20"/>
                <w:szCs w:val="20"/>
              </w:rPr>
              <w:t>RCFC2-1</w:t>
            </w:r>
          </w:p>
        </w:tc>
        <w:tc>
          <w:tcPr>
            <w:tcW w:w="3544" w:type="dxa"/>
            <w:tcBorders>
              <w:top w:val="single" w:sz="4" w:space="0" w:color="000000"/>
            </w:tcBorders>
            <w:vAlign w:val="center"/>
          </w:tcPr>
          <w:p w14:paraId="1B00B512" w14:textId="252232EC" w:rsidR="003F736A" w:rsidRPr="005031CB" w:rsidRDefault="003F736A" w:rsidP="000D4B44">
            <w:pPr>
              <w:spacing w:before="60" w:after="60"/>
              <w:jc w:val="left"/>
              <w:rPr>
                <w:sz w:val="20"/>
                <w:szCs w:val="20"/>
              </w:rPr>
            </w:pPr>
            <w:r w:rsidRPr="005031CB">
              <w:rPr>
                <w:sz w:val="20"/>
                <w:szCs w:val="20"/>
              </w:rPr>
              <w:t>Mobile refrigeration: road: trailer - inter-modal</w:t>
            </w:r>
          </w:p>
        </w:tc>
        <w:tc>
          <w:tcPr>
            <w:tcW w:w="964" w:type="dxa"/>
            <w:tcBorders>
              <w:top w:val="single" w:sz="4" w:space="0" w:color="000000"/>
            </w:tcBorders>
            <w:vAlign w:val="center"/>
          </w:tcPr>
          <w:p w14:paraId="052F4511" w14:textId="30064255" w:rsidR="003F736A" w:rsidRPr="005031CB" w:rsidRDefault="003F736A" w:rsidP="000C35EE">
            <w:pPr>
              <w:spacing w:before="60" w:after="60"/>
              <w:jc w:val="center"/>
              <w:rPr>
                <w:sz w:val="20"/>
                <w:szCs w:val="20"/>
              </w:rPr>
            </w:pPr>
            <w:r w:rsidRPr="008F4A33">
              <w:t>10.0</w:t>
            </w:r>
          </w:p>
        </w:tc>
        <w:tc>
          <w:tcPr>
            <w:tcW w:w="964" w:type="dxa"/>
            <w:tcBorders>
              <w:top w:val="single" w:sz="4" w:space="0" w:color="000000"/>
            </w:tcBorders>
            <w:vAlign w:val="center"/>
          </w:tcPr>
          <w:p w14:paraId="01795946" w14:textId="504851C7" w:rsidR="003F736A" w:rsidRPr="005031CB" w:rsidRDefault="003F736A" w:rsidP="000C35EE">
            <w:pPr>
              <w:spacing w:before="60" w:after="60"/>
              <w:jc w:val="center"/>
              <w:rPr>
                <w:sz w:val="20"/>
                <w:szCs w:val="20"/>
              </w:rPr>
            </w:pPr>
            <w:r w:rsidRPr="004A6F9A">
              <w:t>25.0%</w:t>
            </w:r>
          </w:p>
        </w:tc>
        <w:tc>
          <w:tcPr>
            <w:tcW w:w="964" w:type="dxa"/>
            <w:tcBorders>
              <w:top w:val="single" w:sz="4" w:space="0" w:color="000000"/>
            </w:tcBorders>
            <w:vAlign w:val="center"/>
          </w:tcPr>
          <w:p w14:paraId="27627978" w14:textId="01762486"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14:paraId="07DABC6D" w14:textId="2C63EB5E" w:rsidR="003F736A" w:rsidRPr="005031CB" w:rsidRDefault="003F736A" w:rsidP="000C35EE">
            <w:pPr>
              <w:spacing w:before="60" w:after="60"/>
              <w:jc w:val="center"/>
              <w:rPr>
                <w:sz w:val="20"/>
                <w:szCs w:val="20"/>
              </w:rPr>
            </w:pPr>
            <w:r w:rsidRPr="004A6F9A">
              <w:t>10</w:t>
            </w:r>
          </w:p>
        </w:tc>
        <w:tc>
          <w:tcPr>
            <w:tcW w:w="964" w:type="dxa"/>
            <w:tcBorders>
              <w:top w:val="single" w:sz="4" w:space="0" w:color="000000"/>
            </w:tcBorders>
            <w:vAlign w:val="center"/>
          </w:tcPr>
          <w:p w14:paraId="6D7B59AE" w14:textId="5C0F2C57" w:rsidR="003F736A" w:rsidRPr="005031CB" w:rsidRDefault="003F736A" w:rsidP="000C35EE">
            <w:pPr>
              <w:spacing w:before="60" w:after="60"/>
              <w:jc w:val="center"/>
              <w:rPr>
                <w:sz w:val="20"/>
                <w:szCs w:val="20"/>
              </w:rPr>
            </w:pPr>
            <w:r w:rsidRPr="009B79A4">
              <w:t>70%</w:t>
            </w:r>
          </w:p>
        </w:tc>
      </w:tr>
      <w:tr w:rsidR="003F736A" w:rsidRPr="005031CB" w14:paraId="51C65C65" w14:textId="77777777" w:rsidTr="009A68DD">
        <w:trPr>
          <w:trHeight w:val="456"/>
        </w:trPr>
        <w:tc>
          <w:tcPr>
            <w:tcW w:w="1276" w:type="dxa"/>
            <w:tcBorders>
              <w:top w:val="single" w:sz="4" w:space="0" w:color="000000"/>
            </w:tcBorders>
            <w:vAlign w:val="center"/>
          </w:tcPr>
          <w:p w14:paraId="2F90D01B" w14:textId="2C086146" w:rsidR="003F736A" w:rsidRPr="005031CB" w:rsidRDefault="003F736A" w:rsidP="000C35EE">
            <w:pPr>
              <w:spacing w:before="60" w:after="60"/>
              <w:ind w:left="34"/>
              <w:jc w:val="left"/>
              <w:rPr>
                <w:sz w:val="20"/>
                <w:szCs w:val="20"/>
              </w:rPr>
            </w:pPr>
            <w:r w:rsidRPr="005031CB">
              <w:rPr>
                <w:sz w:val="20"/>
                <w:szCs w:val="20"/>
              </w:rPr>
              <w:t>RCFC2-2</w:t>
            </w:r>
          </w:p>
        </w:tc>
        <w:tc>
          <w:tcPr>
            <w:tcW w:w="3544" w:type="dxa"/>
            <w:tcBorders>
              <w:top w:val="single" w:sz="4" w:space="0" w:color="000000"/>
            </w:tcBorders>
            <w:vAlign w:val="center"/>
          </w:tcPr>
          <w:p w14:paraId="618C7160" w14:textId="58889697" w:rsidR="003F736A" w:rsidRPr="005031CB" w:rsidRDefault="003F736A" w:rsidP="000D4B44">
            <w:pPr>
              <w:spacing w:before="60" w:after="60"/>
              <w:jc w:val="left"/>
              <w:rPr>
                <w:sz w:val="20"/>
                <w:szCs w:val="20"/>
              </w:rPr>
            </w:pPr>
            <w:r w:rsidRPr="005031CB">
              <w:rPr>
                <w:sz w:val="20"/>
                <w:szCs w:val="20"/>
              </w:rPr>
              <w:t>Mobile refrigeration: road: diesel drive</w:t>
            </w:r>
          </w:p>
        </w:tc>
        <w:tc>
          <w:tcPr>
            <w:tcW w:w="964" w:type="dxa"/>
            <w:tcBorders>
              <w:top w:val="single" w:sz="4" w:space="0" w:color="000000"/>
            </w:tcBorders>
            <w:vAlign w:val="center"/>
          </w:tcPr>
          <w:p w14:paraId="63E65A59" w14:textId="7B2B8B05" w:rsidR="003F736A" w:rsidRPr="005031CB" w:rsidRDefault="003F736A" w:rsidP="000C35EE">
            <w:pPr>
              <w:spacing w:before="60" w:after="60"/>
              <w:jc w:val="center"/>
              <w:rPr>
                <w:sz w:val="20"/>
                <w:szCs w:val="20"/>
              </w:rPr>
            </w:pPr>
            <w:r w:rsidRPr="008F4A33">
              <w:t>7.0</w:t>
            </w:r>
          </w:p>
        </w:tc>
        <w:tc>
          <w:tcPr>
            <w:tcW w:w="964" w:type="dxa"/>
            <w:tcBorders>
              <w:top w:val="single" w:sz="4" w:space="0" w:color="000000"/>
            </w:tcBorders>
            <w:vAlign w:val="center"/>
          </w:tcPr>
          <w:p w14:paraId="1724E672" w14:textId="104941F4" w:rsidR="003F736A" w:rsidRPr="005031CB" w:rsidRDefault="003F736A" w:rsidP="000C35EE">
            <w:pPr>
              <w:spacing w:before="60" w:after="60"/>
              <w:jc w:val="center"/>
              <w:rPr>
                <w:sz w:val="20"/>
                <w:szCs w:val="20"/>
              </w:rPr>
            </w:pPr>
            <w:r w:rsidRPr="004A6F9A">
              <w:t>25.0%</w:t>
            </w:r>
          </w:p>
        </w:tc>
        <w:tc>
          <w:tcPr>
            <w:tcW w:w="964" w:type="dxa"/>
            <w:tcBorders>
              <w:top w:val="single" w:sz="4" w:space="0" w:color="000000"/>
            </w:tcBorders>
            <w:vAlign w:val="center"/>
          </w:tcPr>
          <w:p w14:paraId="7DA95C48" w14:textId="6573F396"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14:paraId="65463130" w14:textId="2C549DB1" w:rsidR="003F736A" w:rsidRPr="005031CB" w:rsidRDefault="003F736A" w:rsidP="000C35EE">
            <w:pPr>
              <w:spacing w:before="60" w:after="60"/>
              <w:jc w:val="center"/>
              <w:rPr>
                <w:sz w:val="20"/>
                <w:szCs w:val="20"/>
              </w:rPr>
            </w:pPr>
            <w:r w:rsidRPr="004A6F9A">
              <w:t>10</w:t>
            </w:r>
          </w:p>
        </w:tc>
        <w:tc>
          <w:tcPr>
            <w:tcW w:w="964" w:type="dxa"/>
            <w:tcBorders>
              <w:top w:val="single" w:sz="4" w:space="0" w:color="000000"/>
            </w:tcBorders>
            <w:vAlign w:val="center"/>
          </w:tcPr>
          <w:p w14:paraId="50D9E22B" w14:textId="4D24F28D" w:rsidR="003F736A" w:rsidRPr="005031CB" w:rsidRDefault="003F736A" w:rsidP="000C35EE">
            <w:pPr>
              <w:spacing w:before="60" w:after="60"/>
              <w:jc w:val="center"/>
              <w:rPr>
                <w:sz w:val="20"/>
                <w:szCs w:val="20"/>
              </w:rPr>
            </w:pPr>
            <w:r w:rsidRPr="009B79A4">
              <w:t>70%</w:t>
            </w:r>
          </w:p>
        </w:tc>
      </w:tr>
      <w:tr w:rsidR="003F736A" w:rsidRPr="005031CB" w14:paraId="4D89862C" w14:textId="77777777" w:rsidTr="009A68DD">
        <w:trPr>
          <w:trHeight w:val="456"/>
        </w:trPr>
        <w:tc>
          <w:tcPr>
            <w:tcW w:w="1276" w:type="dxa"/>
            <w:tcBorders>
              <w:top w:val="single" w:sz="4" w:space="0" w:color="000000"/>
            </w:tcBorders>
            <w:vAlign w:val="center"/>
          </w:tcPr>
          <w:p w14:paraId="41D36130" w14:textId="0B0608BC" w:rsidR="003F736A" w:rsidRPr="005031CB" w:rsidRDefault="003F736A" w:rsidP="000C35EE">
            <w:pPr>
              <w:spacing w:before="60" w:after="60"/>
              <w:ind w:left="34"/>
              <w:jc w:val="left"/>
              <w:rPr>
                <w:sz w:val="20"/>
                <w:szCs w:val="20"/>
              </w:rPr>
            </w:pPr>
            <w:r w:rsidRPr="005031CB">
              <w:rPr>
                <w:sz w:val="20"/>
                <w:szCs w:val="20"/>
              </w:rPr>
              <w:t>RCFC2-3</w:t>
            </w:r>
          </w:p>
        </w:tc>
        <w:tc>
          <w:tcPr>
            <w:tcW w:w="3544" w:type="dxa"/>
            <w:tcBorders>
              <w:top w:val="single" w:sz="4" w:space="0" w:color="000000"/>
            </w:tcBorders>
            <w:vAlign w:val="center"/>
          </w:tcPr>
          <w:p w14:paraId="654447C0" w14:textId="0189BAAA" w:rsidR="003F736A" w:rsidRPr="005031CB" w:rsidRDefault="003F736A" w:rsidP="000D4B44">
            <w:pPr>
              <w:spacing w:before="60" w:after="60"/>
              <w:jc w:val="left"/>
              <w:rPr>
                <w:sz w:val="20"/>
                <w:szCs w:val="20"/>
              </w:rPr>
            </w:pPr>
            <w:r w:rsidRPr="005031CB">
              <w:rPr>
                <w:sz w:val="20"/>
                <w:szCs w:val="20"/>
              </w:rPr>
              <w:t>Mobile refrigeration: road: off engine</w:t>
            </w:r>
          </w:p>
        </w:tc>
        <w:tc>
          <w:tcPr>
            <w:tcW w:w="964" w:type="dxa"/>
            <w:tcBorders>
              <w:top w:val="single" w:sz="4" w:space="0" w:color="000000"/>
            </w:tcBorders>
            <w:vAlign w:val="center"/>
          </w:tcPr>
          <w:p w14:paraId="07817E60" w14:textId="50813E58" w:rsidR="003F736A" w:rsidRPr="005031CB" w:rsidRDefault="003F736A" w:rsidP="000C35EE">
            <w:pPr>
              <w:spacing w:before="60" w:after="60"/>
              <w:jc w:val="center"/>
              <w:rPr>
                <w:sz w:val="20"/>
                <w:szCs w:val="20"/>
              </w:rPr>
            </w:pPr>
            <w:r w:rsidRPr="008F4A33">
              <w:t>4.0</w:t>
            </w:r>
          </w:p>
        </w:tc>
        <w:tc>
          <w:tcPr>
            <w:tcW w:w="964" w:type="dxa"/>
            <w:tcBorders>
              <w:top w:val="single" w:sz="4" w:space="0" w:color="000000"/>
            </w:tcBorders>
            <w:vAlign w:val="center"/>
          </w:tcPr>
          <w:p w14:paraId="0DD9D263" w14:textId="45326984" w:rsidR="003F736A" w:rsidRPr="005031CB" w:rsidRDefault="003F736A" w:rsidP="000C35EE">
            <w:pPr>
              <w:spacing w:before="60" w:after="60"/>
              <w:jc w:val="center"/>
              <w:rPr>
                <w:sz w:val="20"/>
                <w:szCs w:val="20"/>
              </w:rPr>
            </w:pPr>
            <w:r w:rsidRPr="004A6F9A">
              <w:t>25.0%</w:t>
            </w:r>
          </w:p>
        </w:tc>
        <w:tc>
          <w:tcPr>
            <w:tcW w:w="964" w:type="dxa"/>
            <w:tcBorders>
              <w:top w:val="single" w:sz="4" w:space="0" w:color="000000"/>
            </w:tcBorders>
            <w:vAlign w:val="center"/>
          </w:tcPr>
          <w:p w14:paraId="7868EB90" w14:textId="3A06BB1B"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14:paraId="6C21FE14" w14:textId="2F44BF98" w:rsidR="003F736A" w:rsidRPr="005031CB" w:rsidRDefault="003F736A" w:rsidP="000C35EE">
            <w:pPr>
              <w:spacing w:before="60" w:after="60"/>
              <w:jc w:val="center"/>
              <w:rPr>
                <w:sz w:val="20"/>
                <w:szCs w:val="20"/>
              </w:rPr>
            </w:pPr>
            <w:r w:rsidRPr="004A6F9A">
              <w:t>10</w:t>
            </w:r>
          </w:p>
        </w:tc>
        <w:tc>
          <w:tcPr>
            <w:tcW w:w="964" w:type="dxa"/>
            <w:tcBorders>
              <w:top w:val="single" w:sz="4" w:space="0" w:color="000000"/>
            </w:tcBorders>
            <w:vAlign w:val="center"/>
          </w:tcPr>
          <w:p w14:paraId="6F1D2E63" w14:textId="1D79E91C" w:rsidR="003F736A" w:rsidRPr="005031CB" w:rsidRDefault="003F736A" w:rsidP="000C35EE">
            <w:pPr>
              <w:spacing w:before="60" w:after="60"/>
              <w:jc w:val="center"/>
              <w:rPr>
                <w:sz w:val="20"/>
                <w:szCs w:val="20"/>
              </w:rPr>
            </w:pPr>
            <w:r w:rsidRPr="009B79A4">
              <w:t>70%</w:t>
            </w:r>
          </w:p>
        </w:tc>
      </w:tr>
      <w:tr w:rsidR="003F736A" w:rsidRPr="005031CB" w14:paraId="5DCB1090" w14:textId="77777777" w:rsidTr="009A68DD">
        <w:trPr>
          <w:trHeight w:val="456"/>
        </w:trPr>
        <w:tc>
          <w:tcPr>
            <w:tcW w:w="1276" w:type="dxa"/>
            <w:tcBorders>
              <w:top w:val="single" w:sz="4" w:space="0" w:color="000000"/>
            </w:tcBorders>
            <w:vAlign w:val="center"/>
          </w:tcPr>
          <w:p w14:paraId="2FED29B7" w14:textId="1BCABF3C" w:rsidR="003F736A" w:rsidRPr="005031CB" w:rsidRDefault="003F736A" w:rsidP="000C35EE">
            <w:pPr>
              <w:spacing w:before="60" w:after="60"/>
              <w:ind w:left="34"/>
              <w:jc w:val="left"/>
              <w:rPr>
                <w:sz w:val="20"/>
                <w:szCs w:val="20"/>
              </w:rPr>
            </w:pPr>
            <w:r w:rsidRPr="005031CB">
              <w:rPr>
                <w:sz w:val="20"/>
                <w:szCs w:val="20"/>
              </w:rPr>
              <w:t>RCFC2-4</w:t>
            </w:r>
          </w:p>
        </w:tc>
        <w:tc>
          <w:tcPr>
            <w:tcW w:w="3544" w:type="dxa"/>
            <w:tcBorders>
              <w:top w:val="single" w:sz="4" w:space="0" w:color="000000"/>
            </w:tcBorders>
            <w:vAlign w:val="center"/>
          </w:tcPr>
          <w:p w14:paraId="38662241" w14:textId="4C173278" w:rsidR="003F736A" w:rsidRPr="005031CB" w:rsidRDefault="003F736A" w:rsidP="000D4B44">
            <w:pPr>
              <w:spacing w:before="60" w:after="60"/>
              <w:jc w:val="left"/>
              <w:rPr>
                <w:sz w:val="20"/>
                <w:szCs w:val="20"/>
              </w:rPr>
            </w:pPr>
            <w:r w:rsidRPr="005031CB">
              <w:rPr>
                <w:sz w:val="20"/>
                <w:szCs w:val="20"/>
              </w:rPr>
              <w:t>Mobile refrigeration: marine</w:t>
            </w:r>
          </w:p>
        </w:tc>
        <w:tc>
          <w:tcPr>
            <w:tcW w:w="964" w:type="dxa"/>
            <w:tcBorders>
              <w:top w:val="single" w:sz="4" w:space="0" w:color="000000"/>
            </w:tcBorders>
            <w:vAlign w:val="center"/>
          </w:tcPr>
          <w:p w14:paraId="413CEA1C" w14:textId="094195CE" w:rsidR="003F736A" w:rsidRPr="005031CB" w:rsidRDefault="003F736A" w:rsidP="000C35EE">
            <w:pPr>
              <w:spacing w:before="60" w:after="60"/>
              <w:jc w:val="center"/>
              <w:rPr>
                <w:sz w:val="20"/>
                <w:szCs w:val="20"/>
              </w:rPr>
            </w:pPr>
            <w:r w:rsidRPr="008F4A33">
              <w:t>130.0</w:t>
            </w:r>
          </w:p>
        </w:tc>
        <w:tc>
          <w:tcPr>
            <w:tcW w:w="964" w:type="dxa"/>
            <w:tcBorders>
              <w:top w:val="single" w:sz="4" w:space="0" w:color="000000"/>
            </w:tcBorders>
            <w:vAlign w:val="center"/>
          </w:tcPr>
          <w:p w14:paraId="58EE0D7C" w14:textId="7B76FA50" w:rsidR="003F736A" w:rsidRPr="005031CB" w:rsidRDefault="003F736A" w:rsidP="000C35EE">
            <w:pPr>
              <w:spacing w:before="60" w:after="60"/>
              <w:jc w:val="center"/>
              <w:rPr>
                <w:sz w:val="20"/>
                <w:szCs w:val="20"/>
              </w:rPr>
            </w:pPr>
            <w:r w:rsidRPr="004A6F9A">
              <w:t>35.0%</w:t>
            </w:r>
          </w:p>
        </w:tc>
        <w:tc>
          <w:tcPr>
            <w:tcW w:w="964" w:type="dxa"/>
            <w:tcBorders>
              <w:top w:val="single" w:sz="4" w:space="0" w:color="000000"/>
            </w:tcBorders>
            <w:vAlign w:val="center"/>
          </w:tcPr>
          <w:p w14:paraId="3F883BAB" w14:textId="1E6DD5F0" w:rsidR="003F736A" w:rsidRPr="005031CB" w:rsidRDefault="003F736A" w:rsidP="000C35EE">
            <w:pPr>
              <w:spacing w:before="60" w:after="60"/>
              <w:jc w:val="center"/>
              <w:rPr>
                <w:sz w:val="20"/>
                <w:szCs w:val="20"/>
              </w:rPr>
            </w:pPr>
            <w:r w:rsidRPr="004A6F9A">
              <w:t>25.0%</w:t>
            </w:r>
          </w:p>
        </w:tc>
        <w:tc>
          <w:tcPr>
            <w:tcW w:w="964" w:type="dxa"/>
            <w:tcBorders>
              <w:top w:val="single" w:sz="4" w:space="0" w:color="000000"/>
            </w:tcBorders>
            <w:vAlign w:val="center"/>
          </w:tcPr>
          <w:p w14:paraId="6865DEFE" w14:textId="76B509DD" w:rsidR="003F736A" w:rsidRPr="005031CB" w:rsidRDefault="003F736A" w:rsidP="000C35EE">
            <w:pPr>
              <w:spacing w:before="60" w:after="60"/>
              <w:jc w:val="center"/>
              <w:rPr>
                <w:sz w:val="20"/>
                <w:szCs w:val="20"/>
              </w:rPr>
            </w:pPr>
            <w:r w:rsidRPr="004A6F9A">
              <w:t>25</w:t>
            </w:r>
          </w:p>
        </w:tc>
        <w:tc>
          <w:tcPr>
            <w:tcW w:w="964" w:type="dxa"/>
            <w:tcBorders>
              <w:top w:val="single" w:sz="4" w:space="0" w:color="000000"/>
            </w:tcBorders>
            <w:vAlign w:val="center"/>
          </w:tcPr>
          <w:p w14:paraId="2728A83E" w14:textId="68F0A180" w:rsidR="003F736A" w:rsidRPr="005031CB" w:rsidRDefault="003F736A" w:rsidP="000C35EE">
            <w:pPr>
              <w:spacing w:before="60" w:after="60"/>
              <w:jc w:val="center"/>
              <w:rPr>
                <w:sz w:val="20"/>
                <w:szCs w:val="20"/>
              </w:rPr>
            </w:pPr>
            <w:r w:rsidRPr="009B79A4">
              <w:t>70%</w:t>
            </w:r>
          </w:p>
        </w:tc>
      </w:tr>
      <w:tr w:rsidR="003F736A" w:rsidRPr="005031CB" w14:paraId="0B1619EF" w14:textId="77777777" w:rsidTr="009A68DD">
        <w:trPr>
          <w:trHeight w:val="456"/>
        </w:trPr>
        <w:tc>
          <w:tcPr>
            <w:tcW w:w="1276" w:type="dxa"/>
            <w:tcBorders>
              <w:top w:val="single" w:sz="4" w:space="0" w:color="000000"/>
            </w:tcBorders>
            <w:vAlign w:val="center"/>
          </w:tcPr>
          <w:p w14:paraId="415DB8A5" w14:textId="30F80A7C" w:rsidR="003F736A" w:rsidRPr="005031CB" w:rsidRDefault="003F736A" w:rsidP="000C35EE">
            <w:pPr>
              <w:spacing w:before="60" w:after="60"/>
              <w:ind w:left="34"/>
              <w:jc w:val="left"/>
              <w:rPr>
                <w:sz w:val="20"/>
                <w:szCs w:val="20"/>
              </w:rPr>
            </w:pPr>
            <w:r w:rsidRPr="005031CB">
              <w:rPr>
                <w:sz w:val="20"/>
                <w:szCs w:val="20"/>
              </w:rPr>
              <w:t>RCFC3-1</w:t>
            </w:r>
          </w:p>
        </w:tc>
        <w:tc>
          <w:tcPr>
            <w:tcW w:w="3544" w:type="dxa"/>
            <w:tcBorders>
              <w:top w:val="single" w:sz="4" w:space="0" w:color="000000"/>
            </w:tcBorders>
            <w:vAlign w:val="center"/>
          </w:tcPr>
          <w:p w14:paraId="43815CDF" w14:textId="36B713F5" w:rsidR="003F736A" w:rsidRPr="005031CB" w:rsidRDefault="003F736A" w:rsidP="000D4B44">
            <w:pPr>
              <w:spacing w:before="60" w:after="60"/>
              <w:jc w:val="left"/>
              <w:rPr>
                <w:sz w:val="20"/>
                <w:szCs w:val="20"/>
              </w:rPr>
            </w:pPr>
            <w:r w:rsidRPr="005031CB">
              <w:rPr>
                <w:sz w:val="20"/>
                <w:szCs w:val="20"/>
              </w:rPr>
              <w:t>Supermarket refrigeration: small</w:t>
            </w:r>
          </w:p>
        </w:tc>
        <w:tc>
          <w:tcPr>
            <w:tcW w:w="964" w:type="dxa"/>
            <w:tcBorders>
              <w:top w:val="single" w:sz="4" w:space="0" w:color="000000"/>
            </w:tcBorders>
            <w:vAlign w:val="center"/>
          </w:tcPr>
          <w:p w14:paraId="54D4A310" w14:textId="341CBF87" w:rsidR="003F736A" w:rsidRPr="005031CB" w:rsidRDefault="003F736A" w:rsidP="000C35EE">
            <w:pPr>
              <w:spacing w:before="60" w:after="60"/>
              <w:jc w:val="center"/>
              <w:rPr>
                <w:sz w:val="20"/>
                <w:szCs w:val="20"/>
              </w:rPr>
            </w:pPr>
            <w:r w:rsidRPr="008F4A33">
              <w:t>160.0</w:t>
            </w:r>
          </w:p>
        </w:tc>
        <w:tc>
          <w:tcPr>
            <w:tcW w:w="964" w:type="dxa"/>
            <w:tcBorders>
              <w:top w:val="single" w:sz="4" w:space="0" w:color="000000"/>
            </w:tcBorders>
            <w:vAlign w:val="center"/>
          </w:tcPr>
          <w:p w14:paraId="7C8084A9" w14:textId="1A484D89"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14:paraId="696E3E27" w14:textId="62D34A1F" w:rsidR="003F736A" w:rsidRPr="005031CB" w:rsidRDefault="003F736A" w:rsidP="000C35EE">
            <w:pPr>
              <w:spacing w:before="60" w:after="60"/>
              <w:jc w:val="center"/>
              <w:rPr>
                <w:sz w:val="20"/>
                <w:szCs w:val="20"/>
              </w:rPr>
            </w:pPr>
            <w:r w:rsidRPr="004A6F9A">
              <w:t>15.0%</w:t>
            </w:r>
          </w:p>
        </w:tc>
        <w:tc>
          <w:tcPr>
            <w:tcW w:w="964" w:type="dxa"/>
            <w:tcBorders>
              <w:top w:val="single" w:sz="4" w:space="0" w:color="000000"/>
            </w:tcBorders>
            <w:vAlign w:val="center"/>
          </w:tcPr>
          <w:p w14:paraId="45535AA0" w14:textId="5ECF80CB" w:rsidR="003F736A" w:rsidRPr="005031CB" w:rsidRDefault="003F736A" w:rsidP="000C35EE">
            <w:pPr>
              <w:spacing w:before="60" w:after="60"/>
              <w:jc w:val="center"/>
              <w:rPr>
                <w:sz w:val="20"/>
                <w:szCs w:val="20"/>
              </w:rPr>
            </w:pPr>
            <w:r w:rsidRPr="004A6F9A">
              <w:t>15</w:t>
            </w:r>
          </w:p>
        </w:tc>
        <w:tc>
          <w:tcPr>
            <w:tcW w:w="964" w:type="dxa"/>
            <w:tcBorders>
              <w:top w:val="single" w:sz="4" w:space="0" w:color="000000"/>
            </w:tcBorders>
            <w:vAlign w:val="center"/>
          </w:tcPr>
          <w:p w14:paraId="29C87AA7" w14:textId="72708C88" w:rsidR="003F736A" w:rsidRPr="005031CB" w:rsidRDefault="003F736A" w:rsidP="000C35EE">
            <w:pPr>
              <w:spacing w:before="60" w:after="60"/>
              <w:jc w:val="center"/>
              <w:rPr>
                <w:sz w:val="20"/>
                <w:szCs w:val="20"/>
              </w:rPr>
            </w:pPr>
            <w:r w:rsidRPr="009B79A4">
              <w:t>70%</w:t>
            </w:r>
          </w:p>
        </w:tc>
      </w:tr>
      <w:tr w:rsidR="003F736A" w:rsidRPr="005031CB" w14:paraId="3FEBEA4A" w14:textId="77777777" w:rsidTr="009A68DD">
        <w:trPr>
          <w:trHeight w:val="456"/>
        </w:trPr>
        <w:tc>
          <w:tcPr>
            <w:tcW w:w="1276" w:type="dxa"/>
            <w:tcBorders>
              <w:top w:val="single" w:sz="4" w:space="0" w:color="000000"/>
            </w:tcBorders>
            <w:vAlign w:val="center"/>
          </w:tcPr>
          <w:p w14:paraId="1F503C8D" w14:textId="288580D6" w:rsidR="003F736A" w:rsidRPr="005031CB" w:rsidRDefault="003F736A" w:rsidP="000C35EE">
            <w:pPr>
              <w:spacing w:before="60" w:after="60"/>
              <w:ind w:left="34"/>
              <w:jc w:val="left"/>
              <w:rPr>
                <w:sz w:val="20"/>
                <w:szCs w:val="20"/>
              </w:rPr>
            </w:pPr>
            <w:r w:rsidRPr="005031CB">
              <w:rPr>
                <w:sz w:val="20"/>
                <w:szCs w:val="20"/>
              </w:rPr>
              <w:t>RCFC3-2</w:t>
            </w:r>
          </w:p>
        </w:tc>
        <w:tc>
          <w:tcPr>
            <w:tcW w:w="3544" w:type="dxa"/>
            <w:tcBorders>
              <w:top w:val="single" w:sz="4" w:space="0" w:color="000000"/>
            </w:tcBorders>
            <w:vAlign w:val="center"/>
          </w:tcPr>
          <w:p w14:paraId="642FC004" w14:textId="24AC5BA0" w:rsidR="003F736A" w:rsidRPr="005031CB" w:rsidRDefault="003F736A" w:rsidP="000D4B44">
            <w:pPr>
              <w:spacing w:before="60" w:after="60"/>
              <w:jc w:val="left"/>
              <w:rPr>
                <w:sz w:val="20"/>
                <w:szCs w:val="20"/>
              </w:rPr>
            </w:pPr>
            <w:r w:rsidRPr="005031CB">
              <w:rPr>
                <w:sz w:val="20"/>
                <w:szCs w:val="20"/>
              </w:rPr>
              <w:t>Supermarket refrigeration: medium</w:t>
            </w:r>
          </w:p>
        </w:tc>
        <w:tc>
          <w:tcPr>
            <w:tcW w:w="964" w:type="dxa"/>
            <w:tcBorders>
              <w:top w:val="single" w:sz="4" w:space="0" w:color="000000"/>
            </w:tcBorders>
            <w:vAlign w:val="center"/>
          </w:tcPr>
          <w:p w14:paraId="16E64EA5" w14:textId="4DEC60A7" w:rsidR="003F736A" w:rsidRPr="005031CB" w:rsidRDefault="003F736A" w:rsidP="000C35EE">
            <w:pPr>
              <w:spacing w:before="60" w:after="60"/>
              <w:jc w:val="center"/>
              <w:rPr>
                <w:sz w:val="20"/>
                <w:szCs w:val="20"/>
              </w:rPr>
            </w:pPr>
            <w:r w:rsidRPr="008F4A33">
              <w:t>600.0</w:t>
            </w:r>
          </w:p>
        </w:tc>
        <w:tc>
          <w:tcPr>
            <w:tcW w:w="964" w:type="dxa"/>
            <w:tcBorders>
              <w:top w:val="single" w:sz="4" w:space="0" w:color="000000"/>
            </w:tcBorders>
            <w:vAlign w:val="center"/>
          </w:tcPr>
          <w:p w14:paraId="1C63C6B7" w14:textId="598CDD69" w:rsidR="003F736A" w:rsidRPr="005031CB" w:rsidRDefault="003F736A" w:rsidP="000C35EE">
            <w:pPr>
              <w:spacing w:before="60" w:after="60"/>
              <w:jc w:val="center"/>
              <w:rPr>
                <w:sz w:val="20"/>
                <w:szCs w:val="20"/>
              </w:rPr>
            </w:pPr>
            <w:r w:rsidRPr="004A6F9A">
              <w:t>15.0%</w:t>
            </w:r>
          </w:p>
        </w:tc>
        <w:tc>
          <w:tcPr>
            <w:tcW w:w="964" w:type="dxa"/>
            <w:tcBorders>
              <w:top w:val="single" w:sz="4" w:space="0" w:color="000000"/>
            </w:tcBorders>
            <w:vAlign w:val="center"/>
          </w:tcPr>
          <w:p w14:paraId="3ACB2BDA" w14:textId="0C16F40B" w:rsidR="003F736A" w:rsidRPr="005031CB" w:rsidRDefault="003F736A" w:rsidP="000C35EE">
            <w:pPr>
              <w:spacing w:before="60" w:after="60"/>
              <w:jc w:val="center"/>
              <w:rPr>
                <w:sz w:val="20"/>
                <w:szCs w:val="20"/>
              </w:rPr>
            </w:pPr>
            <w:r w:rsidRPr="004A6F9A">
              <w:t>12.0%</w:t>
            </w:r>
          </w:p>
        </w:tc>
        <w:tc>
          <w:tcPr>
            <w:tcW w:w="964" w:type="dxa"/>
            <w:tcBorders>
              <w:top w:val="single" w:sz="4" w:space="0" w:color="000000"/>
            </w:tcBorders>
            <w:vAlign w:val="center"/>
          </w:tcPr>
          <w:p w14:paraId="1F5E2E14" w14:textId="679CF6E0" w:rsidR="003F736A" w:rsidRPr="005031CB" w:rsidRDefault="003F736A" w:rsidP="000C35EE">
            <w:pPr>
              <w:spacing w:before="60" w:after="60"/>
              <w:jc w:val="center"/>
              <w:rPr>
                <w:sz w:val="20"/>
                <w:szCs w:val="20"/>
              </w:rPr>
            </w:pPr>
            <w:r w:rsidRPr="004A6F9A">
              <w:t>12</w:t>
            </w:r>
          </w:p>
        </w:tc>
        <w:tc>
          <w:tcPr>
            <w:tcW w:w="964" w:type="dxa"/>
            <w:tcBorders>
              <w:top w:val="single" w:sz="4" w:space="0" w:color="000000"/>
            </w:tcBorders>
            <w:vAlign w:val="center"/>
          </w:tcPr>
          <w:p w14:paraId="7B1A6D9C" w14:textId="62CC1FDC" w:rsidR="003F736A" w:rsidRPr="005031CB" w:rsidRDefault="003F736A" w:rsidP="000C35EE">
            <w:pPr>
              <w:spacing w:before="60" w:after="60"/>
              <w:jc w:val="center"/>
              <w:rPr>
                <w:sz w:val="20"/>
                <w:szCs w:val="20"/>
              </w:rPr>
            </w:pPr>
            <w:r w:rsidRPr="009B79A4">
              <w:t>70%</w:t>
            </w:r>
          </w:p>
        </w:tc>
      </w:tr>
      <w:tr w:rsidR="003F736A" w:rsidRPr="005031CB" w14:paraId="23DA107E" w14:textId="77777777" w:rsidTr="009A68DD">
        <w:trPr>
          <w:trHeight w:val="456"/>
        </w:trPr>
        <w:tc>
          <w:tcPr>
            <w:tcW w:w="1276" w:type="dxa"/>
            <w:tcBorders>
              <w:top w:val="single" w:sz="4" w:space="0" w:color="000000"/>
            </w:tcBorders>
            <w:vAlign w:val="center"/>
          </w:tcPr>
          <w:p w14:paraId="30355F9C" w14:textId="0343C05A" w:rsidR="003F736A" w:rsidRPr="005031CB" w:rsidRDefault="003F736A" w:rsidP="000C35EE">
            <w:pPr>
              <w:spacing w:before="60" w:after="60"/>
              <w:ind w:left="34"/>
              <w:jc w:val="left"/>
              <w:rPr>
                <w:sz w:val="20"/>
                <w:szCs w:val="20"/>
              </w:rPr>
            </w:pPr>
            <w:r w:rsidRPr="005031CB">
              <w:rPr>
                <w:sz w:val="20"/>
                <w:szCs w:val="20"/>
              </w:rPr>
              <w:t>RCFC3-3</w:t>
            </w:r>
          </w:p>
        </w:tc>
        <w:tc>
          <w:tcPr>
            <w:tcW w:w="3544" w:type="dxa"/>
            <w:tcBorders>
              <w:top w:val="single" w:sz="4" w:space="0" w:color="000000"/>
            </w:tcBorders>
            <w:vAlign w:val="center"/>
          </w:tcPr>
          <w:p w14:paraId="0AA1A95C" w14:textId="5936EB26" w:rsidR="003F736A" w:rsidRPr="005031CB" w:rsidRDefault="003F736A" w:rsidP="000D4B44">
            <w:pPr>
              <w:spacing w:before="60" w:after="60"/>
              <w:jc w:val="left"/>
              <w:rPr>
                <w:sz w:val="20"/>
                <w:szCs w:val="20"/>
              </w:rPr>
            </w:pPr>
            <w:r w:rsidRPr="005031CB">
              <w:rPr>
                <w:sz w:val="20"/>
                <w:szCs w:val="20"/>
              </w:rPr>
              <w:t>Supermarket refrigeration: large</w:t>
            </w:r>
          </w:p>
        </w:tc>
        <w:tc>
          <w:tcPr>
            <w:tcW w:w="964" w:type="dxa"/>
            <w:tcBorders>
              <w:top w:val="single" w:sz="4" w:space="0" w:color="000000"/>
            </w:tcBorders>
            <w:vAlign w:val="center"/>
          </w:tcPr>
          <w:p w14:paraId="76EADF0C" w14:textId="0044D2DE" w:rsidR="003F736A" w:rsidRPr="005031CB" w:rsidRDefault="003F736A" w:rsidP="000C35EE">
            <w:pPr>
              <w:spacing w:before="60" w:after="60"/>
              <w:jc w:val="center"/>
              <w:rPr>
                <w:sz w:val="20"/>
                <w:szCs w:val="20"/>
              </w:rPr>
            </w:pPr>
            <w:r w:rsidRPr="008F4A33">
              <w:t>900.0</w:t>
            </w:r>
          </w:p>
        </w:tc>
        <w:tc>
          <w:tcPr>
            <w:tcW w:w="964" w:type="dxa"/>
            <w:tcBorders>
              <w:top w:val="single" w:sz="4" w:space="0" w:color="000000"/>
            </w:tcBorders>
            <w:vAlign w:val="center"/>
          </w:tcPr>
          <w:p w14:paraId="2B7BCB24" w14:textId="0BB7E803" w:rsidR="003F736A" w:rsidRPr="005031CB" w:rsidRDefault="003F736A" w:rsidP="000C35EE">
            <w:pPr>
              <w:spacing w:before="60" w:after="60"/>
              <w:jc w:val="center"/>
              <w:rPr>
                <w:sz w:val="20"/>
                <w:szCs w:val="20"/>
              </w:rPr>
            </w:pPr>
            <w:r w:rsidRPr="004A6F9A">
              <w:t>15.0%</w:t>
            </w:r>
          </w:p>
        </w:tc>
        <w:tc>
          <w:tcPr>
            <w:tcW w:w="964" w:type="dxa"/>
            <w:tcBorders>
              <w:top w:val="single" w:sz="4" w:space="0" w:color="000000"/>
            </w:tcBorders>
            <w:vAlign w:val="center"/>
          </w:tcPr>
          <w:p w14:paraId="472D009D" w14:textId="294C7F80" w:rsidR="003F736A" w:rsidRPr="005031CB" w:rsidRDefault="003F736A" w:rsidP="000C35EE">
            <w:pPr>
              <w:spacing w:before="60" w:after="60"/>
              <w:jc w:val="center"/>
              <w:rPr>
                <w:sz w:val="20"/>
                <w:szCs w:val="20"/>
              </w:rPr>
            </w:pPr>
            <w:r w:rsidRPr="004A6F9A">
              <w:t>12.0%</w:t>
            </w:r>
          </w:p>
        </w:tc>
        <w:tc>
          <w:tcPr>
            <w:tcW w:w="964" w:type="dxa"/>
            <w:tcBorders>
              <w:top w:val="single" w:sz="4" w:space="0" w:color="000000"/>
            </w:tcBorders>
            <w:vAlign w:val="center"/>
          </w:tcPr>
          <w:p w14:paraId="247D6D64" w14:textId="76C4251E" w:rsidR="003F736A" w:rsidRPr="005031CB" w:rsidRDefault="003F736A" w:rsidP="000C35EE">
            <w:pPr>
              <w:spacing w:before="60" w:after="60"/>
              <w:jc w:val="center"/>
              <w:rPr>
                <w:sz w:val="20"/>
                <w:szCs w:val="20"/>
              </w:rPr>
            </w:pPr>
            <w:r w:rsidRPr="004A6F9A">
              <w:t>12</w:t>
            </w:r>
          </w:p>
        </w:tc>
        <w:tc>
          <w:tcPr>
            <w:tcW w:w="964" w:type="dxa"/>
            <w:tcBorders>
              <w:top w:val="single" w:sz="4" w:space="0" w:color="000000"/>
            </w:tcBorders>
            <w:vAlign w:val="center"/>
          </w:tcPr>
          <w:p w14:paraId="7ADA4D72" w14:textId="4BEF2ED6" w:rsidR="003F736A" w:rsidRPr="005031CB" w:rsidRDefault="003F736A" w:rsidP="000C35EE">
            <w:pPr>
              <w:spacing w:before="60" w:after="60"/>
              <w:jc w:val="center"/>
              <w:rPr>
                <w:sz w:val="20"/>
                <w:szCs w:val="20"/>
              </w:rPr>
            </w:pPr>
            <w:r w:rsidRPr="009B79A4">
              <w:t>70%</w:t>
            </w:r>
          </w:p>
        </w:tc>
      </w:tr>
      <w:tr w:rsidR="003F736A" w:rsidRPr="005031CB" w14:paraId="64AEAE2A" w14:textId="77777777" w:rsidTr="009A68DD">
        <w:trPr>
          <w:trHeight w:val="456"/>
        </w:trPr>
        <w:tc>
          <w:tcPr>
            <w:tcW w:w="1276" w:type="dxa"/>
            <w:tcBorders>
              <w:top w:val="single" w:sz="4" w:space="0" w:color="000000"/>
            </w:tcBorders>
            <w:vAlign w:val="center"/>
          </w:tcPr>
          <w:p w14:paraId="4FAD2F3A" w14:textId="2AE80253" w:rsidR="003F736A" w:rsidRPr="005031CB" w:rsidRDefault="003F736A" w:rsidP="000C35EE">
            <w:pPr>
              <w:spacing w:before="60" w:after="60"/>
              <w:ind w:left="34"/>
              <w:jc w:val="left"/>
              <w:rPr>
                <w:sz w:val="20"/>
                <w:szCs w:val="20"/>
              </w:rPr>
            </w:pPr>
            <w:r w:rsidRPr="005031CB">
              <w:rPr>
                <w:sz w:val="20"/>
                <w:szCs w:val="20"/>
              </w:rPr>
              <w:t>RCFC4</w:t>
            </w:r>
          </w:p>
        </w:tc>
        <w:tc>
          <w:tcPr>
            <w:tcW w:w="3544" w:type="dxa"/>
            <w:tcBorders>
              <w:top w:val="single" w:sz="4" w:space="0" w:color="000000"/>
            </w:tcBorders>
            <w:vAlign w:val="center"/>
          </w:tcPr>
          <w:p w14:paraId="41F9B25D" w14:textId="21ADFBC0" w:rsidR="003F736A" w:rsidRPr="005031CB" w:rsidRDefault="003F736A" w:rsidP="000D4B44">
            <w:pPr>
              <w:spacing w:before="60" w:after="60"/>
              <w:jc w:val="left"/>
              <w:rPr>
                <w:sz w:val="20"/>
                <w:szCs w:val="20"/>
              </w:rPr>
            </w:pPr>
            <w:r w:rsidRPr="005031CB">
              <w:rPr>
                <w:sz w:val="20"/>
                <w:szCs w:val="20"/>
              </w:rPr>
              <w:t>Process and large kitchens</w:t>
            </w:r>
          </w:p>
        </w:tc>
        <w:tc>
          <w:tcPr>
            <w:tcW w:w="964" w:type="dxa"/>
            <w:tcBorders>
              <w:top w:val="single" w:sz="4" w:space="0" w:color="000000"/>
            </w:tcBorders>
            <w:vAlign w:val="center"/>
          </w:tcPr>
          <w:p w14:paraId="233C8203" w14:textId="6B5A4D36" w:rsidR="003F736A" w:rsidRPr="005031CB" w:rsidRDefault="003F736A" w:rsidP="000C35EE">
            <w:pPr>
              <w:spacing w:before="60" w:after="60"/>
              <w:jc w:val="center"/>
              <w:rPr>
                <w:sz w:val="20"/>
                <w:szCs w:val="20"/>
              </w:rPr>
            </w:pPr>
            <w:r w:rsidRPr="008F4A33">
              <w:t>160.0</w:t>
            </w:r>
          </w:p>
        </w:tc>
        <w:tc>
          <w:tcPr>
            <w:tcW w:w="964" w:type="dxa"/>
            <w:tcBorders>
              <w:top w:val="single" w:sz="4" w:space="0" w:color="000000"/>
            </w:tcBorders>
            <w:vAlign w:val="center"/>
          </w:tcPr>
          <w:p w14:paraId="635479F7" w14:textId="5DD0E503" w:rsidR="003F736A" w:rsidRPr="005031CB" w:rsidRDefault="003F736A" w:rsidP="000C35EE">
            <w:pPr>
              <w:spacing w:before="60" w:after="60"/>
              <w:jc w:val="center"/>
              <w:rPr>
                <w:sz w:val="20"/>
                <w:szCs w:val="20"/>
              </w:rPr>
            </w:pPr>
            <w:r w:rsidRPr="004A6F9A">
              <w:t>20.0%</w:t>
            </w:r>
          </w:p>
        </w:tc>
        <w:tc>
          <w:tcPr>
            <w:tcW w:w="964" w:type="dxa"/>
            <w:tcBorders>
              <w:top w:val="single" w:sz="4" w:space="0" w:color="000000"/>
            </w:tcBorders>
            <w:vAlign w:val="center"/>
          </w:tcPr>
          <w:p w14:paraId="3AD7E082" w14:textId="31EE7A55" w:rsidR="003F736A" w:rsidRPr="005031CB" w:rsidRDefault="003F736A" w:rsidP="000C35EE">
            <w:pPr>
              <w:spacing w:before="60" w:after="60"/>
              <w:jc w:val="center"/>
              <w:rPr>
                <w:sz w:val="20"/>
                <w:szCs w:val="20"/>
              </w:rPr>
            </w:pPr>
            <w:r w:rsidRPr="004A6F9A">
              <w:t>15.0%</w:t>
            </w:r>
          </w:p>
        </w:tc>
        <w:tc>
          <w:tcPr>
            <w:tcW w:w="964" w:type="dxa"/>
            <w:tcBorders>
              <w:top w:val="single" w:sz="4" w:space="0" w:color="000000"/>
            </w:tcBorders>
            <w:vAlign w:val="center"/>
          </w:tcPr>
          <w:p w14:paraId="06CCA4A9" w14:textId="24D7EB58" w:rsidR="003F736A" w:rsidRPr="005031CB" w:rsidRDefault="003F736A" w:rsidP="000C35EE">
            <w:pPr>
              <w:spacing w:before="60" w:after="60"/>
              <w:jc w:val="center"/>
              <w:rPr>
                <w:sz w:val="20"/>
                <w:szCs w:val="20"/>
              </w:rPr>
            </w:pPr>
            <w:r w:rsidRPr="004A6F9A">
              <w:t>15</w:t>
            </w:r>
          </w:p>
        </w:tc>
        <w:tc>
          <w:tcPr>
            <w:tcW w:w="964" w:type="dxa"/>
            <w:tcBorders>
              <w:top w:val="single" w:sz="4" w:space="0" w:color="000000"/>
            </w:tcBorders>
            <w:vAlign w:val="center"/>
          </w:tcPr>
          <w:p w14:paraId="73D59B2B" w14:textId="31E4A182" w:rsidR="003F736A" w:rsidRPr="005031CB" w:rsidRDefault="003F736A" w:rsidP="000C35EE">
            <w:pPr>
              <w:spacing w:before="60" w:after="60"/>
              <w:jc w:val="center"/>
              <w:rPr>
                <w:sz w:val="20"/>
                <w:szCs w:val="20"/>
              </w:rPr>
            </w:pPr>
            <w:r w:rsidRPr="009B79A4">
              <w:t>70%</w:t>
            </w:r>
          </w:p>
        </w:tc>
      </w:tr>
      <w:tr w:rsidR="003F736A" w:rsidRPr="005031CB" w14:paraId="73EE822F" w14:textId="77777777" w:rsidTr="009A68DD">
        <w:trPr>
          <w:trHeight w:val="456"/>
        </w:trPr>
        <w:tc>
          <w:tcPr>
            <w:tcW w:w="1276" w:type="dxa"/>
            <w:tcBorders>
              <w:top w:val="single" w:sz="4" w:space="0" w:color="000000"/>
            </w:tcBorders>
            <w:vAlign w:val="center"/>
          </w:tcPr>
          <w:p w14:paraId="44E07391" w14:textId="2A9FC72C" w:rsidR="003F736A" w:rsidRPr="005031CB" w:rsidRDefault="003F736A" w:rsidP="000C35EE">
            <w:pPr>
              <w:spacing w:before="60" w:after="60"/>
              <w:ind w:left="34"/>
              <w:jc w:val="left"/>
              <w:rPr>
                <w:sz w:val="20"/>
                <w:szCs w:val="20"/>
              </w:rPr>
            </w:pPr>
            <w:r w:rsidRPr="005031CB">
              <w:rPr>
                <w:sz w:val="20"/>
                <w:szCs w:val="20"/>
              </w:rPr>
              <w:t>RCFC5-1</w:t>
            </w:r>
          </w:p>
        </w:tc>
        <w:tc>
          <w:tcPr>
            <w:tcW w:w="3544" w:type="dxa"/>
            <w:tcBorders>
              <w:top w:val="single" w:sz="4" w:space="0" w:color="000000"/>
            </w:tcBorders>
            <w:vAlign w:val="center"/>
          </w:tcPr>
          <w:p w14:paraId="71BE5A77" w14:textId="4EA8B554" w:rsidR="003F736A" w:rsidRPr="005031CB" w:rsidRDefault="003F736A" w:rsidP="000D4B44">
            <w:pPr>
              <w:spacing w:before="60" w:after="60"/>
              <w:jc w:val="left"/>
              <w:rPr>
                <w:sz w:val="20"/>
                <w:szCs w:val="20"/>
              </w:rPr>
            </w:pPr>
            <w:r w:rsidRPr="005031CB">
              <w:rPr>
                <w:sz w:val="20"/>
                <w:szCs w:val="20"/>
              </w:rPr>
              <w:t>Cold storage and distribution</w:t>
            </w:r>
          </w:p>
        </w:tc>
        <w:tc>
          <w:tcPr>
            <w:tcW w:w="964" w:type="dxa"/>
            <w:tcBorders>
              <w:top w:val="single" w:sz="4" w:space="0" w:color="000000"/>
            </w:tcBorders>
            <w:vAlign w:val="center"/>
          </w:tcPr>
          <w:p w14:paraId="2EA16A70" w14:textId="0251042A" w:rsidR="003F736A" w:rsidRPr="005031CB" w:rsidRDefault="003F736A" w:rsidP="000C35EE">
            <w:pPr>
              <w:spacing w:before="60" w:after="60"/>
              <w:jc w:val="center"/>
              <w:rPr>
                <w:sz w:val="20"/>
                <w:szCs w:val="20"/>
              </w:rPr>
            </w:pPr>
            <w:r w:rsidRPr="008F4A33">
              <w:t>80.0</w:t>
            </w:r>
          </w:p>
        </w:tc>
        <w:tc>
          <w:tcPr>
            <w:tcW w:w="964" w:type="dxa"/>
            <w:tcBorders>
              <w:top w:val="single" w:sz="4" w:space="0" w:color="000000"/>
            </w:tcBorders>
            <w:vAlign w:val="center"/>
          </w:tcPr>
          <w:p w14:paraId="017D110D" w14:textId="0A6C47FE" w:rsidR="003F736A" w:rsidRPr="005031CB" w:rsidRDefault="003F736A" w:rsidP="000C35EE">
            <w:pPr>
              <w:spacing w:before="60" w:after="60"/>
              <w:jc w:val="center"/>
              <w:rPr>
                <w:sz w:val="20"/>
                <w:szCs w:val="20"/>
              </w:rPr>
            </w:pPr>
            <w:r w:rsidRPr="004A6F9A">
              <w:t>15.0%</w:t>
            </w:r>
          </w:p>
        </w:tc>
        <w:tc>
          <w:tcPr>
            <w:tcW w:w="964" w:type="dxa"/>
            <w:tcBorders>
              <w:top w:val="single" w:sz="4" w:space="0" w:color="000000"/>
            </w:tcBorders>
            <w:vAlign w:val="center"/>
          </w:tcPr>
          <w:p w14:paraId="3603C257" w14:textId="77129783" w:rsidR="003F736A" w:rsidRPr="005031CB" w:rsidRDefault="003F736A" w:rsidP="000C35EE">
            <w:pPr>
              <w:spacing w:before="60" w:after="60"/>
              <w:jc w:val="center"/>
              <w:rPr>
                <w:sz w:val="20"/>
                <w:szCs w:val="20"/>
              </w:rPr>
            </w:pPr>
            <w:r w:rsidRPr="004A6F9A">
              <w:t>15.0%</w:t>
            </w:r>
          </w:p>
        </w:tc>
        <w:tc>
          <w:tcPr>
            <w:tcW w:w="964" w:type="dxa"/>
            <w:tcBorders>
              <w:top w:val="single" w:sz="4" w:space="0" w:color="000000"/>
            </w:tcBorders>
            <w:vAlign w:val="center"/>
          </w:tcPr>
          <w:p w14:paraId="49435A4C" w14:textId="1F4B7E4B" w:rsidR="003F736A" w:rsidRPr="005031CB" w:rsidRDefault="003F736A" w:rsidP="000C35EE">
            <w:pPr>
              <w:spacing w:before="60" w:after="60"/>
              <w:jc w:val="center"/>
              <w:rPr>
                <w:sz w:val="20"/>
                <w:szCs w:val="20"/>
              </w:rPr>
            </w:pPr>
            <w:r w:rsidRPr="004A6F9A">
              <w:t>15</w:t>
            </w:r>
          </w:p>
        </w:tc>
        <w:tc>
          <w:tcPr>
            <w:tcW w:w="964" w:type="dxa"/>
            <w:tcBorders>
              <w:top w:val="single" w:sz="4" w:space="0" w:color="000000"/>
            </w:tcBorders>
            <w:vAlign w:val="center"/>
          </w:tcPr>
          <w:p w14:paraId="37EC00FC" w14:textId="2B14C2EF" w:rsidR="003F736A" w:rsidRPr="005031CB" w:rsidRDefault="003F736A" w:rsidP="000C35EE">
            <w:pPr>
              <w:spacing w:before="60" w:after="60"/>
              <w:jc w:val="center"/>
              <w:rPr>
                <w:sz w:val="20"/>
                <w:szCs w:val="20"/>
              </w:rPr>
            </w:pPr>
            <w:r w:rsidRPr="009B79A4">
              <w:t>70%</w:t>
            </w:r>
          </w:p>
        </w:tc>
      </w:tr>
      <w:tr w:rsidR="003F736A" w:rsidRPr="005031CB" w14:paraId="1FAF21B6" w14:textId="77777777" w:rsidTr="009A68DD">
        <w:trPr>
          <w:trHeight w:val="456"/>
        </w:trPr>
        <w:tc>
          <w:tcPr>
            <w:tcW w:w="1276" w:type="dxa"/>
            <w:tcBorders>
              <w:top w:val="single" w:sz="4" w:space="0" w:color="000000"/>
            </w:tcBorders>
            <w:vAlign w:val="center"/>
          </w:tcPr>
          <w:p w14:paraId="55DFE4CF" w14:textId="39414942" w:rsidR="003F736A" w:rsidRPr="005031CB" w:rsidRDefault="003F736A" w:rsidP="000C35EE">
            <w:pPr>
              <w:spacing w:before="60" w:after="60"/>
              <w:ind w:left="34"/>
              <w:jc w:val="left"/>
              <w:rPr>
                <w:sz w:val="20"/>
                <w:szCs w:val="20"/>
              </w:rPr>
            </w:pPr>
            <w:r w:rsidRPr="005031CB">
              <w:rPr>
                <w:sz w:val="20"/>
                <w:szCs w:val="20"/>
              </w:rPr>
              <w:t>RCFC5-2</w:t>
            </w:r>
          </w:p>
        </w:tc>
        <w:tc>
          <w:tcPr>
            <w:tcW w:w="3544" w:type="dxa"/>
            <w:tcBorders>
              <w:top w:val="single" w:sz="4" w:space="0" w:color="000000"/>
            </w:tcBorders>
            <w:vAlign w:val="center"/>
          </w:tcPr>
          <w:p w14:paraId="0959C746" w14:textId="18A4387A" w:rsidR="003F736A" w:rsidRPr="005031CB" w:rsidRDefault="003F736A" w:rsidP="000D4B44">
            <w:pPr>
              <w:spacing w:before="60" w:after="60"/>
              <w:jc w:val="left"/>
              <w:rPr>
                <w:sz w:val="20"/>
                <w:szCs w:val="20"/>
              </w:rPr>
            </w:pPr>
            <w:r w:rsidRPr="005031CB">
              <w:rPr>
                <w:sz w:val="20"/>
                <w:szCs w:val="20"/>
              </w:rPr>
              <w:t>Process chilling</w:t>
            </w:r>
          </w:p>
        </w:tc>
        <w:tc>
          <w:tcPr>
            <w:tcW w:w="964" w:type="dxa"/>
            <w:tcBorders>
              <w:top w:val="single" w:sz="4" w:space="0" w:color="000000"/>
            </w:tcBorders>
            <w:vAlign w:val="center"/>
          </w:tcPr>
          <w:p w14:paraId="543E7563" w14:textId="79195E33" w:rsidR="003F736A" w:rsidRPr="005031CB" w:rsidRDefault="003F736A" w:rsidP="000C35EE">
            <w:pPr>
              <w:spacing w:before="60" w:after="60"/>
              <w:jc w:val="center"/>
              <w:rPr>
                <w:sz w:val="20"/>
                <w:szCs w:val="20"/>
              </w:rPr>
            </w:pPr>
            <w:r w:rsidRPr="008F4A33">
              <w:t>2.00</w:t>
            </w:r>
          </w:p>
        </w:tc>
        <w:tc>
          <w:tcPr>
            <w:tcW w:w="964" w:type="dxa"/>
            <w:tcBorders>
              <w:top w:val="single" w:sz="4" w:space="0" w:color="000000"/>
            </w:tcBorders>
            <w:vAlign w:val="center"/>
          </w:tcPr>
          <w:p w14:paraId="7B2A3033" w14:textId="2E38C6E8" w:rsidR="003F736A" w:rsidRPr="005031CB" w:rsidRDefault="003F736A" w:rsidP="000C35EE">
            <w:pPr>
              <w:spacing w:before="60" w:after="60"/>
              <w:jc w:val="center"/>
              <w:rPr>
                <w:sz w:val="20"/>
                <w:szCs w:val="20"/>
              </w:rPr>
            </w:pPr>
            <w:r w:rsidRPr="004A6F9A">
              <w:t>10.0%</w:t>
            </w:r>
          </w:p>
        </w:tc>
        <w:tc>
          <w:tcPr>
            <w:tcW w:w="964" w:type="dxa"/>
            <w:tcBorders>
              <w:top w:val="single" w:sz="4" w:space="0" w:color="000000"/>
            </w:tcBorders>
            <w:vAlign w:val="center"/>
          </w:tcPr>
          <w:p w14:paraId="1C88218B" w14:textId="53338CF2" w:rsidR="003F736A" w:rsidRPr="005031CB" w:rsidRDefault="003F736A" w:rsidP="000C35EE">
            <w:pPr>
              <w:spacing w:before="60" w:after="60"/>
              <w:jc w:val="center"/>
              <w:rPr>
                <w:sz w:val="20"/>
                <w:szCs w:val="20"/>
              </w:rPr>
            </w:pPr>
            <w:r w:rsidRPr="004A6F9A">
              <w:t>7.0%</w:t>
            </w:r>
          </w:p>
        </w:tc>
        <w:tc>
          <w:tcPr>
            <w:tcW w:w="964" w:type="dxa"/>
            <w:tcBorders>
              <w:top w:val="single" w:sz="4" w:space="0" w:color="000000"/>
            </w:tcBorders>
            <w:vAlign w:val="center"/>
          </w:tcPr>
          <w:p w14:paraId="2D7BA5A4" w14:textId="7BB2F182" w:rsidR="003F736A" w:rsidRPr="005031CB" w:rsidRDefault="003F736A" w:rsidP="000C35EE">
            <w:pPr>
              <w:spacing w:before="60" w:after="60"/>
              <w:jc w:val="center"/>
              <w:rPr>
                <w:sz w:val="20"/>
                <w:szCs w:val="20"/>
              </w:rPr>
            </w:pPr>
            <w:r w:rsidRPr="004A6F9A">
              <w:t>15</w:t>
            </w:r>
          </w:p>
        </w:tc>
        <w:tc>
          <w:tcPr>
            <w:tcW w:w="964" w:type="dxa"/>
            <w:tcBorders>
              <w:top w:val="single" w:sz="4" w:space="0" w:color="000000"/>
            </w:tcBorders>
            <w:vAlign w:val="center"/>
          </w:tcPr>
          <w:p w14:paraId="7B8E5DBD" w14:textId="568701F8" w:rsidR="003F736A" w:rsidRPr="005031CB" w:rsidRDefault="003F736A" w:rsidP="000C35EE">
            <w:pPr>
              <w:spacing w:before="60" w:after="60"/>
              <w:jc w:val="center"/>
              <w:rPr>
                <w:sz w:val="20"/>
                <w:szCs w:val="20"/>
              </w:rPr>
            </w:pPr>
            <w:r w:rsidRPr="009B79A4">
              <w:t>80%</w:t>
            </w:r>
          </w:p>
        </w:tc>
      </w:tr>
    </w:tbl>
    <w:p w14:paraId="367D8A53" w14:textId="74A482AE" w:rsidR="00495ADF" w:rsidRDefault="00495ADF" w:rsidP="007F19EB">
      <w:pPr>
        <w:spacing w:before="60"/>
      </w:pPr>
    </w:p>
    <w:p w14:paraId="504D6C94" w14:textId="3CD7702B" w:rsidR="007F19EB" w:rsidRDefault="007F19EB" w:rsidP="007F19EB">
      <w:pPr>
        <w:rPr>
          <w:rFonts w:cs="Times New Roman"/>
          <w:szCs w:val="22"/>
          <w:lang w:val="en-US"/>
        </w:rPr>
      </w:pPr>
      <w:r>
        <w:rPr>
          <w:rFonts w:cs="Times New Roman"/>
          <w:szCs w:val="22"/>
          <w:lang w:val="en-US"/>
        </w:rPr>
        <w:lastRenderedPageBreak/>
        <w:t xml:space="preserve">The technical understanding of the product categories listed in </w:t>
      </w:r>
      <w:r w:rsidRPr="00262131">
        <w:rPr>
          <w:rFonts w:cs="Times New Roman"/>
          <w:i/>
          <w:szCs w:val="22"/>
          <w:lang w:val="en-US"/>
        </w:rPr>
        <w:t>Table 40</w:t>
      </w:r>
      <w:r>
        <w:rPr>
          <w:rFonts w:cs="Times New Roman"/>
          <w:szCs w:val="22"/>
          <w:lang w:val="en-US"/>
        </w:rPr>
        <w:t xml:space="preserve"> has evolved over a series of research papers in this area. In the course of various projects</w:t>
      </w:r>
      <w:r w:rsidRPr="00AE2A98">
        <w:rPr>
          <w:rFonts w:cs="Times New Roman"/>
          <w:szCs w:val="22"/>
          <w:lang w:val="en-US"/>
        </w:rPr>
        <w:t xml:space="preserve"> </w:t>
      </w:r>
      <w:r>
        <w:rPr>
          <w:rFonts w:cs="Times New Roman"/>
          <w:szCs w:val="22"/>
          <w:lang w:val="en-US"/>
        </w:rPr>
        <w:t>all available research in this area</w:t>
      </w:r>
      <w:r w:rsidDel="00AE2A98">
        <w:rPr>
          <w:rFonts w:cs="Times New Roman"/>
          <w:szCs w:val="22"/>
          <w:lang w:val="en-US"/>
        </w:rPr>
        <w:t xml:space="preserve"> </w:t>
      </w:r>
      <w:r>
        <w:rPr>
          <w:rFonts w:cs="Times New Roman"/>
          <w:szCs w:val="22"/>
          <w:lang w:val="en-US"/>
        </w:rPr>
        <w:t xml:space="preserve">was reviewed to build a database of findings and observations of leak rates by other researchers. </w:t>
      </w:r>
    </w:p>
    <w:p w14:paraId="454B4BEC" w14:textId="77777777" w:rsidR="007F19EB" w:rsidRDefault="007F19EB" w:rsidP="007F19EB">
      <w:pPr>
        <w:rPr>
          <w:rFonts w:cs="Times New Roman"/>
          <w:szCs w:val="22"/>
          <w:lang w:val="en-US"/>
        </w:rPr>
      </w:pPr>
      <w:r>
        <w:rPr>
          <w:rFonts w:cs="Times New Roman"/>
          <w:szCs w:val="22"/>
          <w:lang w:val="en-US"/>
        </w:rPr>
        <w:t xml:space="preserve">Further, a great deal of work was undertaken by the authors in the course of several projects to reconcile consumption of bulk refrigerant gas imports for all major refrigerant species, with all possible end uses of the gas to deduce the total volume of gas required to replace lost gas across the Australian economy.  </w:t>
      </w:r>
    </w:p>
    <w:p w14:paraId="74AC749F" w14:textId="77777777" w:rsidR="007F19EB" w:rsidRDefault="007F19EB" w:rsidP="007F19EB">
      <w:pPr>
        <w:rPr>
          <w:rFonts w:cs="Times New Roman"/>
          <w:szCs w:val="22"/>
          <w:lang w:val="en-US"/>
        </w:rPr>
      </w:pPr>
      <w:r>
        <w:rPr>
          <w:rFonts w:cs="Times New Roman"/>
          <w:szCs w:val="22"/>
          <w:lang w:val="en-US"/>
        </w:rPr>
        <w:t>This top down assessment of bulk gas consumed servicing equipment, when applied to what is known about the stock of equipment, produced results that were remarkably similar to leak rates observed in the field on individual classes of equipment.</w:t>
      </w:r>
    </w:p>
    <w:p w14:paraId="1702FA71" w14:textId="77777777" w:rsidR="007F19EB" w:rsidRDefault="007F19EB" w:rsidP="007F19EB">
      <w:pPr>
        <w:rPr>
          <w:rFonts w:cs="Times New Roman"/>
          <w:szCs w:val="22"/>
          <w:lang w:val="en-US"/>
        </w:rPr>
      </w:pPr>
      <w:r w:rsidRPr="00F44112">
        <w:rPr>
          <w:rFonts w:cs="Times New Roman"/>
          <w:szCs w:val="22"/>
          <w:lang w:val="en-US"/>
        </w:rPr>
        <w:t>The annual leak rate referred to in this report is expressed as a percentage of the initial charge per annum</w:t>
      </w:r>
      <w:r>
        <w:rPr>
          <w:rFonts w:cs="Times New Roman"/>
          <w:szCs w:val="22"/>
          <w:lang w:val="en-US"/>
        </w:rPr>
        <w:t xml:space="preserve">, </w:t>
      </w:r>
      <w:r w:rsidRPr="00F44112">
        <w:rPr>
          <w:rFonts w:cs="Times New Roman"/>
          <w:szCs w:val="22"/>
          <w:lang w:val="en-US"/>
        </w:rPr>
        <w:t>and is calculated as</w:t>
      </w:r>
      <w:r>
        <w:rPr>
          <w:rFonts w:cs="Times New Roman"/>
          <w:szCs w:val="22"/>
          <w:lang w:val="en-US"/>
        </w:rPr>
        <w:t>:</w:t>
      </w:r>
    </w:p>
    <w:p w14:paraId="684E6C22" w14:textId="77777777" w:rsidR="007F19EB" w:rsidRPr="00693DBC" w:rsidRDefault="007F19EB" w:rsidP="007F19EB">
      <w:pPr>
        <w:pStyle w:val="ListParagraph"/>
        <w:numPr>
          <w:ilvl w:val="0"/>
          <w:numId w:val="28"/>
        </w:numPr>
        <w:spacing w:before="120" w:after="0" w:line="240" w:lineRule="auto"/>
        <w:ind w:left="357" w:hanging="357"/>
        <w:contextualSpacing w:val="0"/>
        <w:jc w:val="both"/>
        <w:rPr>
          <w:rFonts w:ascii="Times New Roman" w:hAnsi="Times New Roman"/>
          <w:lang w:val="en-US"/>
        </w:rPr>
      </w:pPr>
      <w:r>
        <w:rPr>
          <w:rFonts w:ascii="Times New Roman" w:hAnsi="Times New Roman"/>
          <w:lang w:val="en-US"/>
        </w:rPr>
        <w:t>T</w:t>
      </w:r>
      <w:r w:rsidRPr="00693DBC">
        <w:rPr>
          <w:rFonts w:ascii="Times New Roman" w:hAnsi="Times New Roman"/>
          <w:lang w:val="en-US"/>
        </w:rPr>
        <w:t xml:space="preserve">he sum of gradual leaks during normal operation; plus, </w:t>
      </w:r>
    </w:p>
    <w:p w14:paraId="23973F34" w14:textId="77777777" w:rsidR="007F19EB" w:rsidRPr="00693DBC" w:rsidRDefault="007F19EB" w:rsidP="007F19EB">
      <w:pPr>
        <w:pStyle w:val="ListParagraph"/>
        <w:numPr>
          <w:ilvl w:val="0"/>
          <w:numId w:val="28"/>
        </w:numPr>
        <w:spacing w:before="120" w:after="0" w:line="240" w:lineRule="auto"/>
        <w:ind w:left="357" w:hanging="357"/>
        <w:contextualSpacing w:val="0"/>
        <w:jc w:val="both"/>
        <w:rPr>
          <w:rFonts w:ascii="Times New Roman" w:hAnsi="Times New Roman"/>
          <w:lang w:val="en-US"/>
        </w:rPr>
      </w:pPr>
      <w:r>
        <w:rPr>
          <w:rFonts w:ascii="Times New Roman" w:hAnsi="Times New Roman"/>
          <w:lang w:val="en-US"/>
        </w:rPr>
        <w:t>C</w:t>
      </w:r>
      <w:r w:rsidRPr="00693DBC">
        <w:rPr>
          <w:rFonts w:ascii="Times New Roman" w:hAnsi="Times New Roman"/>
          <w:lang w:val="en-US"/>
        </w:rPr>
        <w:t xml:space="preserve">atastrophic losses amortised over the life of the equipment; plus, </w:t>
      </w:r>
    </w:p>
    <w:p w14:paraId="7C60621D" w14:textId="77777777" w:rsidR="007F19EB" w:rsidRPr="00693DBC" w:rsidRDefault="007F19EB" w:rsidP="007F19EB">
      <w:pPr>
        <w:pStyle w:val="ListParagraph"/>
        <w:numPr>
          <w:ilvl w:val="0"/>
          <w:numId w:val="28"/>
        </w:numPr>
        <w:spacing w:before="120" w:after="0" w:line="240" w:lineRule="auto"/>
        <w:ind w:left="357" w:hanging="357"/>
        <w:contextualSpacing w:val="0"/>
        <w:jc w:val="both"/>
        <w:rPr>
          <w:rFonts w:ascii="Times New Roman" w:hAnsi="Times New Roman"/>
          <w:lang w:val="en-US"/>
        </w:rPr>
      </w:pPr>
      <w:r>
        <w:rPr>
          <w:rFonts w:ascii="Times New Roman" w:hAnsi="Times New Roman"/>
          <w:lang w:val="en-US"/>
        </w:rPr>
        <w:t>L</w:t>
      </w:r>
      <w:r w:rsidRPr="00693DBC">
        <w:rPr>
          <w:rFonts w:ascii="Times New Roman" w:hAnsi="Times New Roman"/>
          <w:lang w:val="en-US"/>
        </w:rPr>
        <w:t xml:space="preserve">osses during service and maintenance. </w:t>
      </w:r>
    </w:p>
    <w:p w14:paraId="18A0E388" w14:textId="77777777" w:rsidR="007F19EB" w:rsidRPr="00693DBC" w:rsidRDefault="007F19EB" w:rsidP="007F19EB">
      <w:pPr>
        <w:rPr>
          <w:rFonts w:cs="Times New Roman"/>
          <w:szCs w:val="22"/>
          <w:lang w:val="en-US"/>
        </w:rPr>
      </w:pPr>
      <w:r w:rsidRPr="00693DBC">
        <w:rPr>
          <w:rFonts w:cs="Times New Roman"/>
          <w:szCs w:val="22"/>
          <w:lang w:val="en-US"/>
        </w:rPr>
        <w:t>In the case of mobile air conditioning equipment, the annual leak rate takes into account losses from vehicle crashes, which are classed as catastrophic losses.</w:t>
      </w:r>
    </w:p>
    <w:p w14:paraId="6F458895" w14:textId="77777777" w:rsidR="007F19EB" w:rsidRDefault="007F19EB" w:rsidP="007F19EB">
      <w:pPr>
        <w:rPr>
          <w:rFonts w:cs="Times New Roman"/>
          <w:szCs w:val="22"/>
          <w:lang w:val="en-US"/>
        </w:rPr>
      </w:pPr>
      <w:r>
        <w:rPr>
          <w:rFonts w:cs="Times New Roman"/>
          <w:szCs w:val="22"/>
          <w:lang w:val="en-US"/>
        </w:rPr>
        <w:t xml:space="preserve">The actual </w:t>
      </w:r>
      <w:r w:rsidRPr="00F44112">
        <w:rPr>
          <w:rFonts w:cs="Times New Roman"/>
          <w:szCs w:val="22"/>
          <w:lang w:val="en-US"/>
        </w:rPr>
        <w:t xml:space="preserve">leak rates </w:t>
      </w:r>
      <w:r>
        <w:rPr>
          <w:rFonts w:cs="Times New Roman"/>
          <w:szCs w:val="22"/>
          <w:lang w:val="en-US"/>
        </w:rPr>
        <w:t xml:space="preserve">of different equipment categories </w:t>
      </w:r>
      <w:r w:rsidRPr="00F44112">
        <w:rPr>
          <w:rFonts w:cs="Times New Roman"/>
          <w:szCs w:val="22"/>
          <w:lang w:val="en-US"/>
        </w:rPr>
        <w:t>vary significantly depending on the class of equipment, refrigerant type, vintage, equipment design (i.e. flared connections, Schrader valves, type of condenser), workmanship of installation, vibration elimination, refrigerant leak detection, maintenance</w:t>
      </w:r>
      <w:r>
        <w:rPr>
          <w:rFonts w:cs="Times New Roman"/>
          <w:szCs w:val="22"/>
          <w:lang w:val="en-US"/>
        </w:rPr>
        <w:t xml:space="preserve">, </w:t>
      </w:r>
      <w:r w:rsidRPr="00F44112">
        <w:rPr>
          <w:rFonts w:cs="Times New Roman"/>
          <w:szCs w:val="22"/>
          <w:lang w:val="en-US"/>
        </w:rPr>
        <w:t>operating conditions</w:t>
      </w:r>
      <w:r>
        <w:rPr>
          <w:rFonts w:cs="Times New Roman"/>
          <w:szCs w:val="22"/>
          <w:lang w:val="en-US"/>
        </w:rPr>
        <w:t xml:space="preserve"> and several other factors</w:t>
      </w:r>
      <w:r w:rsidRPr="00F44112">
        <w:rPr>
          <w:rFonts w:cs="Times New Roman"/>
          <w:szCs w:val="22"/>
          <w:lang w:val="en-US"/>
        </w:rPr>
        <w:t>.</w:t>
      </w:r>
      <w:r>
        <w:rPr>
          <w:rFonts w:cs="Times New Roman"/>
          <w:szCs w:val="22"/>
          <w:lang w:val="en-US"/>
        </w:rPr>
        <w:t xml:space="preserve"> </w:t>
      </w:r>
    </w:p>
    <w:p w14:paraId="5995B476" w14:textId="77777777" w:rsidR="007F19EB" w:rsidRDefault="007F19EB" w:rsidP="007F19EB">
      <w:pPr>
        <w:rPr>
          <w:rFonts w:cs="Times New Roman"/>
          <w:szCs w:val="22"/>
          <w:lang w:val="en-US"/>
        </w:rPr>
      </w:pPr>
      <w:r>
        <w:rPr>
          <w:rFonts w:cs="Times New Roman"/>
          <w:szCs w:val="22"/>
          <w:lang w:val="en-US"/>
        </w:rPr>
        <w:t>The main technical papers undertaken by the authors that assisted in determining the leak rate estimates used in this report include:</w:t>
      </w:r>
    </w:p>
    <w:p w14:paraId="5F390847" w14:textId="77777777" w:rsidR="007F19EB" w:rsidRPr="00A67EA2" w:rsidRDefault="007F19EB" w:rsidP="007F19EB">
      <w:pPr>
        <w:pStyle w:val="ListParagraph"/>
        <w:numPr>
          <w:ilvl w:val="0"/>
          <w:numId w:val="28"/>
        </w:numPr>
        <w:spacing w:before="120" w:after="0" w:line="240" w:lineRule="auto"/>
        <w:ind w:left="357" w:hanging="357"/>
        <w:contextualSpacing w:val="0"/>
        <w:jc w:val="both"/>
        <w:rPr>
          <w:rFonts w:ascii="Times New Roman" w:hAnsi="Times New Roman"/>
          <w:lang w:val="en-US"/>
        </w:rPr>
      </w:pPr>
      <w:r w:rsidRPr="00A67EA2">
        <w:rPr>
          <w:rFonts w:ascii="Times New Roman" w:hAnsi="Times New Roman"/>
          <w:i/>
          <w:lang w:val="en-US"/>
        </w:rPr>
        <w:t>A study into the HFC Consumption in Australia</w:t>
      </w:r>
      <w:r w:rsidRPr="00A67EA2">
        <w:rPr>
          <w:rFonts w:ascii="Times New Roman" w:hAnsi="Times New Roman"/>
          <w:lang w:val="en-US"/>
        </w:rPr>
        <w:t xml:space="preserve"> prepared by the Expert Group for DSEWPaC, Ozone and Synthetic Gas Team, October 2011. This assignment involved the development of a bottom up model of the national inventories of synthetic greenhouse gases in order to reconcile the tonnes of each HFC imported with consumption in key industry </w:t>
      </w:r>
      <w:r>
        <w:rPr>
          <w:rFonts w:ascii="Times New Roman" w:hAnsi="Times New Roman"/>
          <w:lang w:val="en-US"/>
        </w:rPr>
        <w:t>sector/sub-sector/applications.</w:t>
      </w:r>
    </w:p>
    <w:p w14:paraId="29FF7DD6" w14:textId="77777777" w:rsidR="007F19EB" w:rsidRPr="00F44112" w:rsidRDefault="007F19EB" w:rsidP="007F19EB">
      <w:pPr>
        <w:pStyle w:val="ListParagraph"/>
        <w:numPr>
          <w:ilvl w:val="0"/>
          <w:numId w:val="28"/>
        </w:numPr>
        <w:spacing w:before="120" w:after="0" w:line="240" w:lineRule="auto"/>
        <w:ind w:left="357" w:hanging="357"/>
        <w:contextualSpacing w:val="0"/>
        <w:jc w:val="both"/>
      </w:pPr>
      <w:r w:rsidRPr="00A67EA2">
        <w:rPr>
          <w:rFonts w:ascii="Times New Roman" w:hAnsi="Times New Roman"/>
          <w:i/>
          <w:lang w:val="en-US"/>
        </w:rPr>
        <w:t>Giving Teeth to TEWI</w:t>
      </w:r>
      <w:r w:rsidRPr="00A67EA2">
        <w:rPr>
          <w:rFonts w:ascii="Times New Roman" w:hAnsi="Times New Roman"/>
          <w:lang w:val="en-US"/>
        </w:rPr>
        <w:t xml:space="preserve"> </w:t>
      </w:r>
      <w:r>
        <w:rPr>
          <w:rFonts w:ascii="Times New Roman" w:hAnsi="Times New Roman"/>
          <w:lang w:val="en-US"/>
        </w:rPr>
        <w:t xml:space="preserve">prepared by Expert Group </w:t>
      </w:r>
      <w:r w:rsidRPr="00A67EA2">
        <w:rPr>
          <w:rFonts w:ascii="Times New Roman" w:hAnsi="Times New Roman"/>
          <w:lang w:val="en-US"/>
        </w:rPr>
        <w:t>for Refrigerants Australia in association with AIRAH Natu</w:t>
      </w:r>
      <w:r>
        <w:rPr>
          <w:rFonts w:ascii="Times New Roman" w:hAnsi="Times New Roman"/>
          <w:lang w:val="en-US"/>
        </w:rPr>
        <w:t xml:space="preserve">ral Refrigerants Steering Group. This project </w:t>
      </w:r>
      <w:r w:rsidRPr="00A67EA2">
        <w:rPr>
          <w:rFonts w:ascii="Times New Roman" w:hAnsi="Times New Roman"/>
          <w:lang w:val="en-US"/>
        </w:rPr>
        <w:t>develop</w:t>
      </w:r>
      <w:r>
        <w:rPr>
          <w:rFonts w:ascii="Times New Roman" w:hAnsi="Times New Roman"/>
          <w:lang w:val="en-US"/>
        </w:rPr>
        <w:t>ed</w:t>
      </w:r>
      <w:r w:rsidRPr="00A67EA2">
        <w:rPr>
          <w:rFonts w:ascii="Times New Roman" w:hAnsi="Times New Roman"/>
          <w:lang w:val="en-US"/>
        </w:rPr>
        <w:t xml:space="preserve"> a best practice guideline and methodology for calculating Total Environmental Warming Impact</w:t>
      </w:r>
      <w:r>
        <w:rPr>
          <w:rFonts w:ascii="Times New Roman" w:hAnsi="Times New Roman"/>
          <w:lang w:val="en-US"/>
        </w:rPr>
        <w:t xml:space="preserve"> (TEWI</w:t>
      </w:r>
      <w:r w:rsidRPr="00A67EA2">
        <w:rPr>
          <w:rFonts w:ascii="Times New Roman" w:hAnsi="Times New Roman"/>
          <w:lang w:val="en-US"/>
        </w:rPr>
        <w:t xml:space="preserve">) to facilitate more informed investment decisions in low emission technology in the HVAC&amp;R industries. This research commenced in 2010 and resulted in </w:t>
      </w:r>
      <w:r w:rsidRPr="00A67EA2">
        <w:rPr>
          <w:rFonts w:ascii="Times New Roman" w:hAnsi="Times New Roman"/>
          <w:i/>
          <w:lang w:val="en-US"/>
        </w:rPr>
        <w:t>The AIRAH Best Practice Guidelines: Methods of calculating TEWI</w:t>
      </w:r>
      <w:r w:rsidRPr="00A67EA2">
        <w:rPr>
          <w:rFonts w:ascii="Times New Roman" w:hAnsi="Times New Roman"/>
          <w:lang w:val="en-US"/>
        </w:rPr>
        <w:t xml:space="preserve"> being published in 2012. The guideline includes a range of lower, upper and typical leak rates for key air conditioning and refrigeration applications. The upper</w:t>
      </w:r>
      <w:r>
        <w:rPr>
          <w:rFonts w:ascii="Times New Roman" w:hAnsi="Times New Roman"/>
          <w:lang w:val="en-US"/>
        </w:rPr>
        <w:t xml:space="preserve"> range</w:t>
      </w:r>
      <w:r w:rsidRPr="00A67EA2">
        <w:rPr>
          <w:rFonts w:ascii="Times New Roman" w:hAnsi="Times New Roman"/>
          <w:lang w:val="en-US"/>
        </w:rPr>
        <w:t xml:space="preserve"> being those cited in the NGERS Technical Guidelines and the NGERS Act 2007 that prescribes 9% for commercial air conditioning, 23% for commercial refrigeration and 16% for industrial refrigeration. Research involving reconciling consumption concludes that whilst these upper leak rates </w:t>
      </w:r>
      <w:r>
        <w:rPr>
          <w:rFonts w:ascii="Times New Roman" w:hAnsi="Times New Roman"/>
          <w:lang w:val="en-US"/>
        </w:rPr>
        <w:t xml:space="preserve">can </w:t>
      </w:r>
      <w:r w:rsidRPr="00A67EA2">
        <w:rPr>
          <w:rFonts w:ascii="Times New Roman" w:hAnsi="Times New Roman"/>
          <w:lang w:val="en-US"/>
        </w:rPr>
        <w:t xml:space="preserve">occur with some systems they are not the </w:t>
      </w:r>
      <w:r>
        <w:rPr>
          <w:rFonts w:ascii="Times New Roman" w:hAnsi="Times New Roman"/>
          <w:lang w:val="en-US"/>
        </w:rPr>
        <w:t xml:space="preserve">current </w:t>
      </w:r>
      <w:r w:rsidRPr="00A67EA2">
        <w:rPr>
          <w:rFonts w:ascii="Times New Roman" w:hAnsi="Times New Roman"/>
          <w:lang w:val="en-US"/>
        </w:rPr>
        <w:t>weighted average across the economy.</w:t>
      </w:r>
    </w:p>
    <w:p w14:paraId="498B3FC0" w14:textId="77777777" w:rsidR="007F19EB" w:rsidRPr="00A67EA2" w:rsidRDefault="007F19EB" w:rsidP="007F19EB">
      <w:pPr>
        <w:pStyle w:val="ListParagraph"/>
        <w:numPr>
          <w:ilvl w:val="0"/>
          <w:numId w:val="28"/>
        </w:numPr>
        <w:spacing w:before="120" w:after="0" w:line="240" w:lineRule="auto"/>
        <w:ind w:left="357" w:hanging="357"/>
        <w:contextualSpacing w:val="0"/>
        <w:jc w:val="both"/>
        <w:rPr>
          <w:rFonts w:ascii="Times New Roman" w:hAnsi="Times New Roman"/>
          <w:lang w:val="en-US"/>
        </w:rPr>
      </w:pPr>
      <w:r w:rsidRPr="00A67EA2">
        <w:rPr>
          <w:rFonts w:ascii="Times New Roman" w:hAnsi="Times New Roman"/>
          <w:i/>
          <w:lang w:val="en-US"/>
        </w:rPr>
        <w:t>Refrigerant Emissions in Australia: Sources, Causes and Remedies</w:t>
      </w:r>
      <w:r w:rsidRPr="00A67EA2">
        <w:rPr>
          <w:rFonts w:ascii="Times New Roman" w:hAnsi="Times New Roman"/>
          <w:lang w:val="en-US"/>
        </w:rPr>
        <w:t xml:space="preserve"> prepared by Expert Group for DEWHA, Ozone and Synthetic Gas Team, March 2010. DEWHA commissioned this study to establish a greater understanding of the sources and causes of refrigerant leaks and technical standards that could reduce leaks on small to medium commercial refrigeration, and the quantitative benefits of such standards. This study involved extensive research </w:t>
      </w:r>
      <w:r>
        <w:rPr>
          <w:rFonts w:ascii="Times New Roman" w:hAnsi="Times New Roman"/>
          <w:lang w:val="en-US"/>
        </w:rPr>
        <w:t xml:space="preserve">and improved understanding </w:t>
      </w:r>
      <w:r w:rsidRPr="00A67EA2">
        <w:rPr>
          <w:rFonts w:ascii="Times New Roman" w:hAnsi="Times New Roman"/>
          <w:lang w:val="en-US"/>
        </w:rPr>
        <w:t xml:space="preserve">on leak rates </w:t>
      </w:r>
      <w:r>
        <w:rPr>
          <w:rFonts w:ascii="Times New Roman" w:hAnsi="Times New Roman"/>
          <w:lang w:val="en-US"/>
        </w:rPr>
        <w:t xml:space="preserve">found </w:t>
      </w:r>
      <w:r w:rsidRPr="00A67EA2">
        <w:rPr>
          <w:rFonts w:ascii="Times New Roman" w:hAnsi="Times New Roman"/>
          <w:lang w:val="en-US"/>
        </w:rPr>
        <w:t>in commercial refrigeration.</w:t>
      </w:r>
    </w:p>
    <w:p w14:paraId="7E198DC0" w14:textId="77777777" w:rsidR="007F19EB" w:rsidRDefault="007F19EB" w:rsidP="007F19EB">
      <w:pPr>
        <w:pStyle w:val="ListParagraph"/>
        <w:numPr>
          <w:ilvl w:val="0"/>
          <w:numId w:val="28"/>
        </w:numPr>
        <w:spacing w:before="120" w:after="0" w:line="240" w:lineRule="auto"/>
        <w:ind w:left="357" w:hanging="357"/>
        <w:contextualSpacing w:val="0"/>
        <w:jc w:val="both"/>
        <w:rPr>
          <w:rFonts w:ascii="Times New Roman" w:hAnsi="Times New Roman"/>
          <w:lang w:val="en-US"/>
        </w:rPr>
      </w:pPr>
      <w:r w:rsidRPr="00A67EA2">
        <w:rPr>
          <w:rFonts w:ascii="Times New Roman" w:hAnsi="Times New Roman"/>
          <w:i/>
          <w:lang w:val="en-US"/>
        </w:rPr>
        <w:t>Leak rate database for Refrigerants Australia, 2009</w:t>
      </w:r>
      <w:r w:rsidRPr="00A67EA2">
        <w:rPr>
          <w:rFonts w:ascii="Times New Roman" w:hAnsi="Times New Roman"/>
          <w:lang w:val="en-US"/>
        </w:rPr>
        <w:t>. This assignment involved developing leak rate benchmarks for each main application supported by a database of global references. This involved investigation into leak minimisation best practice and a greater understanding of the range of factors influencing leak rates.</w:t>
      </w:r>
    </w:p>
    <w:p w14:paraId="355FF942" w14:textId="77777777" w:rsidR="007F19EB" w:rsidRDefault="007F19EB" w:rsidP="007F19EB">
      <w:pPr>
        <w:rPr>
          <w:rFonts w:cs="Times New Roman"/>
          <w:szCs w:val="22"/>
          <w:lang w:val="en-US"/>
        </w:rPr>
      </w:pPr>
      <w:r>
        <w:rPr>
          <w:rFonts w:cs="Times New Roman"/>
          <w:szCs w:val="22"/>
          <w:lang w:val="en-US"/>
        </w:rPr>
        <w:lastRenderedPageBreak/>
        <w:t xml:space="preserve">When considering average economy wide leak rates it is important to recognise that they generally reduce over time. As older equipment retires and is replaced with new designs that employ improved containment, leak rates of the new equipment are generally found to be lower. The evolution of wall hung and ducted split air conditioning equipment demonstrates this evolution in improved design and manufacturing capability, and global economies of scale. This is why older generation equipment containing HCFC-22 have higher leak rates, in the order of 8 per cent per annum, versus current generation models with leak rates of around 4 per cent per annum or less. Reconciling the total service consumption for the existing stock of equipment for each refrigerant type, with bulk imports after deducting consumption for local manufacture, confirms the validity of the leak rates used. </w:t>
      </w:r>
    </w:p>
    <w:p w14:paraId="3DEA3237" w14:textId="77777777" w:rsidR="007F19EB" w:rsidRDefault="007F19EB" w:rsidP="007F19EB">
      <w:pPr>
        <w:rPr>
          <w:rFonts w:cs="Times New Roman"/>
          <w:szCs w:val="22"/>
          <w:lang w:val="en-US"/>
        </w:rPr>
      </w:pPr>
      <w:r>
        <w:rPr>
          <w:rFonts w:cs="Times New Roman"/>
          <w:szCs w:val="22"/>
          <w:lang w:val="en-US"/>
        </w:rPr>
        <w:t>In addition as field practices improve, and as the cost of the refrigerant increases, for instance as the supply of HCFC-22 is restricted, leak rates decline and can do so very rapidly. The Australian supermarket industry is a good example where leak rates at the beginning of the century were thought to be above 20 per cent per annum, and hence the use of a leak rate of 23 per cent in the NGERS Act 2007. Whereas current market intelligence and reconciling consumption shows leak rates of HFC-404A less than half this value within the main supermarket chains.</w:t>
      </w:r>
    </w:p>
    <w:p w14:paraId="5C954EA1" w14:textId="77777777" w:rsidR="007F19EB" w:rsidRDefault="007F19EB" w:rsidP="007F19EB">
      <w:pPr>
        <w:rPr>
          <w:rFonts w:cs="Times New Roman"/>
          <w:szCs w:val="22"/>
          <w:lang w:val="en-US"/>
        </w:rPr>
      </w:pPr>
      <w:r>
        <w:rPr>
          <w:rFonts w:cs="Times New Roman"/>
          <w:szCs w:val="22"/>
          <w:lang w:val="en-US"/>
        </w:rPr>
        <w:t xml:space="preserve">Other research used to inform these leak rate estimates include the various United Nations Environment Programme (UNEP), Technology and Economic Assessment Panel reports prepared by the Refrigeration, Air Conditioning and Heat Pumps, Technical Options Committee, technical papers by the Institute of Refrigeration in the UK, and a series of papers undertaken by </w:t>
      </w:r>
      <w:r w:rsidRPr="00C5307A">
        <w:rPr>
          <w:rFonts w:cs="Times New Roman"/>
          <w:szCs w:val="22"/>
          <w:lang w:val="en-US"/>
        </w:rPr>
        <w:t xml:space="preserve">Denis Clodic </w:t>
      </w:r>
      <w:r>
        <w:rPr>
          <w:rFonts w:cs="Times New Roman"/>
          <w:szCs w:val="22"/>
          <w:lang w:val="en-US"/>
        </w:rPr>
        <w:t>and his various associates over the last decade for various policy makers is the US and EU.</w:t>
      </w:r>
    </w:p>
    <w:p w14:paraId="66F670D8" w14:textId="77777777" w:rsidR="007F19EB" w:rsidRPr="00B228C6" w:rsidRDefault="007F19EB" w:rsidP="007F19EB">
      <w:pPr>
        <w:rPr>
          <w:rFonts w:cs="Times New Roman"/>
          <w:szCs w:val="22"/>
          <w:lang w:val="en-US"/>
        </w:rPr>
      </w:pPr>
      <w:r>
        <w:rPr>
          <w:rFonts w:cs="Times New Roman"/>
          <w:szCs w:val="22"/>
          <w:lang w:val="en-US"/>
        </w:rPr>
        <w:t>The a</w:t>
      </w:r>
      <w:r w:rsidRPr="00B228C6">
        <w:rPr>
          <w:rFonts w:cs="Times New Roman"/>
          <w:szCs w:val="22"/>
          <w:lang w:val="en-US"/>
        </w:rPr>
        <w:t xml:space="preserve">verage charges </w:t>
      </w:r>
      <w:r>
        <w:rPr>
          <w:rFonts w:cs="Times New Roman"/>
          <w:szCs w:val="22"/>
          <w:lang w:val="en-US"/>
        </w:rPr>
        <w:t xml:space="preserve">listed in </w:t>
      </w:r>
      <w:r w:rsidRPr="00262131">
        <w:rPr>
          <w:rFonts w:cs="Times New Roman"/>
          <w:i/>
          <w:szCs w:val="22"/>
          <w:lang w:val="en-US"/>
        </w:rPr>
        <w:t>Table 40</w:t>
      </w:r>
      <w:r>
        <w:rPr>
          <w:rFonts w:cs="Times New Roman"/>
          <w:szCs w:val="22"/>
          <w:lang w:val="en-US"/>
        </w:rPr>
        <w:t xml:space="preserve"> </w:t>
      </w:r>
      <w:r w:rsidRPr="00B228C6">
        <w:rPr>
          <w:rFonts w:cs="Times New Roman"/>
          <w:szCs w:val="22"/>
          <w:lang w:val="en-US"/>
        </w:rPr>
        <w:t>are derived from a combination of sources including statistical analysis of pre-charged</w:t>
      </w:r>
      <w:r>
        <w:rPr>
          <w:rFonts w:cs="Times New Roman"/>
          <w:szCs w:val="22"/>
          <w:lang w:val="en-US"/>
        </w:rPr>
        <w:t xml:space="preserve"> </w:t>
      </w:r>
      <w:r w:rsidRPr="00B228C6">
        <w:rPr>
          <w:rFonts w:cs="Times New Roman"/>
          <w:szCs w:val="22"/>
          <w:lang w:val="en-US"/>
        </w:rPr>
        <w:t>equipment import data (DSEWPaC 2013), and from supplier data sheets (i.e. averages of most common</w:t>
      </w:r>
      <w:r>
        <w:rPr>
          <w:rFonts w:cs="Times New Roman"/>
          <w:szCs w:val="22"/>
          <w:lang w:val="en-US"/>
        </w:rPr>
        <w:t xml:space="preserve"> </w:t>
      </w:r>
      <w:r w:rsidRPr="00B228C6">
        <w:rPr>
          <w:rFonts w:cs="Times New Roman"/>
          <w:szCs w:val="22"/>
          <w:lang w:val="en-US"/>
        </w:rPr>
        <w:t>products by capacity by brand), and other industry design rules of thumb (i.e. commercial refrigeration</w:t>
      </w:r>
      <w:r>
        <w:rPr>
          <w:rFonts w:cs="Times New Roman"/>
          <w:szCs w:val="22"/>
          <w:lang w:val="en-US"/>
        </w:rPr>
        <w:t xml:space="preserve"> </w:t>
      </w:r>
      <w:r w:rsidRPr="00B228C6">
        <w:rPr>
          <w:rFonts w:cs="Times New Roman"/>
          <w:szCs w:val="22"/>
          <w:lang w:val="en-US"/>
        </w:rPr>
        <w:t xml:space="preserve">with remote condensers </w:t>
      </w:r>
      <w:r>
        <w:rPr>
          <w:rFonts w:cs="Times New Roman"/>
          <w:szCs w:val="22"/>
          <w:lang w:val="en-US"/>
        </w:rPr>
        <w:t>has</w:t>
      </w:r>
      <w:r w:rsidRPr="00B228C6">
        <w:rPr>
          <w:rFonts w:cs="Times New Roman"/>
          <w:szCs w:val="22"/>
          <w:lang w:val="en-US"/>
        </w:rPr>
        <w:t xml:space="preserve"> twice the pump-down capacity of the liquid receiver for commonly sold</w:t>
      </w:r>
      <w:r>
        <w:rPr>
          <w:rFonts w:cs="Times New Roman"/>
          <w:szCs w:val="22"/>
          <w:lang w:val="en-US"/>
        </w:rPr>
        <w:t xml:space="preserve"> models).</w:t>
      </w:r>
    </w:p>
    <w:p w14:paraId="17540010" w14:textId="77777777" w:rsidR="007F19EB" w:rsidRPr="00B228C6" w:rsidRDefault="007F19EB" w:rsidP="007F19EB">
      <w:pPr>
        <w:rPr>
          <w:rFonts w:cs="Times New Roman"/>
          <w:szCs w:val="22"/>
          <w:lang w:val="en-US"/>
        </w:rPr>
      </w:pPr>
      <w:r>
        <w:rPr>
          <w:rFonts w:cs="Times New Roman"/>
          <w:szCs w:val="22"/>
          <w:lang w:val="en-US"/>
        </w:rPr>
        <w:t>A</w:t>
      </w:r>
      <w:r w:rsidRPr="00B228C6">
        <w:rPr>
          <w:rFonts w:cs="Times New Roman"/>
          <w:szCs w:val="22"/>
          <w:lang w:val="en-US"/>
        </w:rPr>
        <w:t>verage</w:t>
      </w:r>
      <w:r>
        <w:rPr>
          <w:rFonts w:cs="Times New Roman"/>
          <w:szCs w:val="22"/>
          <w:lang w:val="en-US"/>
        </w:rPr>
        <w:t xml:space="preserve"> equipment </w:t>
      </w:r>
      <w:r w:rsidRPr="00B228C6">
        <w:rPr>
          <w:rFonts w:cs="Times New Roman"/>
          <w:szCs w:val="22"/>
          <w:lang w:val="en-US"/>
        </w:rPr>
        <w:t>lifespans were mostly used for calculating end-of-life emissions, except when sufficient</w:t>
      </w:r>
      <w:r>
        <w:rPr>
          <w:rFonts w:cs="Times New Roman"/>
          <w:szCs w:val="22"/>
          <w:lang w:val="en-US"/>
        </w:rPr>
        <w:t xml:space="preserve"> </w:t>
      </w:r>
      <w:r w:rsidRPr="00B228C6">
        <w:rPr>
          <w:rFonts w:cs="Times New Roman"/>
          <w:szCs w:val="22"/>
          <w:lang w:val="en-US"/>
        </w:rPr>
        <w:t>historical data was available to develop a detailed retirement function.</w:t>
      </w:r>
    </w:p>
    <w:p w14:paraId="0C932761" w14:textId="77777777" w:rsidR="007F19EB" w:rsidRDefault="007F19EB" w:rsidP="007F19EB">
      <w:pPr>
        <w:rPr>
          <w:rFonts w:cs="Times New Roman"/>
          <w:szCs w:val="22"/>
          <w:lang w:val="en-US"/>
        </w:rPr>
      </w:pPr>
      <w:r w:rsidRPr="00B228C6">
        <w:rPr>
          <w:rFonts w:cs="Times New Roman"/>
          <w:szCs w:val="22"/>
          <w:lang w:val="en-US"/>
        </w:rPr>
        <w:t>The end-of-life factors are generally consistent with others cited internationally (</w:t>
      </w:r>
      <w:r>
        <w:rPr>
          <w:rFonts w:cs="Times New Roman"/>
          <w:szCs w:val="22"/>
          <w:lang w:val="en-US"/>
        </w:rPr>
        <w:t xml:space="preserve">e.g. </w:t>
      </w:r>
      <w:r w:rsidRPr="00B228C6">
        <w:rPr>
          <w:rFonts w:cs="Times New Roman"/>
          <w:szCs w:val="22"/>
          <w:lang w:val="en-US"/>
        </w:rPr>
        <w:t>ICF 2010)</w:t>
      </w:r>
      <w:r>
        <w:rPr>
          <w:rFonts w:cs="Times New Roman"/>
          <w:szCs w:val="22"/>
          <w:lang w:val="en-US"/>
        </w:rPr>
        <w:t xml:space="preserve"> </w:t>
      </w:r>
      <w:r w:rsidRPr="00B228C6">
        <w:rPr>
          <w:rFonts w:cs="Times New Roman"/>
          <w:szCs w:val="22"/>
          <w:lang w:val="en-US"/>
        </w:rPr>
        <w:t>and in good practice</w:t>
      </w:r>
      <w:r>
        <w:rPr>
          <w:rFonts w:cs="Times New Roman"/>
          <w:szCs w:val="22"/>
          <w:lang w:val="en-US"/>
        </w:rPr>
        <w:t xml:space="preserve"> </w:t>
      </w:r>
      <w:r w:rsidRPr="00B228C6">
        <w:rPr>
          <w:rFonts w:cs="Times New Roman"/>
          <w:szCs w:val="22"/>
          <w:lang w:val="en-US"/>
        </w:rPr>
        <w:t>guides</w:t>
      </w:r>
      <w:r>
        <w:rPr>
          <w:rFonts w:cs="Times New Roman"/>
          <w:szCs w:val="22"/>
          <w:lang w:val="en-US"/>
        </w:rPr>
        <w:t xml:space="preserve"> by the IPCC</w:t>
      </w:r>
      <w:r w:rsidRPr="00B228C6">
        <w:rPr>
          <w:rFonts w:cs="Times New Roman"/>
          <w:szCs w:val="22"/>
          <w:lang w:val="en-US"/>
        </w:rPr>
        <w:t>.</w:t>
      </w:r>
    </w:p>
    <w:p w14:paraId="2B24872C" w14:textId="77777777" w:rsidR="007F19EB" w:rsidRDefault="007F19EB" w:rsidP="007F19EB">
      <w:pPr>
        <w:spacing w:before="60"/>
      </w:pPr>
    </w:p>
    <w:p w14:paraId="336260F3" w14:textId="77777777" w:rsidR="007F19EB" w:rsidRPr="007F19EB" w:rsidRDefault="007F19EB" w:rsidP="007F19EB">
      <w:pPr>
        <w:spacing w:before="60"/>
      </w:pPr>
    </w:p>
    <w:p w14:paraId="3B5117B0" w14:textId="77777777" w:rsidR="003451BB" w:rsidRDefault="003451BB">
      <w:pPr>
        <w:spacing w:before="0"/>
        <w:jc w:val="left"/>
        <w:rPr>
          <w:i/>
          <w:szCs w:val="22"/>
        </w:rPr>
      </w:pPr>
      <w:r>
        <w:rPr>
          <w:i/>
          <w:szCs w:val="22"/>
        </w:rPr>
        <w:br w:type="page"/>
      </w:r>
    </w:p>
    <w:p w14:paraId="5A74DBA8" w14:textId="120DED30" w:rsidR="002A09FC" w:rsidRPr="000226CB" w:rsidRDefault="002A09FC" w:rsidP="002A09FC">
      <w:pPr>
        <w:rPr>
          <w:i/>
          <w:szCs w:val="22"/>
        </w:rPr>
      </w:pPr>
      <w:bookmarkStart w:id="111" w:name="_Toc233084085"/>
      <w:r w:rsidRPr="000226CB">
        <w:rPr>
          <w:i/>
          <w:szCs w:val="22"/>
        </w:rPr>
        <w:lastRenderedPageBreak/>
        <w:t xml:space="preserve">Table </w:t>
      </w:r>
      <w:r w:rsidRPr="000226CB">
        <w:rPr>
          <w:i/>
          <w:szCs w:val="22"/>
        </w:rPr>
        <w:fldChar w:fldCharType="begin"/>
      </w:r>
      <w:r w:rsidRPr="000226CB">
        <w:rPr>
          <w:i/>
          <w:szCs w:val="22"/>
        </w:rPr>
        <w:instrText xml:space="preserve"> SEQ Table \* ARABIC </w:instrText>
      </w:r>
      <w:r w:rsidRPr="000226CB">
        <w:rPr>
          <w:i/>
          <w:szCs w:val="22"/>
        </w:rPr>
        <w:fldChar w:fldCharType="separate"/>
      </w:r>
      <w:r w:rsidR="00196462">
        <w:rPr>
          <w:i/>
          <w:noProof/>
          <w:szCs w:val="22"/>
        </w:rPr>
        <w:t>41</w:t>
      </w:r>
      <w:r w:rsidRPr="000226CB">
        <w:rPr>
          <w:i/>
          <w:szCs w:val="22"/>
        </w:rPr>
        <w:fldChar w:fldCharType="end"/>
      </w:r>
      <w:r w:rsidRPr="000226CB">
        <w:rPr>
          <w:i/>
          <w:szCs w:val="22"/>
        </w:rPr>
        <w:t xml:space="preserve">: </w:t>
      </w:r>
      <w:r>
        <w:rPr>
          <w:i/>
          <w:szCs w:val="22"/>
        </w:rPr>
        <w:t>Estimated air conditioning proportion of use in commercial applications</w:t>
      </w:r>
      <w:bookmarkEnd w:id="111"/>
      <w:r>
        <w:rPr>
          <w:i/>
          <w:szCs w:val="22"/>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2353"/>
      </w:tblGrid>
      <w:tr w:rsidR="002A09FC" w:rsidRPr="00923150" w14:paraId="72B7B6B6" w14:textId="77777777" w:rsidTr="005F2CFD">
        <w:trPr>
          <w:trHeight w:val="684"/>
        </w:trPr>
        <w:tc>
          <w:tcPr>
            <w:tcW w:w="4111" w:type="dxa"/>
            <w:tcBorders>
              <w:top w:val="single" w:sz="8" w:space="0" w:color="auto"/>
              <w:left w:val="single" w:sz="8" w:space="0" w:color="auto"/>
              <w:bottom w:val="single" w:sz="8" w:space="0" w:color="auto"/>
              <w:right w:val="single" w:sz="4" w:space="0" w:color="FFFFFF"/>
            </w:tcBorders>
            <w:shd w:val="clear" w:color="auto" w:fill="000000"/>
            <w:vAlign w:val="center"/>
          </w:tcPr>
          <w:p w14:paraId="501B9977" w14:textId="5D6DBF0F" w:rsidR="002A09FC" w:rsidRPr="00923150" w:rsidRDefault="002A09FC" w:rsidP="00EF7EDD">
            <w:pPr>
              <w:spacing w:before="60" w:after="60"/>
              <w:ind w:left="34"/>
              <w:jc w:val="left"/>
            </w:pPr>
            <w:r>
              <w:t>Product category</w:t>
            </w:r>
          </w:p>
        </w:tc>
        <w:tc>
          <w:tcPr>
            <w:tcW w:w="2353" w:type="dxa"/>
            <w:tcBorders>
              <w:top w:val="single" w:sz="8" w:space="0" w:color="auto"/>
              <w:left w:val="single" w:sz="4" w:space="0" w:color="FFFFFF"/>
              <w:bottom w:val="single" w:sz="8" w:space="0" w:color="auto"/>
              <w:right w:val="single" w:sz="8" w:space="0" w:color="auto"/>
            </w:tcBorders>
            <w:shd w:val="clear" w:color="auto" w:fill="000000"/>
            <w:vAlign w:val="center"/>
          </w:tcPr>
          <w:p w14:paraId="4DDB577A" w14:textId="12FE8BF3" w:rsidR="002A09FC" w:rsidRPr="00923150" w:rsidRDefault="002A09FC" w:rsidP="00EF7EDD">
            <w:pPr>
              <w:spacing w:before="60" w:after="60"/>
              <w:jc w:val="center"/>
            </w:pPr>
            <w:r>
              <w:t>Commercial (%)</w:t>
            </w:r>
            <w:r w:rsidRPr="00957119">
              <w:t xml:space="preserve"> </w:t>
            </w:r>
          </w:p>
        </w:tc>
      </w:tr>
      <w:tr w:rsidR="002A09FC" w:rsidRPr="00EF7EDD" w14:paraId="58B403F6" w14:textId="77777777" w:rsidTr="00EF7EDD">
        <w:trPr>
          <w:trHeight w:val="456"/>
        </w:trPr>
        <w:tc>
          <w:tcPr>
            <w:tcW w:w="4111" w:type="dxa"/>
            <w:vAlign w:val="center"/>
          </w:tcPr>
          <w:p w14:paraId="0CE96AB1" w14:textId="176F9370" w:rsidR="002A09FC" w:rsidRPr="00EF7EDD" w:rsidRDefault="002A09FC" w:rsidP="00513F57">
            <w:pPr>
              <w:spacing w:before="0"/>
              <w:ind w:left="34"/>
              <w:jc w:val="left"/>
              <w:rPr>
                <w:sz w:val="20"/>
                <w:szCs w:val="20"/>
              </w:rPr>
            </w:pPr>
            <w:r w:rsidRPr="00EF7EDD">
              <w:rPr>
                <w:sz w:val="20"/>
                <w:szCs w:val="20"/>
              </w:rPr>
              <w:t>1Ph N</w:t>
            </w:r>
            <w:r w:rsidR="00513F57">
              <w:rPr>
                <w:sz w:val="20"/>
                <w:szCs w:val="20"/>
              </w:rPr>
              <w:t>on d</w:t>
            </w:r>
            <w:r w:rsidRPr="00EF7EDD">
              <w:rPr>
                <w:sz w:val="20"/>
                <w:szCs w:val="20"/>
              </w:rPr>
              <w:t xml:space="preserve">ucted </w:t>
            </w:r>
            <w:r w:rsidR="00513F57">
              <w:rPr>
                <w:sz w:val="20"/>
                <w:szCs w:val="20"/>
              </w:rPr>
              <w:t>s</w:t>
            </w:r>
            <w:r w:rsidRPr="00EF7EDD">
              <w:rPr>
                <w:sz w:val="20"/>
                <w:szCs w:val="20"/>
              </w:rPr>
              <w:t xml:space="preserve">plit 0-4kW </w:t>
            </w:r>
          </w:p>
        </w:tc>
        <w:tc>
          <w:tcPr>
            <w:tcW w:w="2353" w:type="dxa"/>
            <w:vAlign w:val="center"/>
          </w:tcPr>
          <w:p w14:paraId="71AEC477" w14:textId="1FF830C0" w:rsidR="002A09FC" w:rsidRPr="00EF7EDD" w:rsidRDefault="002A09FC" w:rsidP="00EF7EDD">
            <w:pPr>
              <w:spacing w:before="0"/>
              <w:jc w:val="center"/>
              <w:rPr>
                <w:sz w:val="20"/>
                <w:szCs w:val="20"/>
              </w:rPr>
            </w:pPr>
            <w:r w:rsidRPr="00EF7EDD">
              <w:rPr>
                <w:sz w:val="20"/>
                <w:szCs w:val="20"/>
              </w:rPr>
              <w:t>5%</w:t>
            </w:r>
          </w:p>
        </w:tc>
      </w:tr>
      <w:tr w:rsidR="002A09FC" w:rsidRPr="00EF7EDD" w14:paraId="1F5717C0" w14:textId="77777777" w:rsidTr="00EF7EDD">
        <w:trPr>
          <w:trHeight w:val="456"/>
        </w:trPr>
        <w:tc>
          <w:tcPr>
            <w:tcW w:w="4111" w:type="dxa"/>
            <w:vAlign w:val="center"/>
          </w:tcPr>
          <w:p w14:paraId="0D08E297" w14:textId="1E1C5B0E" w:rsidR="002A09FC" w:rsidRPr="00EF7EDD" w:rsidRDefault="002A09FC" w:rsidP="00513F57">
            <w:pPr>
              <w:spacing w:before="60" w:after="60"/>
              <w:ind w:left="34"/>
              <w:jc w:val="left"/>
              <w:rPr>
                <w:sz w:val="20"/>
                <w:szCs w:val="20"/>
              </w:rPr>
            </w:pPr>
            <w:r w:rsidRPr="00EF7EDD">
              <w:rPr>
                <w:sz w:val="20"/>
                <w:szCs w:val="20"/>
              </w:rPr>
              <w:t>1Ph N</w:t>
            </w:r>
            <w:r w:rsidR="00513F57">
              <w:rPr>
                <w:sz w:val="20"/>
                <w:szCs w:val="20"/>
              </w:rPr>
              <w:t>on d</w:t>
            </w:r>
            <w:r w:rsidRPr="00EF7EDD">
              <w:rPr>
                <w:sz w:val="20"/>
                <w:szCs w:val="20"/>
              </w:rPr>
              <w:t xml:space="preserve">ucted </w:t>
            </w:r>
            <w:r w:rsidR="00513F57">
              <w:rPr>
                <w:sz w:val="20"/>
                <w:szCs w:val="20"/>
              </w:rPr>
              <w:t>s</w:t>
            </w:r>
            <w:r w:rsidRPr="00EF7EDD">
              <w:rPr>
                <w:sz w:val="20"/>
                <w:szCs w:val="20"/>
              </w:rPr>
              <w:t xml:space="preserve">plit 4-6kW </w:t>
            </w:r>
          </w:p>
        </w:tc>
        <w:tc>
          <w:tcPr>
            <w:tcW w:w="2353" w:type="dxa"/>
            <w:vAlign w:val="center"/>
          </w:tcPr>
          <w:p w14:paraId="28E975C0" w14:textId="4EE76798" w:rsidR="002A09FC" w:rsidRPr="00EF7EDD" w:rsidRDefault="002A09FC" w:rsidP="00EF7EDD">
            <w:pPr>
              <w:spacing w:before="60" w:after="60"/>
              <w:jc w:val="center"/>
              <w:rPr>
                <w:sz w:val="20"/>
                <w:szCs w:val="20"/>
              </w:rPr>
            </w:pPr>
            <w:r w:rsidRPr="00EF7EDD">
              <w:rPr>
                <w:sz w:val="20"/>
                <w:szCs w:val="20"/>
              </w:rPr>
              <w:t>15%</w:t>
            </w:r>
          </w:p>
        </w:tc>
      </w:tr>
      <w:tr w:rsidR="002A09FC" w:rsidRPr="00EF7EDD" w14:paraId="6F9EDEB2" w14:textId="77777777" w:rsidTr="00EF7EDD">
        <w:trPr>
          <w:trHeight w:val="456"/>
        </w:trPr>
        <w:tc>
          <w:tcPr>
            <w:tcW w:w="4111" w:type="dxa"/>
            <w:vAlign w:val="center"/>
          </w:tcPr>
          <w:p w14:paraId="6B36E1C9" w14:textId="356D25DB" w:rsidR="002A09FC" w:rsidRPr="00EF7EDD" w:rsidRDefault="002A09FC" w:rsidP="00513F57">
            <w:pPr>
              <w:spacing w:before="60" w:after="60"/>
              <w:ind w:left="34"/>
              <w:jc w:val="left"/>
              <w:rPr>
                <w:sz w:val="20"/>
                <w:szCs w:val="20"/>
              </w:rPr>
            </w:pPr>
            <w:r w:rsidRPr="00EF7EDD">
              <w:rPr>
                <w:sz w:val="20"/>
                <w:szCs w:val="20"/>
              </w:rPr>
              <w:t>1Ph N</w:t>
            </w:r>
            <w:r w:rsidR="00513F57">
              <w:rPr>
                <w:sz w:val="20"/>
                <w:szCs w:val="20"/>
              </w:rPr>
              <w:t>on d</w:t>
            </w:r>
            <w:r w:rsidRPr="00EF7EDD">
              <w:rPr>
                <w:sz w:val="20"/>
                <w:szCs w:val="20"/>
              </w:rPr>
              <w:t xml:space="preserve">ucted </w:t>
            </w:r>
            <w:r w:rsidR="00513F57">
              <w:rPr>
                <w:sz w:val="20"/>
                <w:szCs w:val="20"/>
              </w:rPr>
              <w:t>s</w:t>
            </w:r>
            <w:r w:rsidRPr="00EF7EDD">
              <w:rPr>
                <w:sz w:val="20"/>
                <w:szCs w:val="20"/>
              </w:rPr>
              <w:t xml:space="preserve">plit 6-10kW </w:t>
            </w:r>
          </w:p>
        </w:tc>
        <w:tc>
          <w:tcPr>
            <w:tcW w:w="2353" w:type="dxa"/>
            <w:vAlign w:val="center"/>
          </w:tcPr>
          <w:p w14:paraId="3380CF56" w14:textId="12D997A3" w:rsidR="002A09FC" w:rsidRPr="00EF7EDD" w:rsidRDefault="002A09FC" w:rsidP="00EF7EDD">
            <w:pPr>
              <w:spacing w:before="60" w:after="60"/>
              <w:jc w:val="center"/>
              <w:rPr>
                <w:sz w:val="20"/>
                <w:szCs w:val="20"/>
              </w:rPr>
            </w:pPr>
            <w:r w:rsidRPr="00EF7EDD">
              <w:rPr>
                <w:sz w:val="20"/>
                <w:szCs w:val="20"/>
              </w:rPr>
              <w:t>20%</w:t>
            </w:r>
          </w:p>
        </w:tc>
      </w:tr>
      <w:tr w:rsidR="002A09FC" w:rsidRPr="00EF7EDD" w14:paraId="100464B7" w14:textId="77777777" w:rsidTr="00EF7EDD">
        <w:trPr>
          <w:trHeight w:val="456"/>
        </w:trPr>
        <w:tc>
          <w:tcPr>
            <w:tcW w:w="4111" w:type="dxa"/>
            <w:vAlign w:val="center"/>
          </w:tcPr>
          <w:p w14:paraId="3CD2454E" w14:textId="02AA9206" w:rsidR="002A09FC" w:rsidRPr="00EF7EDD" w:rsidRDefault="002A09FC" w:rsidP="00513F57">
            <w:pPr>
              <w:spacing w:before="60" w:after="60"/>
              <w:ind w:left="34"/>
              <w:jc w:val="left"/>
              <w:rPr>
                <w:sz w:val="20"/>
                <w:szCs w:val="20"/>
              </w:rPr>
            </w:pPr>
            <w:r w:rsidRPr="00EF7EDD">
              <w:rPr>
                <w:sz w:val="20"/>
                <w:szCs w:val="20"/>
              </w:rPr>
              <w:t>1Ph N</w:t>
            </w:r>
            <w:r w:rsidR="00513F57">
              <w:rPr>
                <w:sz w:val="20"/>
                <w:szCs w:val="20"/>
              </w:rPr>
              <w:t xml:space="preserve">on </w:t>
            </w:r>
            <w:r w:rsidRPr="00EF7EDD">
              <w:rPr>
                <w:sz w:val="20"/>
                <w:szCs w:val="20"/>
              </w:rPr>
              <w:t xml:space="preserve">ducted </w:t>
            </w:r>
            <w:r w:rsidR="00513F57">
              <w:rPr>
                <w:sz w:val="20"/>
                <w:szCs w:val="20"/>
              </w:rPr>
              <w:t>s</w:t>
            </w:r>
            <w:r w:rsidRPr="00EF7EDD">
              <w:rPr>
                <w:sz w:val="20"/>
                <w:szCs w:val="20"/>
              </w:rPr>
              <w:t xml:space="preserve">plit&gt;10kW </w:t>
            </w:r>
          </w:p>
        </w:tc>
        <w:tc>
          <w:tcPr>
            <w:tcW w:w="2353" w:type="dxa"/>
            <w:vAlign w:val="center"/>
          </w:tcPr>
          <w:p w14:paraId="69B997E0" w14:textId="26803091" w:rsidR="002A09FC" w:rsidRPr="00EF7EDD" w:rsidRDefault="002A09FC" w:rsidP="00EF7EDD">
            <w:pPr>
              <w:spacing w:before="60" w:after="60"/>
              <w:jc w:val="center"/>
              <w:rPr>
                <w:sz w:val="20"/>
                <w:szCs w:val="20"/>
              </w:rPr>
            </w:pPr>
            <w:r w:rsidRPr="00EF7EDD">
              <w:rPr>
                <w:sz w:val="20"/>
                <w:szCs w:val="20"/>
              </w:rPr>
              <w:t>30%</w:t>
            </w:r>
          </w:p>
        </w:tc>
      </w:tr>
      <w:tr w:rsidR="002A09FC" w:rsidRPr="00EF7EDD" w14:paraId="7EDB2929" w14:textId="77777777" w:rsidTr="00EF7EDD">
        <w:trPr>
          <w:trHeight w:val="456"/>
        </w:trPr>
        <w:tc>
          <w:tcPr>
            <w:tcW w:w="4111" w:type="dxa"/>
            <w:vAlign w:val="center"/>
          </w:tcPr>
          <w:p w14:paraId="23EC3CEC" w14:textId="295FED0F" w:rsidR="002A09FC" w:rsidRPr="00EF7EDD" w:rsidRDefault="002A09FC" w:rsidP="00513F57">
            <w:pPr>
              <w:spacing w:before="60" w:after="60"/>
              <w:ind w:left="34"/>
              <w:jc w:val="left"/>
              <w:rPr>
                <w:sz w:val="20"/>
                <w:szCs w:val="20"/>
              </w:rPr>
            </w:pPr>
            <w:r w:rsidRPr="00EF7EDD">
              <w:rPr>
                <w:sz w:val="20"/>
                <w:szCs w:val="20"/>
              </w:rPr>
              <w:t>3Ph N</w:t>
            </w:r>
            <w:r w:rsidR="00513F57">
              <w:rPr>
                <w:sz w:val="20"/>
                <w:szCs w:val="20"/>
              </w:rPr>
              <w:t xml:space="preserve">on </w:t>
            </w:r>
            <w:r w:rsidRPr="00EF7EDD">
              <w:rPr>
                <w:sz w:val="20"/>
                <w:szCs w:val="20"/>
              </w:rPr>
              <w:t xml:space="preserve">ducted </w:t>
            </w:r>
            <w:r w:rsidR="00513F57">
              <w:rPr>
                <w:sz w:val="20"/>
                <w:szCs w:val="20"/>
              </w:rPr>
              <w:t>s</w:t>
            </w:r>
            <w:r w:rsidRPr="00EF7EDD">
              <w:rPr>
                <w:sz w:val="20"/>
                <w:szCs w:val="20"/>
              </w:rPr>
              <w:t xml:space="preserve">plit 0-20kW </w:t>
            </w:r>
          </w:p>
        </w:tc>
        <w:tc>
          <w:tcPr>
            <w:tcW w:w="2353" w:type="dxa"/>
            <w:vAlign w:val="center"/>
          </w:tcPr>
          <w:p w14:paraId="38E9DD4A" w14:textId="4400AD2E" w:rsidR="002A09FC" w:rsidRPr="00EF7EDD" w:rsidRDefault="002A09FC" w:rsidP="00EF7EDD">
            <w:pPr>
              <w:spacing w:before="60" w:after="60"/>
              <w:jc w:val="center"/>
              <w:rPr>
                <w:sz w:val="20"/>
                <w:szCs w:val="20"/>
              </w:rPr>
            </w:pPr>
            <w:r w:rsidRPr="00EF7EDD">
              <w:rPr>
                <w:sz w:val="20"/>
                <w:szCs w:val="20"/>
              </w:rPr>
              <w:t>95%</w:t>
            </w:r>
          </w:p>
        </w:tc>
      </w:tr>
      <w:tr w:rsidR="002A09FC" w:rsidRPr="00EF7EDD" w14:paraId="7C2A8745" w14:textId="77777777" w:rsidTr="00EF7EDD">
        <w:trPr>
          <w:trHeight w:val="456"/>
        </w:trPr>
        <w:tc>
          <w:tcPr>
            <w:tcW w:w="4111" w:type="dxa"/>
            <w:vAlign w:val="center"/>
          </w:tcPr>
          <w:p w14:paraId="38C6FC76" w14:textId="69009F31" w:rsidR="002A09FC" w:rsidRPr="00EF7EDD" w:rsidRDefault="002A09FC" w:rsidP="00EF7EDD">
            <w:pPr>
              <w:spacing w:before="60" w:after="60"/>
              <w:ind w:left="34"/>
              <w:jc w:val="left"/>
              <w:rPr>
                <w:sz w:val="20"/>
                <w:szCs w:val="20"/>
              </w:rPr>
            </w:pPr>
            <w:r w:rsidRPr="00EF7EDD">
              <w:rPr>
                <w:sz w:val="20"/>
                <w:szCs w:val="20"/>
              </w:rPr>
              <w:t>1Ph Ducted</w:t>
            </w:r>
          </w:p>
        </w:tc>
        <w:tc>
          <w:tcPr>
            <w:tcW w:w="2353" w:type="dxa"/>
            <w:vAlign w:val="center"/>
          </w:tcPr>
          <w:p w14:paraId="44D00A5E" w14:textId="57E800B4" w:rsidR="002A09FC" w:rsidRPr="00EF7EDD" w:rsidRDefault="002A09FC" w:rsidP="00EF7EDD">
            <w:pPr>
              <w:spacing w:before="60" w:after="60"/>
              <w:jc w:val="center"/>
              <w:rPr>
                <w:sz w:val="20"/>
                <w:szCs w:val="20"/>
              </w:rPr>
            </w:pPr>
            <w:r w:rsidRPr="00EF7EDD">
              <w:rPr>
                <w:sz w:val="20"/>
                <w:szCs w:val="20"/>
              </w:rPr>
              <w:t>20%</w:t>
            </w:r>
          </w:p>
        </w:tc>
      </w:tr>
      <w:tr w:rsidR="002A09FC" w:rsidRPr="00EF7EDD" w14:paraId="5CF8D06A" w14:textId="77777777" w:rsidTr="00EF7EDD">
        <w:trPr>
          <w:trHeight w:val="456"/>
        </w:trPr>
        <w:tc>
          <w:tcPr>
            <w:tcW w:w="4111" w:type="dxa"/>
            <w:vAlign w:val="center"/>
          </w:tcPr>
          <w:p w14:paraId="06945B14" w14:textId="7A6FD46D" w:rsidR="002A09FC" w:rsidRPr="00EF7EDD" w:rsidRDefault="002A09FC" w:rsidP="00EF7EDD">
            <w:pPr>
              <w:spacing w:before="60" w:after="60"/>
              <w:ind w:left="34"/>
              <w:jc w:val="left"/>
              <w:rPr>
                <w:sz w:val="20"/>
                <w:szCs w:val="20"/>
              </w:rPr>
            </w:pPr>
            <w:r w:rsidRPr="00EF7EDD">
              <w:rPr>
                <w:sz w:val="20"/>
                <w:szCs w:val="20"/>
              </w:rPr>
              <w:t xml:space="preserve">3Ph Ducted 0-20kW </w:t>
            </w:r>
          </w:p>
        </w:tc>
        <w:tc>
          <w:tcPr>
            <w:tcW w:w="2353" w:type="dxa"/>
            <w:vAlign w:val="center"/>
          </w:tcPr>
          <w:p w14:paraId="0476CF3B" w14:textId="2F354E0A" w:rsidR="002A09FC" w:rsidRPr="00EF7EDD" w:rsidRDefault="002A09FC" w:rsidP="00EF7EDD">
            <w:pPr>
              <w:spacing w:before="60" w:after="60"/>
              <w:jc w:val="center"/>
              <w:rPr>
                <w:sz w:val="20"/>
                <w:szCs w:val="20"/>
              </w:rPr>
            </w:pPr>
            <w:r w:rsidRPr="00EF7EDD">
              <w:rPr>
                <w:sz w:val="20"/>
                <w:szCs w:val="20"/>
              </w:rPr>
              <w:t>80%</w:t>
            </w:r>
          </w:p>
        </w:tc>
      </w:tr>
      <w:tr w:rsidR="002A09FC" w:rsidRPr="00EF7EDD" w14:paraId="1D135B3D" w14:textId="77777777" w:rsidTr="00EF7EDD">
        <w:trPr>
          <w:trHeight w:val="456"/>
        </w:trPr>
        <w:tc>
          <w:tcPr>
            <w:tcW w:w="4111" w:type="dxa"/>
            <w:vAlign w:val="center"/>
          </w:tcPr>
          <w:p w14:paraId="5060655F" w14:textId="2AFF939A" w:rsidR="002A09FC" w:rsidRPr="00EF7EDD" w:rsidRDefault="002A09FC" w:rsidP="00EF7EDD">
            <w:pPr>
              <w:spacing w:before="60" w:after="60"/>
              <w:ind w:left="34"/>
              <w:jc w:val="left"/>
              <w:rPr>
                <w:sz w:val="20"/>
                <w:szCs w:val="20"/>
              </w:rPr>
            </w:pPr>
            <w:r w:rsidRPr="00EF7EDD">
              <w:rPr>
                <w:sz w:val="20"/>
                <w:szCs w:val="20"/>
              </w:rPr>
              <w:t xml:space="preserve">3Ph Ducted 20-40kW </w:t>
            </w:r>
          </w:p>
        </w:tc>
        <w:tc>
          <w:tcPr>
            <w:tcW w:w="2353" w:type="dxa"/>
            <w:vAlign w:val="center"/>
          </w:tcPr>
          <w:p w14:paraId="1D1DD8D0" w14:textId="29CE36BD" w:rsidR="002A09FC" w:rsidRPr="00EF7EDD" w:rsidRDefault="002A09FC" w:rsidP="00EF7EDD">
            <w:pPr>
              <w:spacing w:before="60" w:after="60"/>
              <w:jc w:val="center"/>
              <w:rPr>
                <w:sz w:val="20"/>
                <w:szCs w:val="20"/>
              </w:rPr>
            </w:pPr>
            <w:r w:rsidRPr="00EF7EDD">
              <w:rPr>
                <w:sz w:val="20"/>
                <w:szCs w:val="20"/>
              </w:rPr>
              <w:t>95%</w:t>
            </w:r>
          </w:p>
        </w:tc>
      </w:tr>
      <w:tr w:rsidR="002A09FC" w:rsidRPr="00EF7EDD" w14:paraId="717D4A26" w14:textId="77777777" w:rsidTr="00EF7EDD">
        <w:trPr>
          <w:trHeight w:val="456"/>
        </w:trPr>
        <w:tc>
          <w:tcPr>
            <w:tcW w:w="4111" w:type="dxa"/>
            <w:vAlign w:val="center"/>
          </w:tcPr>
          <w:p w14:paraId="0A9FE511" w14:textId="6716C88D" w:rsidR="002A09FC" w:rsidRPr="00EF7EDD" w:rsidRDefault="002A09FC" w:rsidP="00EF7EDD">
            <w:pPr>
              <w:spacing w:before="60" w:after="60"/>
              <w:ind w:left="34"/>
              <w:jc w:val="left"/>
              <w:rPr>
                <w:sz w:val="20"/>
                <w:szCs w:val="20"/>
              </w:rPr>
            </w:pPr>
            <w:r w:rsidRPr="00EF7EDD">
              <w:rPr>
                <w:sz w:val="20"/>
                <w:szCs w:val="20"/>
              </w:rPr>
              <w:t xml:space="preserve">3Ph Ducted &gt;40kW </w:t>
            </w:r>
          </w:p>
        </w:tc>
        <w:tc>
          <w:tcPr>
            <w:tcW w:w="2353" w:type="dxa"/>
            <w:vAlign w:val="center"/>
          </w:tcPr>
          <w:p w14:paraId="33236F9B" w14:textId="7018A588" w:rsidR="002A09FC" w:rsidRPr="00EF7EDD" w:rsidRDefault="002A09FC" w:rsidP="00EF7EDD">
            <w:pPr>
              <w:spacing w:before="60" w:after="60"/>
              <w:jc w:val="center"/>
              <w:rPr>
                <w:sz w:val="20"/>
                <w:szCs w:val="20"/>
              </w:rPr>
            </w:pPr>
            <w:r w:rsidRPr="00EF7EDD">
              <w:rPr>
                <w:sz w:val="20"/>
                <w:szCs w:val="20"/>
              </w:rPr>
              <w:t>100%</w:t>
            </w:r>
          </w:p>
        </w:tc>
      </w:tr>
      <w:tr w:rsidR="002A09FC" w:rsidRPr="00EF7EDD" w14:paraId="481770C5" w14:textId="77777777" w:rsidTr="00EF7EDD">
        <w:trPr>
          <w:trHeight w:val="456"/>
        </w:trPr>
        <w:tc>
          <w:tcPr>
            <w:tcW w:w="4111" w:type="dxa"/>
            <w:vAlign w:val="center"/>
          </w:tcPr>
          <w:p w14:paraId="3B3E1061" w14:textId="33CCAB74" w:rsidR="002A09FC" w:rsidRPr="00EF7EDD" w:rsidRDefault="002A09FC" w:rsidP="00513F57">
            <w:pPr>
              <w:spacing w:before="60" w:after="60"/>
              <w:ind w:left="34"/>
              <w:jc w:val="left"/>
              <w:rPr>
                <w:sz w:val="20"/>
                <w:szCs w:val="20"/>
              </w:rPr>
            </w:pPr>
            <w:r w:rsidRPr="00EF7EDD">
              <w:rPr>
                <w:sz w:val="20"/>
                <w:szCs w:val="20"/>
              </w:rPr>
              <w:t>1Ph N</w:t>
            </w:r>
            <w:r w:rsidR="00513F57">
              <w:rPr>
                <w:sz w:val="20"/>
                <w:szCs w:val="20"/>
              </w:rPr>
              <w:t>on d</w:t>
            </w:r>
            <w:r w:rsidRPr="00EF7EDD">
              <w:rPr>
                <w:sz w:val="20"/>
                <w:szCs w:val="20"/>
              </w:rPr>
              <w:t xml:space="preserve">ucted </w:t>
            </w:r>
            <w:r w:rsidR="00513F57">
              <w:rPr>
                <w:sz w:val="20"/>
                <w:szCs w:val="20"/>
              </w:rPr>
              <w:t>u</w:t>
            </w:r>
            <w:r w:rsidRPr="00EF7EDD">
              <w:rPr>
                <w:sz w:val="20"/>
                <w:szCs w:val="20"/>
              </w:rPr>
              <w:t xml:space="preserve">nitary 0-10kW </w:t>
            </w:r>
          </w:p>
        </w:tc>
        <w:tc>
          <w:tcPr>
            <w:tcW w:w="2353" w:type="dxa"/>
            <w:vAlign w:val="center"/>
          </w:tcPr>
          <w:p w14:paraId="570724B1" w14:textId="39930AE7" w:rsidR="002A09FC" w:rsidRPr="00EF7EDD" w:rsidRDefault="002A09FC" w:rsidP="00EF7EDD">
            <w:pPr>
              <w:spacing w:before="60" w:after="60"/>
              <w:jc w:val="center"/>
              <w:rPr>
                <w:sz w:val="20"/>
                <w:szCs w:val="20"/>
              </w:rPr>
            </w:pPr>
            <w:r w:rsidRPr="00EF7EDD">
              <w:rPr>
                <w:sz w:val="20"/>
                <w:szCs w:val="20"/>
              </w:rPr>
              <w:t>30%</w:t>
            </w:r>
          </w:p>
        </w:tc>
      </w:tr>
      <w:tr w:rsidR="002A09FC" w:rsidRPr="00EF7EDD" w14:paraId="66A0872D" w14:textId="77777777" w:rsidTr="00EF7EDD">
        <w:trPr>
          <w:trHeight w:val="456"/>
        </w:trPr>
        <w:tc>
          <w:tcPr>
            <w:tcW w:w="4111" w:type="dxa"/>
            <w:vAlign w:val="center"/>
          </w:tcPr>
          <w:p w14:paraId="464E0092" w14:textId="50DEB043" w:rsidR="002A09FC" w:rsidRPr="00EF7EDD" w:rsidRDefault="002A09FC" w:rsidP="00513F57">
            <w:pPr>
              <w:spacing w:before="60" w:after="60"/>
              <w:ind w:left="34"/>
              <w:jc w:val="left"/>
              <w:rPr>
                <w:sz w:val="20"/>
                <w:szCs w:val="20"/>
              </w:rPr>
            </w:pPr>
            <w:r w:rsidRPr="00EF7EDD">
              <w:rPr>
                <w:sz w:val="20"/>
                <w:szCs w:val="20"/>
              </w:rPr>
              <w:t>1Ph N</w:t>
            </w:r>
            <w:r w:rsidR="00513F57">
              <w:rPr>
                <w:sz w:val="20"/>
                <w:szCs w:val="20"/>
              </w:rPr>
              <w:t xml:space="preserve">on </w:t>
            </w:r>
            <w:r w:rsidRPr="00EF7EDD">
              <w:rPr>
                <w:sz w:val="20"/>
                <w:szCs w:val="20"/>
              </w:rPr>
              <w:t xml:space="preserve">ducted </w:t>
            </w:r>
            <w:r w:rsidR="00513F57">
              <w:rPr>
                <w:sz w:val="20"/>
                <w:szCs w:val="20"/>
              </w:rPr>
              <w:t>u</w:t>
            </w:r>
            <w:r w:rsidRPr="00EF7EDD">
              <w:rPr>
                <w:sz w:val="20"/>
                <w:szCs w:val="20"/>
              </w:rPr>
              <w:t xml:space="preserve">nitary&gt;10kW </w:t>
            </w:r>
          </w:p>
        </w:tc>
        <w:tc>
          <w:tcPr>
            <w:tcW w:w="2353" w:type="dxa"/>
            <w:vAlign w:val="center"/>
          </w:tcPr>
          <w:p w14:paraId="3978B40F" w14:textId="4111EBB3" w:rsidR="002A09FC" w:rsidRPr="00EF7EDD" w:rsidRDefault="002A09FC" w:rsidP="00EF7EDD">
            <w:pPr>
              <w:spacing w:before="60" w:after="60"/>
              <w:jc w:val="center"/>
              <w:rPr>
                <w:sz w:val="20"/>
                <w:szCs w:val="20"/>
              </w:rPr>
            </w:pPr>
            <w:r w:rsidRPr="00EF7EDD">
              <w:rPr>
                <w:sz w:val="20"/>
                <w:szCs w:val="20"/>
              </w:rPr>
              <w:t>100%</w:t>
            </w:r>
          </w:p>
        </w:tc>
      </w:tr>
      <w:tr w:rsidR="002A09FC" w:rsidRPr="00EF7EDD" w14:paraId="2888D8D0" w14:textId="77777777" w:rsidTr="00EF7EDD">
        <w:trPr>
          <w:trHeight w:val="456"/>
        </w:trPr>
        <w:tc>
          <w:tcPr>
            <w:tcW w:w="4111" w:type="dxa"/>
            <w:vAlign w:val="center"/>
          </w:tcPr>
          <w:p w14:paraId="376EC07C" w14:textId="678C04D2" w:rsidR="002A09FC" w:rsidRPr="00EF7EDD" w:rsidRDefault="002A09FC" w:rsidP="00EF7EDD">
            <w:pPr>
              <w:spacing w:before="60" w:after="60"/>
              <w:ind w:left="34"/>
              <w:jc w:val="left"/>
              <w:rPr>
                <w:sz w:val="20"/>
                <w:szCs w:val="20"/>
              </w:rPr>
            </w:pPr>
            <w:r w:rsidRPr="00EF7EDD">
              <w:rPr>
                <w:sz w:val="20"/>
                <w:szCs w:val="20"/>
              </w:rPr>
              <w:t>Portable AC 0-10kW</w:t>
            </w:r>
          </w:p>
        </w:tc>
        <w:tc>
          <w:tcPr>
            <w:tcW w:w="2353" w:type="dxa"/>
            <w:vAlign w:val="center"/>
          </w:tcPr>
          <w:p w14:paraId="2EDB278B" w14:textId="01A1E17B" w:rsidR="002A09FC" w:rsidRPr="00EF7EDD" w:rsidRDefault="002A09FC" w:rsidP="00EF7EDD">
            <w:pPr>
              <w:spacing w:before="60" w:after="60"/>
              <w:jc w:val="center"/>
              <w:rPr>
                <w:sz w:val="20"/>
                <w:szCs w:val="20"/>
              </w:rPr>
            </w:pPr>
            <w:r w:rsidRPr="00EF7EDD">
              <w:rPr>
                <w:sz w:val="20"/>
                <w:szCs w:val="20"/>
              </w:rPr>
              <w:t>5%</w:t>
            </w:r>
          </w:p>
        </w:tc>
      </w:tr>
      <w:tr w:rsidR="002A09FC" w:rsidRPr="00EF7EDD" w14:paraId="1D7078DD" w14:textId="77777777" w:rsidTr="00EF7EDD">
        <w:trPr>
          <w:trHeight w:val="456"/>
        </w:trPr>
        <w:tc>
          <w:tcPr>
            <w:tcW w:w="4111" w:type="dxa"/>
            <w:vAlign w:val="center"/>
          </w:tcPr>
          <w:p w14:paraId="24F26AD2" w14:textId="1223D66F" w:rsidR="002A09FC" w:rsidRPr="00EF7EDD" w:rsidRDefault="002A09FC" w:rsidP="00513F57">
            <w:pPr>
              <w:spacing w:before="60" w:after="60"/>
              <w:ind w:left="34"/>
              <w:jc w:val="left"/>
              <w:rPr>
                <w:sz w:val="20"/>
                <w:szCs w:val="20"/>
              </w:rPr>
            </w:pPr>
            <w:r w:rsidRPr="00EF7EDD">
              <w:rPr>
                <w:sz w:val="20"/>
                <w:szCs w:val="20"/>
              </w:rPr>
              <w:t>3Ph N</w:t>
            </w:r>
            <w:r w:rsidR="00513F57">
              <w:rPr>
                <w:sz w:val="20"/>
                <w:szCs w:val="20"/>
              </w:rPr>
              <w:t>on d</w:t>
            </w:r>
            <w:r w:rsidRPr="00EF7EDD">
              <w:rPr>
                <w:sz w:val="20"/>
                <w:szCs w:val="20"/>
              </w:rPr>
              <w:t xml:space="preserve">ucted 20-40kW </w:t>
            </w:r>
          </w:p>
        </w:tc>
        <w:tc>
          <w:tcPr>
            <w:tcW w:w="2353" w:type="dxa"/>
            <w:vAlign w:val="center"/>
          </w:tcPr>
          <w:p w14:paraId="02F8CA2B" w14:textId="3F2373E1" w:rsidR="002A09FC" w:rsidRPr="00EF7EDD" w:rsidRDefault="002A09FC" w:rsidP="00EF7EDD">
            <w:pPr>
              <w:spacing w:before="60" w:after="60"/>
              <w:jc w:val="center"/>
              <w:rPr>
                <w:sz w:val="20"/>
                <w:szCs w:val="20"/>
              </w:rPr>
            </w:pPr>
            <w:r w:rsidRPr="00EF7EDD">
              <w:rPr>
                <w:sz w:val="20"/>
                <w:szCs w:val="20"/>
              </w:rPr>
              <w:t>100%</w:t>
            </w:r>
          </w:p>
        </w:tc>
      </w:tr>
      <w:tr w:rsidR="002A09FC" w:rsidRPr="00EF7EDD" w14:paraId="69555902" w14:textId="77777777" w:rsidTr="00EF7EDD">
        <w:trPr>
          <w:trHeight w:val="456"/>
        </w:trPr>
        <w:tc>
          <w:tcPr>
            <w:tcW w:w="4111" w:type="dxa"/>
            <w:vAlign w:val="center"/>
          </w:tcPr>
          <w:p w14:paraId="7ED97453" w14:textId="2D4A68DE" w:rsidR="002A09FC" w:rsidRPr="00EF7EDD" w:rsidRDefault="002A09FC" w:rsidP="00513F57">
            <w:pPr>
              <w:spacing w:before="60" w:after="60"/>
              <w:ind w:left="34"/>
              <w:jc w:val="left"/>
              <w:rPr>
                <w:sz w:val="20"/>
                <w:szCs w:val="20"/>
              </w:rPr>
            </w:pPr>
            <w:r w:rsidRPr="00EF7EDD">
              <w:rPr>
                <w:sz w:val="20"/>
                <w:szCs w:val="20"/>
              </w:rPr>
              <w:t>3Ph N</w:t>
            </w:r>
            <w:r w:rsidR="00513F57">
              <w:rPr>
                <w:sz w:val="20"/>
                <w:szCs w:val="20"/>
              </w:rPr>
              <w:t>on d</w:t>
            </w:r>
            <w:r w:rsidRPr="00EF7EDD">
              <w:rPr>
                <w:sz w:val="20"/>
                <w:szCs w:val="20"/>
              </w:rPr>
              <w:t xml:space="preserve">ucted &gt;40kW </w:t>
            </w:r>
          </w:p>
        </w:tc>
        <w:tc>
          <w:tcPr>
            <w:tcW w:w="2353" w:type="dxa"/>
            <w:vAlign w:val="center"/>
          </w:tcPr>
          <w:p w14:paraId="77509447" w14:textId="6DC93489" w:rsidR="002A09FC" w:rsidRPr="00EF7EDD" w:rsidRDefault="002A09FC" w:rsidP="00EF7EDD">
            <w:pPr>
              <w:spacing w:before="60" w:after="60"/>
              <w:jc w:val="center"/>
              <w:rPr>
                <w:sz w:val="20"/>
                <w:szCs w:val="20"/>
              </w:rPr>
            </w:pPr>
            <w:r w:rsidRPr="00EF7EDD">
              <w:rPr>
                <w:sz w:val="20"/>
                <w:szCs w:val="20"/>
              </w:rPr>
              <w:t>100%</w:t>
            </w:r>
          </w:p>
        </w:tc>
      </w:tr>
      <w:tr w:rsidR="002A09FC" w:rsidRPr="00EF7EDD" w14:paraId="2FAFFBF9" w14:textId="77777777" w:rsidTr="00EF7EDD">
        <w:trPr>
          <w:trHeight w:val="456"/>
        </w:trPr>
        <w:tc>
          <w:tcPr>
            <w:tcW w:w="4111" w:type="dxa"/>
            <w:vAlign w:val="center"/>
          </w:tcPr>
          <w:p w14:paraId="133AB6FB" w14:textId="5AF14BAD" w:rsidR="002A09FC" w:rsidRPr="00EF7EDD" w:rsidRDefault="002A09FC" w:rsidP="00EF7EDD">
            <w:pPr>
              <w:spacing w:before="60" w:after="60"/>
              <w:ind w:left="34"/>
              <w:jc w:val="left"/>
              <w:rPr>
                <w:sz w:val="20"/>
                <w:szCs w:val="20"/>
              </w:rPr>
            </w:pPr>
            <w:r w:rsidRPr="00EF7EDD">
              <w:rPr>
                <w:sz w:val="20"/>
                <w:szCs w:val="20"/>
              </w:rPr>
              <w:t>Chillers</w:t>
            </w:r>
          </w:p>
        </w:tc>
        <w:tc>
          <w:tcPr>
            <w:tcW w:w="2353" w:type="dxa"/>
            <w:vAlign w:val="center"/>
          </w:tcPr>
          <w:p w14:paraId="4E8A6E22" w14:textId="75F118DE" w:rsidR="002A09FC" w:rsidRPr="00EF7EDD" w:rsidRDefault="002A09FC" w:rsidP="00EF7EDD">
            <w:pPr>
              <w:spacing w:before="60" w:after="60"/>
              <w:jc w:val="center"/>
              <w:rPr>
                <w:sz w:val="20"/>
                <w:szCs w:val="20"/>
              </w:rPr>
            </w:pPr>
            <w:r w:rsidRPr="00EF7EDD">
              <w:rPr>
                <w:sz w:val="20"/>
                <w:szCs w:val="20"/>
              </w:rPr>
              <w:t>100%</w:t>
            </w:r>
          </w:p>
        </w:tc>
      </w:tr>
      <w:tr w:rsidR="002A09FC" w:rsidRPr="00EF7EDD" w14:paraId="4518C216" w14:textId="77777777" w:rsidTr="00EF7EDD">
        <w:trPr>
          <w:trHeight w:val="456"/>
        </w:trPr>
        <w:tc>
          <w:tcPr>
            <w:tcW w:w="4111" w:type="dxa"/>
            <w:vAlign w:val="center"/>
          </w:tcPr>
          <w:p w14:paraId="0D624F56" w14:textId="38E102AF" w:rsidR="002A09FC" w:rsidRPr="00EF7EDD" w:rsidRDefault="002A09FC" w:rsidP="00EF7EDD">
            <w:pPr>
              <w:spacing w:before="60" w:after="60"/>
              <w:ind w:left="34"/>
              <w:jc w:val="left"/>
              <w:rPr>
                <w:sz w:val="20"/>
                <w:szCs w:val="20"/>
              </w:rPr>
            </w:pPr>
            <w:r w:rsidRPr="00EF7EDD">
              <w:rPr>
                <w:sz w:val="20"/>
                <w:szCs w:val="20"/>
              </w:rPr>
              <w:t>Multi Splits – Res</w:t>
            </w:r>
            <w:r w:rsidR="00EF7EDD">
              <w:rPr>
                <w:sz w:val="20"/>
                <w:szCs w:val="20"/>
              </w:rPr>
              <w:t>idential</w:t>
            </w:r>
          </w:p>
        </w:tc>
        <w:tc>
          <w:tcPr>
            <w:tcW w:w="2353" w:type="dxa"/>
            <w:vAlign w:val="center"/>
          </w:tcPr>
          <w:p w14:paraId="0F8A3B7C" w14:textId="55FED838" w:rsidR="002A09FC" w:rsidRPr="00EF7EDD" w:rsidRDefault="002A09FC" w:rsidP="00EF7EDD">
            <w:pPr>
              <w:spacing w:before="60" w:after="60"/>
              <w:jc w:val="center"/>
              <w:rPr>
                <w:sz w:val="20"/>
                <w:szCs w:val="20"/>
              </w:rPr>
            </w:pPr>
            <w:r w:rsidRPr="00EF7EDD">
              <w:rPr>
                <w:sz w:val="20"/>
                <w:szCs w:val="20"/>
              </w:rPr>
              <w:t>0%</w:t>
            </w:r>
          </w:p>
        </w:tc>
      </w:tr>
      <w:tr w:rsidR="002A09FC" w:rsidRPr="00EF7EDD" w14:paraId="5B83ADCE" w14:textId="77777777" w:rsidTr="00EF7EDD">
        <w:trPr>
          <w:trHeight w:val="456"/>
        </w:trPr>
        <w:tc>
          <w:tcPr>
            <w:tcW w:w="4111" w:type="dxa"/>
            <w:vAlign w:val="center"/>
          </w:tcPr>
          <w:p w14:paraId="61DAAF1D" w14:textId="2B30C0FA" w:rsidR="002A09FC" w:rsidRPr="00EF7EDD" w:rsidRDefault="002A09FC" w:rsidP="00EF7EDD">
            <w:pPr>
              <w:spacing w:before="60" w:after="60"/>
              <w:ind w:left="34"/>
              <w:jc w:val="left"/>
              <w:rPr>
                <w:sz w:val="20"/>
                <w:szCs w:val="20"/>
              </w:rPr>
            </w:pPr>
            <w:r w:rsidRPr="00EF7EDD">
              <w:rPr>
                <w:sz w:val="20"/>
                <w:szCs w:val="20"/>
              </w:rPr>
              <w:t>Multi Splits - Com</w:t>
            </w:r>
            <w:r w:rsidR="00EF7EDD">
              <w:rPr>
                <w:sz w:val="20"/>
                <w:szCs w:val="20"/>
              </w:rPr>
              <w:t>mercial</w:t>
            </w:r>
          </w:p>
        </w:tc>
        <w:tc>
          <w:tcPr>
            <w:tcW w:w="2353" w:type="dxa"/>
            <w:vAlign w:val="center"/>
          </w:tcPr>
          <w:p w14:paraId="1D7CE5AC" w14:textId="6EC7F5A1" w:rsidR="002A09FC" w:rsidRPr="00EF7EDD" w:rsidRDefault="002A09FC" w:rsidP="00EF7EDD">
            <w:pPr>
              <w:spacing w:before="60" w:after="60"/>
              <w:jc w:val="center"/>
              <w:rPr>
                <w:sz w:val="20"/>
                <w:szCs w:val="20"/>
              </w:rPr>
            </w:pPr>
            <w:r w:rsidRPr="00EF7EDD">
              <w:rPr>
                <w:sz w:val="20"/>
                <w:szCs w:val="20"/>
              </w:rPr>
              <w:t>100%</w:t>
            </w:r>
          </w:p>
        </w:tc>
      </w:tr>
      <w:tr w:rsidR="002A09FC" w:rsidRPr="00EF7EDD" w14:paraId="6B65AA1C" w14:textId="77777777" w:rsidTr="00EF7EDD">
        <w:trPr>
          <w:trHeight w:val="456"/>
        </w:trPr>
        <w:tc>
          <w:tcPr>
            <w:tcW w:w="4111" w:type="dxa"/>
            <w:vAlign w:val="center"/>
          </w:tcPr>
          <w:p w14:paraId="65AFAC1F" w14:textId="08270166" w:rsidR="002A09FC" w:rsidRPr="00EF7EDD" w:rsidRDefault="002A09FC" w:rsidP="00EF7EDD">
            <w:pPr>
              <w:spacing w:before="60" w:after="60"/>
              <w:ind w:left="34"/>
              <w:jc w:val="left"/>
              <w:rPr>
                <w:sz w:val="20"/>
                <w:szCs w:val="20"/>
              </w:rPr>
            </w:pPr>
            <w:r w:rsidRPr="00EF7EDD">
              <w:rPr>
                <w:sz w:val="20"/>
                <w:szCs w:val="20"/>
              </w:rPr>
              <w:t>Multi Splits</w:t>
            </w:r>
          </w:p>
        </w:tc>
        <w:tc>
          <w:tcPr>
            <w:tcW w:w="2353" w:type="dxa"/>
            <w:vAlign w:val="center"/>
          </w:tcPr>
          <w:p w14:paraId="1F6B1DDF" w14:textId="5B6D6CB6" w:rsidR="002A09FC" w:rsidRPr="00EF7EDD" w:rsidRDefault="002A09FC" w:rsidP="00EF7EDD">
            <w:pPr>
              <w:spacing w:before="60" w:after="60"/>
              <w:jc w:val="center"/>
              <w:rPr>
                <w:sz w:val="20"/>
                <w:szCs w:val="20"/>
              </w:rPr>
            </w:pPr>
            <w:r w:rsidRPr="00EF7EDD">
              <w:rPr>
                <w:sz w:val="20"/>
                <w:szCs w:val="20"/>
              </w:rPr>
              <w:t>53%</w:t>
            </w:r>
          </w:p>
        </w:tc>
      </w:tr>
      <w:tr w:rsidR="002A09FC" w:rsidRPr="00EF7EDD" w14:paraId="357C0003" w14:textId="77777777" w:rsidTr="00EF7EDD">
        <w:trPr>
          <w:trHeight w:val="456"/>
        </w:trPr>
        <w:tc>
          <w:tcPr>
            <w:tcW w:w="4111" w:type="dxa"/>
            <w:vAlign w:val="center"/>
          </w:tcPr>
          <w:p w14:paraId="363BD38E" w14:textId="2177CBAE" w:rsidR="002A09FC" w:rsidRPr="00EF7EDD" w:rsidRDefault="002A09FC" w:rsidP="00EF7EDD">
            <w:pPr>
              <w:spacing w:before="60" w:after="60"/>
              <w:ind w:left="34"/>
              <w:jc w:val="left"/>
              <w:rPr>
                <w:sz w:val="20"/>
                <w:szCs w:val="20"/>
              </w:rPr>
            </w:pPr>
            <w:r w:rsidRPr="00EF7EDD">
              <w:rPr>
                <w:sz w:val="20"/>
                <w:szCs w:val="20"/>
              </w:rPr>
              <w:t>C</w:t>
            </w:r>
            <w:r w:rsidR="00EF7EDD">
              <w:rPr>
                <w:sz w:val="20"/>
                <w:szCs w:val="20"/>
              </w:rPr>
              <w:t xml:space="preserve">lose control air </w:t>
            </w:r>
            <w:r w:rsidR="00513F57">
              <w:rPr>
                <w:sz w:val="20"/>
                <w:szCs w:val="20"/>
              </w:rPr>
              <w:t>conditioning</w:t>
            </w:r>
          </w:p>
        </w:tc>
        <w:tc>
          <w:tcPr>
            <w:tcW w:w="2353" w:type="dxa"/>
            <w:vAlign w:val="center"/>
          </w:tcPr>
          <w:p w14:paraId="302FD145" w14:textId="14AB24AB" w:rsidR="002A09FC" w:rsidRPr="00EF7EDD" w:rsidRDefault="002A09FC" w:rsidP="00EF7EDD">
            <w:pPr>
              <w:spacing w:before="60" w:after="60"/>
              <w:jc w:val="center"/>
              <w:rPr>
                <w:sz w:val="20"/>
                <w:szCs w:val="20"/>
              </w:rPr>
            </w:pPr>
            <w:r w:rsidRPr="00EF7EDD">
              <w:rPr>
                <w:sz w:val="20"/>
                <w:szCs w:val="20"/>
              </w:rPr>
              <w:t>100%</w:t>
            </w:r>
          </w:p>
        </w:tc>
      </w:tr>
      <w:tr w:rsidR="002A09FC" w:rsidRPr="00EF7EDD" w14:paraId="2EC61534" w14:textId="77777777" w:rsidTr="00EF7EDD">
        <w:trPr>
          <w:trHeight w:val="456"/>
        </w:trPr>
        <w:tc>
          <w:tcPr>
            <w:tcW w:w="4111" w:type="dxa"/>
            <w:vAlign w:val="center"/>
          </w:tcPr>
          <w:p w14:paraId="13986905" w14:textId="19777D32" w:rsidR="002A09FC" w:rsidRPr="00EF7EDD" w:rsidRDefault="002A09FC" w:rsidP="00EF7EDD">
            <w:pPr>
              <w:spacing w:before="60" w:after="60"/>
              <w:ind w:left="34"/>
              <w:jc w:val="left"/>
              <w:rPr>
                <w:sz w:val="20"/>
                <w:szCs w:val="20"/>
              </w:rPr>
            </w:pPr>
            <w:r w:rsidRPr="00EF7EDD">
              <w:rPr>
                <w:sz w:val="20"/>
                <w:szCs w:val="20"/>
              </w:rPr>
              <w:t>HW heat pump: commercial</w:t>
            </w:r>
          </w:p>
        </w:tc>
        <w:tc>
          <w:tcPr>
            <w:tcW w:w="2353" w:type="dxa"/>
            <w:vAlign w:val="center"/>
          </w:tcPr>
          <w:p w14:paraId="5901A28E" w14:textId="6AA76E11" w:rsidR="002A09FC" w:rsidRPr="00EF7EDD" w:rsidRDefault="002A09FC" w:rsidP="00EF7EDD">
            <w:pPr>
              <w:spacing w:before="60" w:after="60"/>
              <w:jc w:val="center"/>
              <w:rPr>
                <w:sz w:val="20"/>
                <w:szCs w:val="20"/>
              </w:rPr>
            </w:pPr>
            <w:r w:rsidRPr="00EF7EDD">
              <w:rPr>
                <w:sz w:val="20"/>
                <w:szCs w:val="20"/>
              </w:rPr>
              <w:t>100%</w:t>
            </w:r>
          </w:p>
        </w:tc>
      </w:tr>
    </w:tbl>
    <w:p w14:paraId="21E9372E" w14:textId="09FCEA57" w:rsidR="002A09FC" w:rsidRPr="00495ADF" w:rsidRDefault="002A09FC" w:rsidP="00D05A74">
      <w:pPr>
        <w:pStyle w:val="ListParagraph"/>
        <w:numPr>
          <w:ilvl w:val="0"/>
          <w:numId w:val="11"/>
        </w:numPr>
        <w:spacing w:before="120" w:after="0" w:line="240" w:lineRule="auto"/>
        <w:contextualSpacing w:val="0"/>
        <w:jc w:val="both"/>
        <w:rPr>
          <w:rFonts w:ascii="Times New Roman" w:hAnsi="Times New Roman"/>
        </w:rPr>
      </w:pPr>
      <w:r>
        <w:rPr>
          <w:rFonts w:ascii="Times New Roman" w:hAnsi="Times New Roman"/>
        </w:rPr>
        <w:t>The proportion of commercial use is used to dissect residential and commercial use to calculate overall energy spend as they have different tariffs.</w:t>
      </w:r>
    </w:p>
    <w:p w14:paraId="417CDDBA" w14:textId="77777777" w:rsidR="00491313" w:rsidRDefault="00491313">
      <w:pPr>
        <w:spacing w:before="0"/>
        <w:jc w:val="left"/>
      </w:pPr>
    </w:p>
    <w:p w14:paraId="176F3F46" w14:textId="77777777" w:rsidR="00905F5E" w:rsidRDefault="00905F5E">
      <w:pPr>
        <w:spacing w:before="0"/>
        <w:jc w:val="left"/>
        <w:rPr>
          <w:rFonts w:asciiTheme="majorHAnsi" w:hAnsiTheme="majorHAnsi"/>
          <w:b/>
          <w:sz w:val="32"/>
          <w:szCs w:val="32"/>
        </w:rPr>
      </w:pPr>
      <w:r>
        <w:rPr>
          <w:rFonts w:asciiTheme="majorHAnsi" w:hAnsiTheme="majorHAnsi"/>
          <w:b/>
          <w:sz w:val="32"/>
          <w:szCs w:val="32"/>
        </w:rPr>
        <w:br w:type="page"/>
      </w:r>
    </w:p>
    <w:p w14:paraId="48C5157C" w14:textId="5A80BA13" w:rsidR="00905F5E" w:rsidRPr="00905F5E" w:rsidRDefault="00905F5E">
      <w:pPr>
        <w:spacing w:before="0"/>
        <w:jc w:val="left"/>
        <w:rPr>
          <w:rFonts w:asciiTheme="majorHAnsi" w:hAnsiTheme="majorHAnsi"/>
          <w:b/>
          <w:sz w:val="32"/>
          <w:szCs w:val="32"/>
        </w:rPr>
      </w:pPr>
      <w:r w:rsidRPr="00905F5E">
        <w:rPr>
          <w:rFonts w:asciiTheme="majorHAnsi" w:hAnsiTheme="majorHAnsi"/>
          <w:b/>
          <w:sz w:val="32"/>
          <w:szCs w:val="32"/>
        </w:rPr>
        <w:lastRenderedPageBreak/>
        <w:t>Appendix C: End-use applications for RAC systems</w:t>
      </w:r>
    </w:p>
    <w:p w14:paraId="0E9C7F54" w14:textId="1FAB6A2C" w:rsidR="00A52787" w:rsidRDefault="00905F5E" w:rsidP="00E73EBF">
      <w:pPr>
        <w:jc w:val="left"/>
      </w:pPr>
      <w:r>
        <w:t xml:space="preserve">The following list is a representative list of all of the applications where RAC systems are found across the </w:t>
      </w:r>
      <w:r w:rsidR="00DA6F9E">
        <w:t xml:space="preserve">Australian </w:t>
      </w:r>
      <w:r>
        <w:t>economy</w:t>
      </w:r>
      <w:r w:rsidR="00E73EBF">
        <w:t xml:space="preserve"> as opposed to the various product and equipment categories </w:t>
      </w:r>
      <w:r w:rsidR="00DA6F9E">
        <w:t xml:space="preserve">captured </w:t>
      </w:r>
      <w:r w:rsidR="00E73EBF">
        <w:t>i</w:t>
      </w:r>
      <w:r w:rsidR="00DA6F9E">
        <w:t>n this study.</w:t>
      </w:r>
      <w:r w:rsidR="00E73EBF">
        <w:t xml:space="preserve"> </w:t>
      </w:r>
    </w:p>
    <w:p w14:paraId="05236729" w14:textId="17973E77" w:rsidR="00975F99" w:rsidRPr="00975F99" w:rsidRDefault="00975F99" w:rsidP="00975F99">
      <w:pPr>
        <w:spacing w:before="240"/>
        <w:rPr>
          <w:rFonts w:asciiTheme="majorHAnsi" w:hAnsiTheme="majorHAnsi"/>
          <w:b/>
          <w:sz w:val="24"/>
        </w:rPr>
      </w:pPr>
      <w:r w:rsidRPr="00975F99">
        <w:rPr>
          <w:rFonts w:asciiTheme="majorHAnsi" w:hAnsiTheme="majorHAnsi"/>
          <w:b/>
          <w:sz w:val="24"/>
        </w:rPr>
        <w:t>Stationary air conditioning systems</w:t>
      </w:r>
    </w:p>
    <w:p w14:paraId="3A394B63" w14:textId="44C330D3" w:rsidR="00975F99" w:rsidRDefault="00975F99" w:rsidP="00975F99">
      <w:pPr>
        <w:jc w:val="left"/>
      </w:pPr>
      <w:r>
        <w:t>Non-residential buildings ventilation and air conditioning systems:</w:t>
      </w:r>
    </w:p>
    <w:p w14:paraId="430DF759"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Commercial and government office accommodation</w:t>
      </w:r>
    </w:p>
    <w:p w14:paraId="7E290EF1" w14:textId="1273A485"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Education (all generally also including some larger format refrigeration) such as schools, universities and TAFEs</w:t>
      </w:r>
    </w:p>
    <w:p w14:paraId="082F1D21"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Community buildings</w:t>
      </w:r>
    </w:p>
    <w:p w14:paraId="127D2BEB"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Hospitals and health facilities including mortuaries</w:t>
      </w:r>
    </w:p>
    <w:p w14:paraId="670AA14C"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Hotels and accommodation</w:t>
      </w:r>
    </w:p>
    <w:p w14:paraId="1DDAD307"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Industrial</w:t>
      </w:r>
    </w:p>
    <w:p w14:paraId="6EDE7507"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Convention centres, retail malls and food courts</w:t>
      </w:r>
    </w:p>
    <w:p w14:paraId="673C844D"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Entertainment, restaurants, swimming pools, gyms</w:t>
      </w:r>
    </w:p>
    <w:p w14:paraId="17AC7A6E" w14:textId="0F34D683" w:rsidR="00975F99" w:rsidRPr="00975F99" w:rsidRDefault="00975F99" w:rsidP="00975F99">
      <w:r w:rsidRPr="00975F99">
        <w:t>Residential/domestic technology</w:t>
      </w:r>
      <w:r>
        <w:t>:</w:t>
      </w:r>
    </w:p>
    <w:p w14:paraId="4EE19C7C" w14:textId="77777777" w:rsidR="00975F99" w:rsidRPr="00E73EBF" w:rsidRDefault="00975F99" w:rsidP="00D05A74">
      <w:pPr>
        <w:pStyle w:val="ListParagraph"/>
        <w:numPr>
          <w:ilvl w:val="0"/>
          <w:numId w:val="12"/>
        </w:numPr>
        <w:spacing w:before="120" w:after="0" w:line="240" w:lineRule="auto"/>
        <w:contextualSpacing w:val="0"/>
        <w:rPr>
          <w:rFonts w:ascii="Times New Roman" w:hAnsi="Times New Roman"/>
        </w:rPr>
      </w:pPr>
      <w:r w:rsidRPr="00E73EBF">
        <w:rPr>
          <w:rFonts w:ascii="Times New Roman" w:hAnsi="Times New Roman"/>
        </w:rPr>
        <w:t>High density multiple dwelling</w:t>
      </w:r>
    </w:p>
    <w:p w14:paraId="403D28AC"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Semi-detached and Houses</w:t>
      </w:r>
    </w:p>
    <w:p w14:paraId="054E3058"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Domestic refrigeration</w:t>
      </w:r>
    </w:p>
    <w:p w14:paraId="23A15BFD" w14:textId="479261B7" w:rsidR="00975F99" w:rsidRPr="00975F99" w:rsidRDefault="00975F99" w:rsidP="00975F99">
      <w:r w:rsidRPr="00975F99">
        <w:t>Close Control facilities</w:t>
      </w:r>
      <w:r w:rsidR="003F628A">
        <w:t>:</w:t>
      </w:r>
    </w:p>
    <w:p w14:paraId="0052BF59"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Computing, server farms and UPS</w:t>
      </w:r>
    </w:p>
    <w:p w14:paraId="018362EC"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Telecommunications switching, PABX and UPS</w:t>
      </w:r>
    </w:p>
    <w:p w14:paraId="2876A3F2"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Museums, galleries, archives and specialised storage</w:t>
      </w:r>
    </w:p>
    <w:p w14:paraId="6A7C4334"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Pharmaceutical</w:t>
      </w:r>
    </w:p>
    <w:p w14:paraId="3C2B2192" w14:textId="4E7A3640"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 xml:space="preserve">Labs </w:t>
      </w:r>
      <w:r w:rsidR="00E73EBF">
        <w:rPr>
          <w:rFonts w:ascii="Times New Roman" w:hAnsi="Times New Roman"/>
        </w:rPr>
        <w:t xml:space="preserve">and </w:t>
      </w:r>
      <w:r w:rsidRPr="00975F99">
        <w:rPr>
          <w:rFonts w:ascii="Times New Roman" w:hAnsi="Times New Roman"/>
        </w:rPr>
        <w:t>testing</w:t>
      </w:r>
    </w:p>
    <w:p w14:paraId="4FD9247B" w14:textId="4F3601ED" w:rsidR="00975F99" w:rsidRPr="00975F99" w:rsidRDefault="00975F99" w:rsidP="00975F99">
      <w:pPr>
        <w:spacing w:before="240"/>
        <w:rPr>
          <w:rFonts w:asciiTheme="majorHAnsi" w:hAnsiTheme="majorHAnsi"/>
          <w:b/>
          <w:sz w:val="24"/>
        </w:rPr>
      </w:pPr>
      <w:r w:rsidRPr="00975F99">
        <w:rPr>
          <w:rFonts w:asciiTheme="majorHAnsi" w:hAnsiTheme="majorHAnsi"/>
          <w:b/>
          <w:sz w:val="24"/>
        </w:rPr>
        <w:t xml:space="preserve">Mobile </w:t>
      </w:r>
      <w:r w:rsidR="003F628A">
        <w:rPr>
          <w:rFonts w:asciiTheme="majorHAnsi" w:hAnsiTheme="majorHAnsi"/>
          <w:b/>
          <w:sz w:val="24"/>
        </w:rPr>
        <w:t>a</w:t>
      </w:r>
      <w:r w:rsidRPr="00975F99">
        <w:rPr>
          <w:rFonts w:asciiTheme="majorHAnsi" w:hAnsiTheme="majorHAnsi"/>
          <w:b/>
          <w:sz w:val="24"/>
        </w:rPr>
        <w:t xml:space="preserve">ir conditioning </w:t>
      </w:r>
      <w:r w:rsidR="003F628A">
        <w:rPr>
          <w:rFonts w:asciiTheme="majorHAnsi" w:hAnsiTheme="majorHAnsi"/>
          <w:b/>
          <w:sz w:val="24"/>
        </w:rPr>
        <w:t>s</w:t>
      </w:r>
      <w:r w:rsidRPr="00975F99">
        <w:rPr>
          <w:rFonts w:asciiTheme="majorHAnsi" w:hAnsiTheme="majorHAnsi"/>
          <w:b/>
          <w:sz w:val="24"/>
        </w:rPr>
        <w:t>ystems</w:t>
      </w:r>
    </w:p>
    <w:p w14:paraId="585974A6" w14:textId="65F4BE9B" w:rsidR="00975F99" w:rsidRDefault="00975F99" w:rsidP="00975F99">
      <w:r>
        <w:t xml:space="preserve">Air conditioned and </w:t>
      </w:r>
      <w:r w:rsidR="003F628A">
        <w:t>r</w:t>
      </w:r>
      <w:r>
        <w:t xml:space="preserve">efrigerated </w:t>
      </w:r>
      <w:r w:rsidR="003F628A">
        <w:t>t</w:t>
      </w:r>
      <w:r>
        <w:t>ransport</w:t>
      </w:r>
      <w:r w:rsidR="003F628A">
        <w:t>:</w:t>
      </w:r>
    </w:p>
    <w:p w14:paraId="7ADCE8B5"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Passenger vehicle air conditioning</w:t>
      </w:r>
    </w:p>
    <w:p w14:paraId="07D850E2"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Light commercial</w:t>
      </w:r>
    </w:p>
    <w:p w14:paraId="10A39B96"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Buses</w:t>
      </w:r>
    </w:p>
    <w:p w14:paraId="6F9486C8"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Recreational vehicles, mobile homes and caravans</w:t>
      </w:r>
    </w:p>
    <w:p w14:paraId="300396D3"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Mining &amp; construction</w:t>
      </w:r>
    </w:p>
    <w:p w14:paraId="14BDF359"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Trains</w:t>
      </w:r>
    </w:p>
    <w:p w14:paraId="562D56E0" w14:textId="3866A6D0"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Agricultural (inc</w:t>
      </w:r>
      <w:r w:rsidR="00E73EBF">
        <w:rPr>
          <w:rFonts w:ascii="Times New Roman" w:hAnsi="Times New Roman"/>
        </w:rPr>
        <w:t>luding</w:t>
      </w:r>
      <w:r w:rsidRPr="00975F99">
        <w:rPr>
          <w:rFonts w:ascii="Times New Roman" w:hAnsi="Times New Roman"/>
        </w:rPr>
        <w:t xml:space="preserve"> tractors, </w:t>
      </w:r>
      <w:r w:rsidR="00E73EBF" w:rsidRPr="00975F99">
        <w:rPr>
          <w:rFonts w:ascii="Times New Roman" w:hAnsi="Times New Roman"/>
        </w:rPr>
        <w:t>harvesters</w:t>
      </w:r>
      <w:r w:rsidRPr="00975F99">
        <w:rPr>
          <w:rFonts w:ascii="Times New Roman" w:hAnsi="Times New Roman"/>
        </w:rPr>
        <w:t>)</w:t>
      </w:r>
    </w:p>
    <w:p w14:paraId="246ABC66" w14:textId="77777777"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Refrigerated trucks &amp; trailers (cold food chain)</w:t>
      </w:r>
    </w:p>
    <w:p w14:paraId="2DCA538C" w14:textId="6C850EB7" w:rsidR="00975F99" w:rsidRPr="003F628A" w:rsidRDefault="00975F99" w:rsidP="003F628A">
      <w:r w:rsidRPr="003F628A">
        <w:t>Aviation</w:t>
      </w:r>
      <w:r w:rsidR="003F628A">
        <w:t>:</w:t>
      </w:r>
    </w:p>
    <w:p w14:paraId="45F3E811" w14:textId="0B0DCAFB"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Commercial passenger airlines</w:t>
      </w:r>
    </w:p>
    <w:p w14:paraId="391AB595" w14:textId="08BE127D"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Military aviation</w:t>
      </w:r>
    </w:p>
    <w:p w14:paraId="50B4F410" w14:textId="3FE0FDB6"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lastRenderedPageBreak/>
        <w:t>Private and charter aircraft</w:t>
      </w:r>
    </w:p>
    <w:p w14:paraId="4903E8F9" w14:textId="1AAE525D" w:rsidR="00975F99" w:rsidRPr="003F628A" w:rsidRDefault="00975F99" w:rsidP="003F628A">
      <w:r w:rsidRPr="003F628A">
        <w:t xml:space="preserve">Maritime </w:t>
      </w:r>
      <w:r w:rsidR="003F628A">
        <w:t>s</w:t>
      </w:r>
      <w:r w:rsidRPr="003F628A">
        <w:t>ystems</w:t>
      </w:r>
      <w:r w:rsidR="003F628A">
        <w:t>:</w:t>
      </w:r>
    </w:p>
    <w:p w14:paraId="360D6629" w14:textId="437C296D"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Fishing fleet</w:t>
      </w:r>
    </w:p>
    <w:p w14:paraId="3B14F43C" w14:textId="5C15982F"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Pr>
          <w:rFonts w:ascii="Times New Roman" w:hAnsi="Times New Roman"/>
        </w:rPr>
        <w:t>S</w:t>
      </w:r>
      <w:r w:rsidRPr="00975F99">
        <w:rPr>
          <w:rFonts w:ascii="Times New Roman" w:hAnsi="Times New Roman"/>
        </w:rPr>
        <w:t>pecialised sea freight</w:t>
      </w:r>
    </w:p>
    <w:p w14:paraId="2DEA6442" w14:textId="5100D145"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Passenger liners</w:t>
      </w:r>
    </w:p>
    <w:p w14:paraId="1415163D" w14:textId="08251658"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975F99">
        <w:rPr>
          <w:rFonts w:ascii="Times New Roman" w:hAnsi="Times New Roman"/>
        </w:rPr>
        <w:t>Luxury boats and private charter</w:t>
      </w:r>
    </w:p>
    <w:p w14:paraId="0802E8F9" w14:textId="11D6EE09" w:rsidR="00975F99" w:rsidRDefault="00975F99" w:rsidP="00D05A74">
      <w:pPr>
        <w:pStyle w:val="ListParagraph"/>
        <w:numPr>
          <w:ilvl w:val="0"/>
          <w:numId w:val="12"/>
        </w:numPr>
        <w:spacing w:before="120" w:after="0" w:line="240" w:lineRule="auto"/>
        <w:contextualSpacing w:val="0"/>
      </w:pPr>
      <w:r w:rsidRPr="00975F99">
        <w:rPr>
          <w:rFonts w:ascii="Times New Roman" w:hAnsi="Times New Roman"/>
        </w:rPr>
        <w:t>Defence field systems and</w:t>
      </w:r>
      <w:r>
        <w:t xml:space="preserve"> emergency services</w:t>
      </w:r>
    </w:p>
    <w:p w14:paraId="6E5B58A5" w14:textId="4A3BD8CB" w:rsidR="00975F99" w:rsidRPr="00975F99" w:rsidRDefault="00B948FC" w:rsidP="00975F99">
      <w:pPr>
        <w:spacing w:before="240"/>
        <w:rPr>
          <w:rFonts w:asciiTheme="majorHAnsi" w:hAnsiTheme="majorHAnsi"/>
          <w:b/>
          <w:sz w:val="24"/>
        </w:rPr>
      </w:pPr>
      <w:r>
        <w:rPr>
          <w:rFonts w:asciiTheme="majorHAnsi" w:hAnsiTheme="majorHAnsi"/>
          <w:b/>
          <w:sz w:val="24"/>
        </w:rPr>
        <w:t>Refrigerated cold food chain</w:t>
      </w:r>
      <w:r w:rsidR="00975F99" w:rsidRPr="00975F99">
        <w:rPr>
          <w:rFonts w:asciiTheme="majorHAnsi" w:hAnsiTheme="majorHAnsi"/>
          <w:b/>
          <w:sz w:val="24"/>
        </w:rPr>
        <w:t>, Industrial and Process Systems</w:t>
      </w:r>
    </w:p>
    <w:p w14:paraId="2F728017" w14:textId="542F011F" w:rsidR="003F628A" w:rsidRPr="003F628A" w:rsidRDefault="003F628A" w:rsidP="003F628A">
      <w:r>
        <w:t>Commercial refrigeration:</w:t>
      </w:r>
    </w:p>
    <w:p w14:paraId="1FD9B71C" w14:textId="630FF206" w:rsidR="00975F99" w:rsidRPr="00975F99" w:rsidRDefault="00975F99" w:rsidP="00D05A74">
      <w:pPr>
        <w:pStyle w:val="ListParagraph"/>
        <w:numPr>
          <w:ilvl w:val="0"/>
          <w:numId w:val="12"/>
        </w:numPr>
        <w:spacing w:before="120" w:after="0" w:line="240" w:lineRule="auto"/>
        <w:contextualSpacing w:val="0"/>
        <w:rPr>
          <w:rFonts w:ascii="Times New Roman" w:hAnsi="Times New Roman"/>
        </w:rPr>
      </w:pPr>
      <w:r w:rsidRPr="00E73EBF">
        <w:rPr>
          <w:rFonts w:ascii="Times New Roman" w:hAnsi="Times New Roman"/>
        </w:rPr>
        <w:t>On farm cool rooms</w:t>
      </w:r>
      <w:r w:rsidR="003F628A" w:rsidRPr="00E73EBF">
        <w:rPr>
          <w:rFonts w:ascii="Times New Roman" w:hAnsi="Times New Roman"/>
        </w:rPr>
        <w:t xml:space="preserve"> (</w:t>
      </w:r>
      <w:r w:rsidR="003F628A" w:rsidRPr="003F628A">
        <w:rPr>
          <w:rFonts w:ascii="Times New Roman" w:hAnsi="Times New Roman"/>
        </w:rPr>
        <w:t>h</w:t>
      </w:r>
      <w:r w:rsidRPr="00975F99">
        <w:rPr>
          <w:rFonts w:ascii="Times New Roman" w:hAnsi="Times New Roman"/>
        </w:rPr>
        <w:t>orticulture</w:t>
      </w:r>
      <w:r w:rsidR="003F628A" w:rsidRPr="003F628A">
        <w:rPr>
          <w:rFonts w:ascii="Times New Roman" w:hAnsi="Times New Roman"/>
        </w:rPr>
        <w:t>, v</w:t>
      </w:r>
      <w:r w:rsidRPr="00975F99">
        <w:rPr>
          <w:rFonts w:ascii="Times New Roman" w:hAnsi="Times New Roman"/>
        </w:rPr>
        <w:t>egetables</w:t>
      </w:r>
      <w:r w:rsidR="003F628A" w:rsidRPr="003F628A">
        <w:rPr>
          <w:rFonts w:ascii="Times New Roman" w:hAnsi="Times New Roman"/>
        </w:rPr>
        <w:t>, w</w:t>
      </w:r>
      <w:r w:rsidRPr="00975F99">
        <w:rPr>
          <w:rFonts w:ascii="Times New Roman" w:hAnsi="Times New Roman"/>
        </w:rPr>
        <w:t xml:space="preserve">ine </w:t>
      </w:r>
      <w:r w:rsidR="003F628A" w:rsidRPr="003F628A">
        <w:rPr>
          <w:rFonts w:ascii="Times New Roman" w:hAnsi="Times New Roman"/>
        </w:rPr>
        <w:t>g</w:t>
      </w:r>
      <w:r w:rsidRPr="00975F99">
        <w:rPr>
          <w:rFonts w:ascii="Times New Roman" w:hAnsi="Times New Roman"/>
        </w:rPr>
        <w:t>rapes</w:t>
      </w:r>
      <w:r w:rsidR="003F628A" w:rsidRPr="003F628A">
        <w:rPr>
          <w:rFonts w:ascii="Times New Roman" w:hAnsi="Times New Roman"/>
        </w:rPr>
        <w:t>)</w:t>
      </w:r>
    </w:p>
    <w:p w14:paraId="7E526E82"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Aqua culture &amp; wild caught seafood</w:t>
      </w:r>
    </w:p>
    <w:p w14:paraId="3B665A0D"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Food transport and distribution centres</w:t>
      </w:r>
    </w:p>
    <w:p w14:paraId="6099830E" w14:textId="77777777" w:rsidR="00975F99" w:rsidRPr="00E73EBF" w:rsidRDefault="00975F99" w:rsidP="00D05A74">
      <w:pPr>
        <w:pStyle w:val="ListParagraph"/>
        <w:numPr>
          <w:ilvl w:val="0"/>
          <w:numId w:val="12"/>
        </w:numPr>
        <w:spacing w:before="120" w:after="0" w:line="240" w:lineRule="auto"/>
        <w:contextualSpacing w:val="0"/>
        <w:rPr>
          <w:rFonts w:ascii="Times New Roman" w:hAnsi="Times New Roman"/>
        </w:rPr>
      </w:pPr>
      <w:r w:rsidRPr="00E73EBF">
        <w:rPr>
          <w:rFonts w:ascii="Times New Roman" w:hAnsi="Times New Roman"/>
        </w:rPr>
        <w:t>Retail display</w:t>
      </w:r>
    </w:p>
    <w:p w14:paraId="7C45A439"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Supermarkets</w:t>
      </w:r>
    </w:p>
    <w:p w14:paraId="16BA0D61"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Pharmaceuticals</w:t>
      </w:r>
    </w:p>
    <w:p w14:paraId="7AA000A6" w14:textId="026D2008" w:rsidR="00975F99" w:rsidRPr="003F628A" w:rsidRDefault="00975F99" w:rsidP="003F628A">
      <w:r w:rsidRPr="003F628A">
        <w:t>Process chillers &amp; industrial refrigeration</w:t>
      </w:r>
      <w:r w:rsidR="003F628A">
        <w:t>:</w:t>
      </w:r>
    </w:p>
    <w:p w14:paraId="6745EC45"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Brewing and winemaking</w:t>
      </w:r>
    </w:p>
    <w:p w14:paraId="0085F899" w14:textId="77777777" w:rsidR="00975F99" w:rsidRPr="00E73EBF" w:rsidRDefault="00975F99" w:rsidP="00D05A74">
      <w:pPr>
        <w:pStyle w:val="ListParagraph"/>
        <w:numPr>
          <w:ilvl w:val="0"/>
          <w:numId w:val="12"/>
        </w:numPr>
        <w:spacing w:before="120" w:after="0" w:line="240" w:lineRule="auto"/>
        <w:contextualSpacing w:val="0"/>
        <w:rPr>
          <w:rFonts w:ascii="Times New Roman" w:hAnsi="Times New Roman"/>
        </w:rPr>
      </w:pPr>
      <w:r w:rsidRPr="00E73EBF">
        <w:rPr>
          <w:rFonts w:ascii="Times New Roman" w:hAnsi="Times New Roman"/>
        </w:rPr>
        <w:t>Dairy industry</w:t>
      </w:r>
    </w:p>
    <w:p w14:paraId="2E9EBDC8" w14:textId="77777777" w:rsidR="00975F99" w:rsidRPr="003F628A" w:rsidRDefault="00975F99" w:rsidP="00E73EBF">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Milk harvesting and storage</w:t>
      </w:r>
    </w:p>
    <w:p w14:paraId="1AE35DFA" w14:textId="77777777" w:rsidR="00975F99" w:rsidRPr="003F628A" w:rsidRDefault="00975F99" w:rsidP="00E73EBF">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 xml:space="preserve">Milk processing </w:t>
      </w:r>
    </w:p>
    <w:p w14:paraId="1F990744" w14:textId="77777777" w:rsidR="00975F99" w:rsidRPr="003F628A" w:rsidRDefault="00975F99" w:rsidP="00E73EBF">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Cream cheese industry</w:t>
      </w:r>
    </w:p>
    <w:p w14:paraId="4CB889D1"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Food processing (confectionary, frozen foods, drinks, fruit juice, chilled water as additive)</w:t>
      </w:r>
    </w:p>
    <w:p w14:paraId="5E8BEB68"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Ice making</w:t>
      </w:r>
    </w:p>
    <w:p w14:paraId="38D2DA16" w14:textId="7D06DBFF" w:rsidR="00975F99" w:rsidRPr="003F628A" w:rsidRDefault="00975F99" w:rsidP="003F628A">
      <w:r w:rsidRPr="003F628A">
        <w:t>Industrial chiller applications</w:t>
      </w:r>
      <w:r w:rsidR="003F628A">
        <w:t>:</w:t>
      </w:r>
    </w:p>
    <w:p w14:paraId="0C0547A6"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Plastics/die cooling</w:t>
      </w:r>
    </w:p>
    <w:p w14:paraId="419A73FC"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 xml:space="preserve">Electronic plating </w:t>
      </w:r>
    </w:p>
    <w:p w14:paraId="5D606BBA"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Printing machines &amp; associated equipment</w:t>
      </w:r>
    </w:p>
    <w:p w14:paraId="5711AEF6"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 xml:space="preserve">Dry cleaning </w:t>
      </w:r>
    </w:p>
    <w:p w14:paraId="5C71FEE3"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Construction</w:t>
      </w:r>
    </w:p>
    <w:p w14:paraId="1C4C3D68"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Laser cutting equipment</w:t>
      </w:r>
    </w:p>
    <w:p w14:paraId="33DC8AAF"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Chilling of water for industrial processes</w:t>
      </w:r>
    </w:p>
    <w:p w14:paraId="2EC1357D" w14:textId="2189E982" w:rsidR="00975F99" w:rsidRPr="003F628A" w:rsidRDefault="00975F99" w:rsidP="003F628A">
      <w:r w:rsidRPr="003F628A">
        <w:t>Other large chiller deep freeze applications</w:t>
      </w:r>
      <w:r w:rsidR="003F628A">
        <w:t>:</w:t>
      </w:r>
    </w:p>
    <w:p w14:paraId="452DD50D"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Water cooling for medical or chemical equipment such as SEM, MRI and X-Ray units</w:t>
      </w:r>
    </w:p>
    <w:p w14:paraId="0A5328FF"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Petro-chemical/gas &amp; chemical</w:t>
      </w:r>
    </w:p>
    <w:p w14:paraId="335866E0"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Medical/pharmaceutical/serum/plasma</w:t>
      </w:r>
    </w:p>
    <w:p w14:paraId="616F679B"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Co-generation/tri-generation</w:t>
      </w:r>
    </w:p>
    <w:p w14:paraId="09E6830C" w14:textId="77777777" w:rsidR="00975F99" w:rsidRDefault="00975F99" w:rsidP="00D05A74">
      <w:pPr>
        <w:pStyle w:val="ListParagraph"/>
        <w:numPr>
          <w:ilvl w:val="0"/>
          <w:numId w:val="12"/>
        </w:numPr>
        <w:spacing w:before="120" w:after="0" w:line="240" w:lineRule="auto"/>
        <w:contextualSpacing w:val="0"/>
      </w:pPr>
      <w:r w:rsidRPr="003F628A">
        <w:rPr>
          <w:rFonts w:ascii="Times New Roman" w:hAnsi="Times New Roman"/>
        </w:rPr>
        <w:t>Mining and tunnel</w:t>
      </w:r>
      <w:r>
        <w:t>s</w:t>
      </w:r>
    </w:p>
    <w:p w14:paraId="6B3E1FC0" w14:textId="77777777" w:rsidR="00975F99" w:rsidRDefault="00975F99" w:rsidP="00D05A74">
      <w:pPr>
        <w:pStyle w:val="ListParagraph"/>
        <w:numPr>
          <w:ilvl w:val="0"/>
          <w:numId w:val="12"/>
        </w:numPr>
        <w:spacing w:before="120" w:after="0" w:line="240" w:lineRule="auto"/>
        <w:contextualSpacing w:val="0"/>
      </w:pPr>
      <w:r w:rsidRPr="003F628A">
        <w:rPr>
          <w:rFonts w:ascii="Times New Roman" w:hAnsi="Times New Roman"/>
        </w:rPr>
        <w:lastRenderedPageBreak/>
        <w:t>Liquifaction and cryogenics</w:t>
      </w:r>
    </w:p>
    <w:p w14:paraId="4954F206" w14:textId="0DC925AA" w:rsidR="00975F99" w:rsidRDefault="00975F99" w:rsidP="00975F99">
      <w:pPr>
        <w:jc w:val="left"/>
      </w:pPr>
      <w:r>
        <w:t>Power generation industry</w:t>
      </w:r>
      <w:r w:rsidR="003F628A">
        <w:t>:</w:t>
      </w:r>
    </w:p>
    <w:p w14:paraId="5AD5B1F6"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Mobile plant</w:t>
      </w:r>
    </w:p>
    <w:p w14:paraId="531905C7" w14:textId="54DC75D2" w:rsidR="00975F99" w:rsidRDefault="003F628A" w:rsidP="00975F99">
      <w:pPr>
        <w:jc w:val="left"/>
      </w:pPr>
      <w:r>
        <w:t>Other applications:</w:t>
      </w:r>
    </w:p>
    <w:p w14:paraId="01FF9437"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Water coolers</w:t>
      </w:r>
    </w:p>
    <w:p w14:paraId="44E5AB31" w14:textId="77777777" w:rsidR="00975F99" w:rsidRPr="003F628A" w:rsidRDefault="00975F99" w:rsidP="00D05A74">
      <w:pPr>
        <w:pStyle w:val="ListParagraph"/>
        <w:numPr>
          <w:ilvl w:val="0"/>
          <w:numId w:val="12"/>
        </w:numPr>
        <w:spacing w:before="120" w:after="0" w:line="240" w:lineRule="auto"/>
        <w:contextualSpacing w:val="0"/>
        <w:rPr>
          <w:rFonts w:ascii="Times New Roman" w:hAnsi="Times New Roman"/>
        </w:rPr>
      </w:pPr>
      <w:r w:rsidRPr="003F628A">
        <w:rPr>
          <w:rFonts w:ascii="Times New Roman" w:hAnsi="Times New Roman"/>
        </w:rPr>
        <w:t>Heat pump pool heaters</w:t>
      </w:r>
    </w:p>
    <w:p w14:paraId="2AA15388" w14:textId="77777777" w:rsidR="00491313" w:rsidRDefault="00491313" w:rsidP="00DA6F9E">
      <w:pPr>
        <w:jc w:val="left"/>
      </w:pPr>
    </w:p>
    <w:p w14:paraId="2440461B" w14:textId="77777777" w:rsidR="00CC6F76" w:rsidRDefault="00CC6F76">
      <w:pPr>
        <w:spacing w:before="0"/>
        <w:jc w:val="left"/>
        <w:rPr>
          <w:rFonts w:asciiTheme="majorHAnsi" w:hAnsiTheme="majorHAnsi"/>
          <w:b/>
          <w:sz w:val="32"/>
          <w:szCs w:val="32"/>
        </w:rPr>
      </w:pPr>
      <w:r>
        <w:rPr>
          <w:rFonts w:asciiTheme="majorHAnsi" w:hAnsiTheme="majorHAnsi"/>
          <w:b/>
          <w:sz w:val="32"/>
          <w:szCs w:val="32"/>
        </w:rPr>
        <w:br w:type="page"/>
      </w:r>
    </w:p>
    <w:p w14:paraId="7B79B1F2" w14:textId="52D3D932" w:rsidR="003F628A" w:rsidRDefault="003F628A" w:rsidP="003F628A">
      <w:pPr>
        <w:spacing w:before="0"/>
        <w:jc w:val="left"/>
        <w:rPr>
          <w:rFonts w:asciiTheme="majorHAnsi" w:hAnsiTheme="majorHAnsi"/>
          <w:b/>
          <w:sz w:val="32"/>
          <w:szCs w:val="32"/>
        </w:rPr>
      </w:pPr>
      <w:r w:rsidRPr="00905F5E">
        <w:rPr>
          <w:rFonts w:asciiTheme="majorHAnsi" w:hAnsiTheme="majorHAnsi"/>
          <w:b/>
          <w:sz w:val="32"/>
          <w:szCs w:val="32"/>
        </w:rPr>
        <w:lastRenderedPageBreak/>
        <w:t xml:space="preserve">Appendix </w:t>
      </w:r>
      <w:r>
        <w:rPr>
          <w:rFonts w:asciiTheme="majorHAnsi" w:hAnsiTheme="majorHAnsi"/>
          <w:b/>
          <w:sz w:val="32"/>
          <w:szCs w:val="32"/>
        </w:rPr>
        <w:t>D</w:t>
      </w:r>
      <w:r w:rsidRPr="00905F5E">
        <w:rPr>
          <w:rFonts w:asciiTheme="majorHAnsi" w:hAnsiTheme="majorHAnsi"/>
          <w:b/>
          <w:sz w:val="32"/>
          <w:szCs w:val="32"/>
        </w:rPr>
        <w:t xml:space="preserve">: </w:t>
      </w:r>
      <w:r>
        <w:rPr>
          <w:rFonts w:asciiTheme="majorHAnsi" w:hAnsiTheme="majorHAnsi"/>
          <w:b/>
          <w:sz w:val="32"/>
          <w:szCs w:val="32"/>
        </w:rPr>
        <w:t>The stock of equipment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410"/>
        <w:gridCol w:w="3969"/>
        <w:gridCol w:w="1984"/>
      </w:tblGrid>
      <w:tr w:rsidR="00D80044" w:rsidRPr="003F2CDC" w14:paraId="210ED4BA" w14:textId="77777777" w:rsidTr="00580579">
        <w:trPr>
          <w:trHeight w:val="456"/>
        </w:trPr>
        <w:tc>
          <w:tcPr>
            <w:tcW w:w="1276" w:type="dxa"/>
            <w:tcBorders>
              <w:top w:val="single" w:sz="4" w:space="0" w:color="000000"/>
              <w:right w:val="single" w:sz="4" w:space="0" w:color="FFFFFF" w:themeColor="background1"/>
            </w:tcBorders>
            <w:shd w:val="clear" w:color="auto" w:fill="000000"/>
            <w:vAlign w:val="center"/>
          </w:tcPr>
          <w:p w14:paraId="4842F66D" w14:textId="77777777" w:rsidR="00D80044" w:rsidRPr="003E19E1" w:rsidRDefault="00D80044" w:rsidP="00D80044">
            <w:pPr>
              <w:spacing w:before="60" w:after="60"/>
              <w:jc w:val="left"/>
            </w:pPr>
            <w:r w:rsidRPr="003E19E1">
              <w:t>Category code</w:t>
            </w:r>
          </w:p>
        </w:tc>
        <w:tc>
          <w:tcPr>
            <w:tcW w:w="2410"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4BF4A15E" w14:textId="77777777" w:rsidR="00D80044" w:rsidRPr="003E19E1" w:rsidRDefault="00D80044" w:rsidP="00D80044">
            <w:pPr>
              <w:spacing w:before="60" w:after="60"/>
              <w:jc w:val="left"/>
            </w:pPr>
            <w:r w:rsidRPr="003E19E1">
              <w:t>Segment</w:t>
            </w:r>
          </w:p>
        </w:tc>
        <w:tc>
          <w:tcPr>
            <w:tcW w:w="3969"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02DF70F6" w14:textId="77777777" w:rsidR="00D80044" w:rsidRPr="003E19E1" w:rsidRDefault="00D80044" w:rsidP="00D80044">
            <w:pPr>
              <w:spacing w:before="60" w:after="60"/>
              <w:jc w:val="left"/>
            </w:pPr>
            <w:r w:rsidRPr="003E19E1">
              <w:t>Product category</w:t>
            </w:r>
          </w:p>
        </w:tc>
        <w:tc>
          <w:tcPr>
            <w:tcW w:w="1984" w:type="dxa"/>
            <w:tcBorders>
              <w:top w:val="single" w:sz="4" w:space="0" w:color="000000"/>
              <w:left w:val="single" w:sz="4" w:space="0" w:color="FFFFFF" w:themeColor="background1"/>
            </w:tcBorders>
            <w:shd w:val="clear" w:color="auto" w:fill="000000"/>
            <w:vAlign w:val="center"/>
          </w:tcPr>
          <w:p w14:paraId="50FD50BA" w14:textId="77777777" w:rsidR="00D80044" w:rsidRPr="003F2CDC" w:rsidRDefault="00D80044" w:rsidP="00D80044">
            <w:pPr>
              <w:spacing w:before="60" w:after="60"/>
              <w:jc w:val="center"/>
            </w:pPr>
            <w:r w:rsidRPr="003E19E1">
              <w:t>Total (units)</w:t>
            </w:r>
          </w:p>
        </w:tc>
      </w:tr>
      <w:tr w:rsidR="00005F1B" w:rsidRPr="00923150" w14:paraId="0987445F" w14:textId="77777777" w:rsidTr="00005F1B">
        <w:trPr>
          <w:trHeight w:val="456"/>
        </w:trPr>
        <w:tc>
          <w:tcPr>
            <w:tcW w:w="1276" w:type="dxa"/>
            <w:tcBorders>
              <w:top w:val="single" w:sz="4" w:space="0" w:color="000000"/>
            </w:tcBorders>
            <w:vAlign w:val="center"/>
          </w:tcPr>
          <w:p w14:paraId="5103B64A" w14:textId="77777777" w:rsidR="00005F1B" w:rsidRDefault="00005F1B" w:rsidP="00D80044">
            <w:pPr>
              <w:spacing w:before="60" w:after="60"/>
              <w:jc w:val="left"/>
              <w:rPr>
                <w:sz w:val="20"/>
              </w:rPr>
            </w:pPr>
            <w:r w:rsidRPr="003F2CDC">
              <w:t>AC1</w:t>
            </w:r>
          </w:p>
        </w:tc>
        <w:tc>
          <w:tcPr>
            <w:tcW w:w="2410" w:type="dxa"/>
            <w:tcBorders>
              <w:top w:val="single" w:sz="4" w:space="0" w:color="000000"/>
            </w:tcBorders>
            <w:vAlign w:val="center"/>
          </w:tcPr>
          <w:p w14:paraId="1675231B" w14:textId="77777777" w:rsidR="00005F1B" w:rsidRDefault="00005F1B" w:rsidP="00D80044">
            <w:pPr>
              <w:spacing w:before="60" w:after="60"/>
              <w:jc w:val="left"/>
              <w:rPr>
                <w:sz w:val="20"/>
              </w:rPr>
            </w:pPr>
            <w:r w:rsidRPr="003F2CDC">
              <w:t>Single split: non-ducted</w:t>
            </w:r>
          </w:p>
        </w:tc>
        <w:tc>
          <w:tcPr>
            <w:tcW w:w="3969" w:type="dxa"/>
            <w:tcBorders>
              <w:top w:val="single" w:sz="4" w:space="0" w:color="000000"/>
            </w:tcBorders>
            <w:vAlign w:val="center"/>
          </w:tcPr>
          <w:p w14:paraId="26D07DB4" w14:textId="77777777" w:rsidR="00005F1B" w:rsidRPr="008343EF" w:rsidRDefault="00005F1B" w:rsidP="00D80044">
            <w:pPr>
              <w:spacing w:before="60" w:after="60"/>
              <w:jc w:val="left"/>
              <w:rPr>
                <w:sz w:val="20"/>
              </w:rPr>
            </w:pPr>
            <w:r w:rsidRPr="003F2CDC">
              <w:t xml:space="preserve">Single split: non-ducted: </w:t>
            </w:r>
            <w:r>
              <w:t xml:space="preserve">1 &amp; </w:t>
            </w:r>
            <w:r w:rsidRPr="003F2CDC">
              <w:t>3</w:t>
            </w:r>
            <w:r>
              <w:t xml:space="preserve"> </w:t>
            </w:r>
            <w:r w:rsidRPr="003F2CDC">
              <w:t>phase</w:t>
            </w:r>
          </w:p>
        </w:tc>
        <w:tc>
          <w:tcPr>
            <w:tcW w:w="1984" w:type="dxa"/>
            <w:tcBorders>
              <w:top w:val="single" w:sz="4" w:space="0" w:color="000000"/>
            </w:tcBorders>
            <w:vAlign w:val="center"/>
          </w:tcPr>
          <w:p w14:paraId="27733364" w14:textId="48F4AE9D" w:rsidR="00005F1B" w:rsidRPr="00923150" w:rsidRDefault="00005F1B" w:rsidP="00D80044">
            <w:pPr>
              <w:spacing w:before="60" w:after="60"/>
              <w:jc w:val="center"/>
              <w:rPr>
                <w:sz w:val="20"/>
              </w:rPr>
            </w:pPr>
            <w:r w:rsidRPr="00CE15C5">
              <w:t>7,145,000</w:t>
            </w:r>
          </w:p>
        </w:tc>
      </w:tr>
      <w:tr w:rsidR="00005F1B" w:rsidRPr="00923150" w14:paraId="3A1A47C8" w14:textId="77777777" w:rsidTr="00005F1B">
        <w:trPr>
          <w:trHeight w:val="456"/>
        </w:trPr>
        <w:tc>
          <w:tcPr>
            <w:tcW w:w="1276" w:type="dxa"/>
            <w:tcBorders>
              <w:top w:val="single" w:sz="4" w:space="0" w:color="000000"/>
            </w:tcBorders>
            <w:vAlign w:val="center"/>
          </w:tcPr>
          <w:p w14:paraId="2556971A" w14:textId="77777777" w:rsidR="00005F1B" w:rsidRDefault="00005F1B" w:rsidP="00D80044">
            <w:pPr>
              <w:spacing w:before="60" w:after="60"/>
              <w:jc w:val="left"/>
              <w:rPr>
                <w:sz w:val="20"/>
              </w:rPr>
            </w:pPr>
            <w:r w:rsidRPr="003F2CDC">
              <w:t>AC2</w:t>
            </w:r>
          </w:p>
        </w:tc>
        <w:tc>
          <w:tcPr>
            <w:tcW w:w="2410" w:type="dxa"/>
            <w:tcBorders>
              <w:top w:val="single" w:sz="4" w:space="0" w:color="000000"/>
            </w:tcBorders>
            <w:vAlign w:val="center"/>
          </w:tcPr>
          <w:p w14:paraId="05EF88D4" w14:textId="64E8FBB3" w:rsidR="00005F1B" w:rsidRDefault="00005F1B" w:rsidP="009D0752">
            <w:pPr>
              <w:spacing w:before="60" w:after="60"/>
              <w:jc w:val="left"/>
              <w:rPr>
                <w:sz w:val="20"/>
              </w:rPr>
            </w:pPr>
            <w:r w:rsidRPr="003F2CDC">
              <w:t>Single split: ducted</w:t>
            </w:r>
          </w:p>
        </w:tc>
        <w:tc>
          <w:tcPr>
            <w:tcW w:w="3969" w:type="dxa"/>
            <w:tcBorders>
              <w:top w:val="single" w:sz="4" w:space="0" w:color="000000"/>
            </w:tcBorders>
            <w:vAlign w:val="center"/>
          </w:tcPr>
          <w:p w14:paraId="5160F253" w14:textId="77777777" w:rsidR="00005F1B" w:rsidRPr="008343EF" w:rsidRDefault="00005F1B" w:rsidP="00D80044">
            <w:pPr>
              <w:spacing w:before="60" w:after="60"/>
              <w:jc w:val="left"/>
              <w:rPr>
                <w:sz w:val="20"/>
              </w:rPr>
            </w:pPr>
            <w:r w:rsidRPr="003F2CDC">
              <w:t xml:space="preserve">Single split: non-ducted: </w:t>
            </w:r>
            <w:r>
              <w:t xml:space="preserve">1 &amp; </w:t>
            </w:r>
            <w:r w:rsidRPr="003F2CDC">
              <w:t>3</w:t>
            </w:r>
            <w:r>
              <w:t xml:space="preserve"> </w:t>
            </w:r>
            <w:r w:rsidRPr="003F2CDC">
              <w:t>phase</w:t>
            </w:r>
          </w:p>
        </w:tc>
        <w:tc>
          <w:tcPr>
            <w:tcW w:w="1984" w:type="dxa"/>
            <w:tcBorders>
              <w:top w:val="single" w:sz="4" w:space="0" w:color="000000"/>
            </w:tcBorders>
            <w:vAlign w:val="center"/>
          </w:tcPr>
          <w:p w14:paraId="0F3D34AB" w14:textId="1ADEF092" w:rsidR="00005F1B" w:rsidRPr="00923150" w:rsidRDefault="00005F1B" w:rsidP="00D80044">
            <w:pPr>
              <w:spacing w:before="60" w:after="60"/>
              <w:jc w:val="center"/>
              <w:rPr>
                <w:sz w:val="20"/>
              </w:rPr>
            </w:pPr>
            <w:r w:rsidRPr="00CE15C5">
              <w:t>1,304,000</w:t>
            </w:r>
          </w:p>
        </w:tc>
      </w:tr>
      <w:tr w:rsidR="00005F1B" w:rsidRPr="00923150" w14:paraId="21BC3D71" w14:textId="77777777" w:rsidTr="00005F1B">
        <w:trPr>
          <w:trHeight w:val="456"/>
        </w:trPr>
        <w:tc>
          <w:tcPr>
            <w:tcW w:w="1276" w:type="dxa"/>
            <w:tcBorders>
              <w:top w:val="single" w:sz="4" w:space="0" w:color="000000"/>
            </w:tcBorders>
            <w:vAlign w:val="center"/>
          </w:tcPr>
          <w:p w14:paraId="1D409E52" w14:textId="77777777" w:rsidR="00005F1B" w:rsidRDefault="00005F1B" w:rsidP="00D80044">
            <w:pPr>
              <w:spacing w:before="60" w:after="60"/>
              <w:jc w:val="left"/>
              <w:rPr>
                <w:sz w:val="20"/>
              </w:rPr>
            </w:pPr>
            <w:r w:rsidRPr="003F2CDC">
              <w:t>AC3</w:t>
            </w:r>
          </w:p>
        </w:tc>
        <w:tc>
          <w:tcPr>
            <w:tcW w:w="2410" w:type="dxa"/>
            <w:tcBorders>
              <w:top w:val="single" w:sz="4" w:space="0" w:color="000000"/>
            </w:tcBorders>
            <w:vAlign w:val="center"/>
          </w:tcPr>
          <w:p w14:paraId="53068163" w14:textId="447120D4" w:rsidR="00005F1B" w:rsidRDefault="00005F1B" w:rsidP="002F2316">
            <w:pPr>
              <w:spacing w:before="60" w:after="60"/>
              <w:jc w:val="left"/>
              <w:rPr>
                <w:sz w:val="20"/>
              </w:rPr>
            </w:pPr>
            <w:r w:rsidRPr="003F2CDC">
              <w:t>Window/</w:t>
            </w:r>
            <w:r>
              <w:t>w</w:t>
            </w:r>
            <w:r w:rsidRPr="003F2CDC">
              <w:t>all</w:t>
            </w:r>
          </w:p>
        </w:tc>
        <w:tc>
          <w:tcPr>
            <w:tcW w:w="3969" w:type="dxa"/>
            <w:tcBorders>
              <w:top w:val="single" w:sz="4" w:space="0" w:color="000000"/>
            </w:tcBorders>
            <w:vAlign w:val="center"/>
          </w:tcPr>
          <w:p w14:paraId="3B9E8563" w14:textId="77777777" w:rsidR="00005F1B" w:rsidRPr="008343EF" w:rsidRDefault="00005F1B" w:rsidP="00D80044">
            <w:pPr>
              <w:spacing w:before="60" w:after="60"/>
              <w:jc w:val="left"/>
              <w:rPr>
                <w:sz w:val="20"/>
              </w:rPr>
            </w:pPr>
            <w:r w:rsidRPr="003F2CDC">
              <w:t xml:space="preserve">Non-Ducted: Unitary 0-10 kWr </w:t>
            </w:r>
          </w:p>
        </w:tc>
        <w:tc>
          <w:tcPr>
            <w:tcW w:w="1984" w:type="dxa"/>
            <w:tcBorders>
              <w:top w:val="single" w:sz="4" w:space="0" w:color="000000"/>
            </w:tcBorders>
            <w:vAlign w:val="center"/>
          </w:tcPr>
          <w:p w14:paraId="4B6FF950" w14:textId="58365562" w:rsidR="00005F1B" w:rsidRPr="00923150" w:rsidRDefault="00005F1B" w:rsidP="00D80044">
            <w:pPr>
              <w:spacing w:before="60" w:after="60"/>
              <w:jc w:val="center"/>
              <w:rPr>
                <w:sz w:val="20"/>
              </w:rPr>
            </w:pPr>
            <w:r w:rsidRPr="00CE15C5">
              <w:t>1,915,000</w:t>
            </w:r>
          </w:p>
        </w:tc>
      </w:tr>
      <w:tr w:rsidR="00005F1B" w:rsidRPr="00923150" w14:paraId="09556CEC" w14:textId="77777777" w:rsidTr="00005F1B">
        <w:trPr>
          <w:trHeight w:val="456"/>
        </w:trPr>
        <w:tc>
          <w:tcPr>
            <w:tcW w:w="1276" w:type="dxa"/>
            <w:tcBorders>
              <w:top w:val="single" w:sz="4" w:space="0" w:color="000000"/>
            </w:tcBorders>
            <w:vAlign w:val="center"/>
          </w:tcPr>
          <w:p w14:paraId="4D8DE78D" w14:textId="77777777" w:rsidR="00005F1B" w:rsidRDefault="00005F1B" w:rsidP="00D80044">
            <w:pPr>
              <w:spacing w:before="60" w:after="60"/>
              <w:jc w:val="left"/>
              <w:rPr>
                <w:sz w:val="20"/>
              </w:rPr>
            </w:pPr>
            <w:r w:rsidRPr="003F2CDC">
              <w:t>AC4</w:t>
            </w:r>
          </w:p>
        </w:tc>
        <w:tc>
          <w:tcPr>
            <w:tcW w:w="2410" w:type="dxa"/>
            <w:tcBorders>
              <w:top w:val="single" w:sz="4" w:space="0" w:color="000000"/>
            </w:tcBorders>
            <w:vAlign w:val="center"/>
          </w:tcPr>
          <w:p w14:paraId="57F8DB59" w14:textId="77777777" w:rsidR="00005F1B" w:rsidRDefault="00005F1B" w:rsidP="00D80044">
            <w:pPr>
              <w:spacing w:before="60" w:after="60"/>
              <w:jc w:val="left"/>
              <w:rPr>
                <w:sz w:val="20"/>
              </w:rPr>
            </w:pPr>
            <w:r w:rsidRPr="003F2CDC">
              <w:t>Portable AC</w:t>
            </w:r>
          </w:p>
        </w:tc>
        <w:tc>
          <w:tcPr>
            <w:tcW w:w="3969" w:type="dxa"/>
            <w:tcBorders>
              <w:top w:val="single" w:sz="4" w:space="0" w:color="000000"/>
            </w:tcBorders>
            <w:vAlign w:val="center"/>
          </w:tcPr>
          <w:p w14:paraId="0103B7FB" w14:textId="77777777" w:rsidR="00005F1B" w:rsidRPr="008343EF" w:rsidRDefault="00005F1B" w:rsidP="00D80044">
            <w:pPr>
              <w:spacing w:before="60" w:after="60"/>
              <w:jc w:val="left"/>
              <w:rPr>
                <w:sz w:val="20"/>
              </w:rPr>
            </w:pPr>
            <w:r w:rsidRPr="003F2CDC">
              <w:t>Portable AC 0-10 kWr</w:t>
            </w:r>
          </w:p>
        </w:tc>
        <w:tc>
          <w:tcPr>
            <w:tcW w:w="1984" w:type="dxa"/>
            <w:tcBorders>
              <w:top w:val="single" w:sz="4" w:space="0" w:color="000000"/>
            </w:tcBorders>
            <w:vAlign w:val="center"/>
          </w:tcPr>
          <w:p w14:paraId="06B5D913" w14:textId="576225C1" w:rsidR="00005F1B" w:rsidRPr="00923150" w:rsidRDefault="00005F1B" w:rsidP="00D80044">
            <w:pPr>
              <w:spacing w:before="60" w:after="60"/>
              <w:jc w:val="center"/>
              <w:rPr>
                <w:sz w:val="20"/>
              </w:rPr>
            </w:pPr>
            <w:r w:rsidRPr="00CE15C5">
              <w:t>606,000</w:t>
            </w:r>
          </w:p>
        </w:tc>
      </w:tr>
      <w:tr w:rsidR="00005F1B" w:rsidRPr="00923150" w14:paraId="0CCDBA8B" w14:textId="77777777" w:rsidTr="00005F1B">
        <w:trPr>
          <w:trHeight w:val="456"/>
        </w:trPr>
        <w:tc>
          <w:tcPr>
            <w:tcW w:w="1276" w:type="dxa"/>
            <w:tcBorders>
              <w:top w:val="single" w:sz="4" w:space="0" w:color="000000"/>
            </w:tcBorders>
            <w:vAlign w:val="center"/>
          </w:tcPr>
          <w:p w14:paraId="2D404F7F" w14:textId="77777777" w:rsidR="00005F1B" w:rsidRDefault="00005F1B" w:rsidP="00D80044">
            <w:pPr>
              <w:spacing w:before="60" w:after="60"/>
              <w:jc w:val="left"/>
              <w:rPr>
                <w:sz w:val="20"/>
              </w:rPr>
            </w:pPr>
            <w:r w:rsidRPr="003F2CDC">
              <w:t>AC5-1</w:t>
            </w:r>
          </w:p>
        </w:tc>
        <w:tc>
          <w:tcPr>
            <w:tcW w:w="2410" w:type="dxa"/>
            <w:tcBorders>
              <w:top w:val="single" w:sz="4" w:space="0" w:color="000000"/>
            </w:tcBorders>
            <w:vAlign w:val="center"/>
          </w:tcPr>
          <w:p w14:paraId="17368E59" w14:textId="77777777" w:rsidR="00005F1B" w:rsidRDefault="00005F1B" w:rsidP="00D80044">
            <w:pPr>
              <w:spacing w:before="60" w:after="60"/>
              <w:jc w:val="left"/>
              <w:rPr>
                <w:sz w:val="20"/>
              </w:rPr>
            </w:pPr>
            <w:r w:rsidRPr="003F2CDC">
              <w:t>Chillers</w:t>
            </w:r>
          </w:p>
        </w:tc>
        <w:tc>
          <w:tcPr>
            <w:tcW w:w="3969" w:type="dxa"/>
            <w:tcBorders>
              <w:top w:val="single" w:sz="4" w:space="0" w:color="000000"/>
            </w:tcBorders>
            <w:vAlign w:val="center"/>
          </w:tcPr>
          <w:p w14:paraId="22FFA7F1" w14:textId="77777777" w:rsidR="00005F1B" w:rsidRPr="008343EF" w:rsidRDefault="00005F1B" w:rsidP="00D80044">
            <w:pPr>
              <w:spacing w:before="60" w:after="60"/>
              <w:jc w:val="left"/>
              <w:rPr>
                <w:sz w:val="20"/>
              </w:rPr>
            </w:pPr>
            <w:r w:rsidRPr="003F2CDC">
              <w:t>&lt;500 kWr</w:t>
            </w:r>
          </w:p>
        </w:tc>
        <w:tc>
          <w:tcPr>
            <w:tcW w:w="1984" w:type="dxa"/>
            <w:tcBorders>
              <w:top w:val="single" w:sz="4" w:space="0" w:color="000000"/>
            </w:tcBorders>
            <w:vAlign w:val="center"/>
          </w:tcPr>
          <w:p w14:paraId="44DA7BD7" w14:textId="588EC53A" w:rsidR="00005F1B" w:rsidRPr="00923150" w:rsidRDefault="00005F1B" w:rsidP="00D80044">
            <w:pPr>
              <w:spacing w:before="60" w:after="60"/>
              <w:jc w:val="center"/>
              <w:rPr>
                <w:sz w:val="20"/>
              </w:rPr>
            </w:pPr>
            <w:r w:rsidRPr="00CE15C5">
              <w:t>20,200</w:t>
            </w:r>
          </w:p>
        </w:tc>
      </w:tr>
      <w:tr w:rsidR="00005F1B" w:rsidRPr="00923150" w14:paraId="368D88DC" w14:textId="77777777" w:rsidTr="00005F1B">
        <w:trPr>
          <w:trHeight w:val="456"/>
        </w:trPr>
        <w:tc>
          <w:tcPr>
            <w:tcW w:w="1276" w:type="dxa"/>
            <w:tcBorders>
              <w:top w:val="single" w:sz="4" w:space="0" w:color="000000"/>
            </w:tcBorders>
            <w:vAlign w:val="center"/>
          </w:tcPr>
          <w:p w14:paraId="4B7A109B" w14:textId="77777777" w:rsidR="00005F1B" w:rsidRDefault="00005F1B" w:rsidP="00D80044">
            <w:pPr>
              <w:spacing w:before="60" w:after="60"/>
              <w:jc w:val="left"/>
              <w:rPr>
                <w:sz w:val="20"/>
              </w:rPr>
            </w:pPr>
            <w:r w:rsidRPr="003F2CDC">
              <w:t>AC5-2</w:t>
            </w:r>
          </w:p>
        </w:tc>
        <w:tc>
          <w:tcPr>
            <w:tcW w:w="2410" w:type="dxa"/>
            <w:tcBorders>
              <w:top w:val="single" w:sz="4" w:space="0" w:color="000000"/>
            </w:tcBorders>
            <w:vAlign w:val="center"/>
          </w:tcPr>
          <w:p w14:paraId="24DBE74C" w14:textId="77777777" w:rsidR="00005F1B" w:rsidRDefault="00005F1B" w:rsidP="00D80044">
            <w:pPr>
              <w:spacing w:before="60" w:after="60"/>
              <w:jc w:val="left"/>
              <w:rPr>
                <w:sz w:val="20"/>
              </w:rPr>
            </w:pPr>
            <w:r w:rsidRPr="003F2CDC">
              <w:t>Chillers</w:t>
            </w:r>
          </w:p>
        </w:tc>
        <w:tc>
          <w:tcPr>
            <w:tcW w:w="3969" w:type="dxa"/>
            <w:tcBorders>
              <w:top w:val="single" w:sz="4" w:space="0" w:color="000000"/>
            </w:tcBorders>
            <w:vAlign w:val="center"/>
          </w:tcPr>
          <w:p w14:paraId="2345120C" w14:textId="77777777" w:rsidR="00005F1B" w:rsidRPr="008343EF" w:rsidRDefault="00005F1B" w:rsidP="00D80044">
            <w:pPr>
              <w:spacing w:before="60" w:after="60"/>
              <w:jc w:val="left"/>
              <w:rPr>
                <w:sz w:val="20"/>
              </w:rPr>
            </w:pPr>
            <w:r w:rsidRPr="003F2CDC">
              <w:t>&gt;500 &amp; &lt;1000 kWr</w:t>
            </w:r>
          </w:p>
        </w:tc>
        <w:tc>
          <w:tcPr>
            <w:tcW w:w="1984" w:type="dxa"/>
            <w:tcBorders>
              <w:top w:val="single" w:sz="4" w:space="0" w:color="000000"/>
            </w:tcBorders>
            <w:vAlign w:val="center"/>
          </w:tcPr>
          <w:p w14:paraId="2BD21C1F" w14:textId="0F7006AA" w:rsidR="00005F1B" w:rsidRPr="00923150" w:rsidRDefault="00005F1B" w:rsidP="00D80044">
            <w:pPr>
              <w:spacing w:before="60" w:after="60"/>
              <w:jc w:val="center"/>
              <w:rPr>
                <w:sz w:val="20"/>
              </w:rPr>
            </w:pPr>
            <w:r w:rsidRPr="00CE15C5">
              <w:t>7,200</w:t>
            </w:r>
          </w:p>
        </w:tc>
      </w:tr>
      <w:tr w:rsidR="00005F1B" w:rsidRPr="00923150" w14:paraId="0F4903FC" w14:textId="77777777" w:rsidTr="00005F1B">
        <w:trPr>
          <w:trHeight w:val="456"/>
        </w:trPr>
        <w:tc>
          <w:tcPr>
            <w:tcW w:w="1276" w:type="dxa"/>
            <w:tcBorders>
              <w:top w:val="single" w:sz="4" w:space="0" w:color="000000"/>
            </w:tcBorders>
            <w:vAlign w:val="center"/>
          </w:tcPr>
          <w:p w14:paraId="6EC83137" w14:textId="77777777" w:rsidR="00005F1B" w:rsidRDefault="00005F1B" w:rsidP="00D80044">
            <w:pPr>
              <w:spacing w:before="60" w:after="60"/>
              <w:jc w:val="left"/>
              <w:rPr>
                <w:sz w:val="20"/>
              </w:rPr>
            </w:pPr>
            <w:r w:rsidRPr="003F2CDC">
              <w:t>AC5-3</w:t>
            </w:r>
          </w:p>
        </w:tc>
        <w:tc>
          <w:tcPr>
            <w:tcW w:w="2410" w:type="dxa"/>
            <w:tcBorders>
              <w:top w:val="single" w:sz="4" w:space="0" w:color="000000"/>
            </w:tcBorders>
            <w:vAlign w:val="center"/>
          </w:tcPr>
          <w:p w14:paraId="11150E42" w14:textId="77777777" w:rsidR="00005F1B" w:rsidRDefault="00005F1B" w:rsidP="00D80044">
            <w:pPr>
              <w:spacing w:before="60" w:after="60"/>
              <w:jc w:val="left"/>
              <w:rPr>
                <w:sz w:val="20"/>
              </w:rPr>
            </w:pPr>
            <w:r w:rsidRPr="003F2CDC">
              <w:t>Chillers</w:t>
            </w:r>
          </w:p>
        </w:tc>
        <w:tc>
          <w:tcPr>
            <w:tcW w:w="3969" w:type="dxa"/>
            <w:tcBorders>
              <w:top w:val="single" w:sz="4" w:space="0" w:color="000000"/>
            </w:tcBorders>
            <w:vAlign w:val="center"/>
          </w:tcPr>
          <w:p w14:paraId="6FD0B671" w14:textId="77777777" w:rsidR="00005F1B" w:rsidRPr="008343EF" w:rsidRDefault="00005F1B" w:rsidP="00D80044">
            <w:pPr>
              <w:spacing w:before="60" w:after="60"/>
              <w:jc w:val="left"/>
              <w:rPr>
                <w:sz w:val="20"/>
              </w:rPr>
            </w:pPr>
            <w:r w:rsidRPr="003F2CDC">
              <w:t>&gt;1000 kWr</w:t>
            </w:r>
          </w:p>
        </w:tc>
        <w:tc>
          <w:tcPr>
            <w:tcW w:w="1984" w:type="dxa"/>
            <w:tcBorders>
              <w:top w:val="single" w:sz="4" w:space="0" w:color="000000"/>
            </w:tcBorders>
            <w:vAlign w:val="center"/>
          </w:tcPr>
          <w:p w14:paraId="34F3FD4B" w14:textId="70BCD630" w:rsidR="00005F1B" w:rsidRPr="00923150" w:rsidRDefault="00005F1B" w:rsidP="00D80044">
            <w:pPr>
              <w:spacing w:before="60" w:after="60"/>
              <w:jc w:val="center"/>
              <w:rPr>
                <w:sz w:val="20"/>
              </w:rPr>
            </w:pPr>
            <w:r w:rsidRPr="00CE15C5">
              <w:t>1,100</w:t>
            </w:r>
          </w:p>
        </w:tc>
      </w:tr>
      <w:tr w:rsidR="00005F1B" w:rsidRPr="00923150" w14:paraId="68013265" w14:textId="77777777" w:rsidTr="00005F1B">
        <w:trPr>
          <w:trHeight w:val="456"/>
        </w:trPr>
        <w:tc>
          <w:tcPr>
            <w:tcW w:w="1276" w:type="dxa"/>
            <w:tcBorders>
              <w:top w:val="single" w:sz="4" w:space="0" w:color="000000"/>
            </w:tcBorders>
            <w:vAlign w:val="center"/>
          </w:tcPr>
          <w:p w14:paraId="7F2A96F0" w14:textId="77777777" w:rsidR="00005F1B" w:rsidRDefault="00005F1B" w:rsidP="00D80044">
            <w:pPr>
              <w:spacing w:before="60" w:after="60"/>
              <w:jc w:val="left"/>
              <w:rPr>
                <w:sz w:val="20"/>
              </w:rPr>
            </w:pPr>
            <w:r w:rsidRPr="003F2CDC">
              <w:t>AC6-1</w:t>
            </w:r>
          </w:p>
        </w:tc>
        <w:tc>
          <w:tcPr>
            <w:tcW w:w="2410" w:type="dxa"/>
            <w:tcBorders>
              <w:top w:val="single" w:sz="4" w:space="0" w:color="000000"/>
            </w:tcBorders>
            <w:vAlign w:val="center"/>
          </w:tcPr>
          <w:p w14:paraId="1FED5E77" w14:textId="77777777" w:rsidR="00005F1B" w:rsidRDefault="00005F1B" w:rsidP="00D80044">
            <w:pPr>
              <w:spacing w:before="60" w:after="60"/>
              <w:jc w:val="left"/>
              <w:rPr>
                <w:sz w:val="20"/>
              </w:rPr>
            </w:pPr>
            <w:r w:rsidRPr="003F2CDC">
              <w:t>Light commercial</w:t>
            </w:r>
          </w:p>
        </w:tc>
        <w:tc>
          <w:tcPr>
            <w:tcW w:w="3969" w:type="dxa"/>
            <w:tcBorders>
              <w:top w:val="single" w:sz="4" w:space="0" w:color="000000"/>
            </w:tcBorders>
            <w:vAlign w:val="center"/>
          </w:tcPr>
          <w:p w14:paraId="704DB6A5" w14:textId="77777777" w:rsidR="00005F1B" w:rsidRPr="008343EF" w:rsidRDefault="00005F1B" w:rsidP="00D80044">
            <w:pPr>
              <w:spacing w:before="60" w:after="60"/>
              <w:jc w:val="left"/>
              <w:rPr>
                <w:sz w:val="20"/>
              </w:rPr>
            </w:pPr>
            <w:r w:rsidRPr="003F2CDC">
              <w:t>RT Packaged systems</w:t>
            </w:r>
          </w:p>
        </w:tc>
        <w:tc>
          <w:tcPr>
            <w:tcW w:w="1984" w:type="dxa"/>
            <w:tcBorders>
              <w:top w:val="single" w:sz="4" w:space="0" w:color="000000"/>
            </w:tcBorders>
            <w:vAlign w:val="center"/>
          </w:tcPr>
          <w:p w14:paraId="7064D9B7" w14:textId="09A9F0D4" w:rsidR="00005F1B" w:rsidRPr="00923150" w:rsidRDefault="00005F1B" w:rsidP="00D80044">
            <w:pPr>
              <w:spacing w:before="60" w:after="60"/>
              <w:jc w:val="center"/>
              <w:rPr>
                <w:sz w:val="20"/>
              </w:rPr>
            </w:pPr>
            <w:r w:rsidRPr="00CE15C5">
              <w:t>70,000</w:t>
            </w:r>
          </w:p>
        </w:tc>
      </w:tr>
      <w:tr w:rsidR="00005F1B" w:rsidRPr="00923150" w14:paraId="7BDAAE6A" w14:textId="77777777" w:rsidTr="00005F1B">
        <w:trPr>
          <w:trHeight w:val="456"/>
        </w:trPr>
        <w:tc>
          <w:tcPr>
            <w:tcW w:w="1276" w:type="dxa"/>
            <w:tcBorders>
              <w:top w:val="single" w:sz="4" w:space="0" w:color="000000"/>
            </w:tcBorders>
            <w:vAlign w:val="center"/>
          </w:tcPr>
          <w:p w14:paraId="10F742B5" w14:textId="77777777" w:rsidR="00005F1B" w:rsidRDefault="00005F1B" w:rsidP="00D80044">
            <w:pPr>
              <w:spacing w:before="60" w:after="60"/>
              <w:jc w:val="left"/>
              <w:rPr>
                <w:sz w:val="20"/>
              </w:rPr>
            </w:pPr>
            <w:r w:rsidRPr="003F2CDC">
              <w:t>AC6-2</w:t>
            </w:r>
          </w:p>
        </w:tc>
        <w:tc>
          <w:tcPr>
            <w:tcW w:w="2410" w:type="dxa"/>
            <w:tcBorders>
              <w:top w:val="single" w:sz="4" w:space="0" w:color="000000"/>
            </w:tcBorders>
            <w:vAlign w:val="center"/>
          </w:tcPr>
          <w:p w14:paraId="78C6D073" w14:textId="77777777" w:rsidR="00005F1B" w:rsidRDefault="00005F1B" w:rsidP="00D80044">
            <w:pPr>
              <w:spacing w:before="60" w:after="60"/>
              <w:jc w:val="left"/>
              <w:rPr>
                <w:sz w:val="20"/>
              </w:rPr>
            </w:pPr>
            <w:r w:rsidRPr="003F2CDC">
              <w:t>Light commercial</w:t>
            </w:r>
          </w:p>
        </w:tc>
        <w:tc>
          <w:tcPr>
            <w:tcW w:w="3969" w:type="dxa"/>
            <w:tcBorders>
              <w:top w:val="single" w:sz="4" w:space="0" w:color="000000"/>
            </w:tcBorders>
            <w:vAlign w:val="center"/>
          </w:tcPr>
          <w:p w14:paraId="7E37BC8A" w14:textId="77777777" w:rsidR="00005F1B" w:rsidRPr="008343EF" w:rsidRDefault="00005F1B" w:rsidP="00D80044">
            <w:pPr>
              <w:spacing w:before="60" w:after="60"/>
              <w:jc w:val="left"/>
              <w:rPr>
                <w:sz w:val="20"/>
              </w:rPr>
            </w:pPr>
            <w:r w:rsidRPr="003F2CDC">
              <w:t>Multi split/VRF</w:t>
            </w:r>
          </w:p>
        </w:tc>
        <w:tc>
          <w:tcPr>
            <w:tcW w:w="1984" w:type="dxa"/>
            <w:tcBorders>
              <w:top w:val="single" w:sz="4" w:space="0" w:color="000000"/>
            </w:tcBorders>
            <w:vAlign w:val="center"/>
          </w:tcPr>
          <w:p w14:paraId="3B490892" w14:textId="305B9F75" w:rsidR="00005F1B" w:rsidRPr="00923150" w:rsidRDefault="00005F1B" w:rsidP="00D80044">
            <w:pPr>
              <w:spacing w:before="60" w:after="60"/>
              <w:jc w:val="center"/>
              <w:rPr>
                <w:sz w:val="20"/>
              </w:rPr>
            </w:pPr>
            <w:r w:rsidRPr="00CE15C5">
              <w:t>276,000</w:t>
            </w:r>
          </w:p>
        </w:tc>
      </w:tr>
      <w:tr w:rsidR="00005F1B" w:rsidRPr="00923150" w14:paraId="79D43AE5" w14:textId="77777777" w:rsidTr="00005F1B">
        <w:trPr>
          <w:trHeight w:val="456"/>
        </w:trPr>
        <w:tc>
          <w:tcPr>
            <w:tcW w:w="1276" w:type="dxa"/>
            <w:tcBorders>
              <w:top w:val="single" w:sz="4" w:space="0" w:color="000000"/>
            </w:tcBorders>
            <w:vAlign w:val="center"/>
          </w:tcPr>
          <w:p w14:paraId="0F620F7F" w14:textId="77777777" w:rsidR="00005F1B" w:rsidRDefault="00005F1B" w:rsidP="00D80044">
            <w:pPr>
              <w:spacing w:before="60" w:after="60"/>
              <w:jc w:val="left"/>
              <w:rPr>
                <w:sz w:val="20"/>
              </w:rPr>
            </w:pPr>
            <w:r w:rsidRPr="003F2CDC">
              <w:t>AC6-3</w:t>
            </w:r>
          </w:p>
        </w:tc>
        <w:tc>
          <w:tcPr>
            <w:tcW w:w="2410" w:type="dxa"/>
            <w:tcBorders>
              <w:top w:val="single" w:sz="4" w:space="0" w:color="000000"/>
            </w:tcBorders>
            <w:vAlign w:val="center"/>
          </w:tcPr>
          <w:p w14:paraId="3FF93FB2" w14:textId="77777777" w:rsidR="00005F1B" w:rsidRDefault="00005F1B" w:rsidP="00D80044">
            <w:pPr>
              <w:spacing w:before="60" w:after="60"/>
              <w:jc w:val="left"/>
              <w:rPr>
                <w:sz w:val="20"/>
              </w:rPr>
            </w:pPr>
            <w:r w:rsidRPr="003F2CDC">
              <w:t>Light commercial</w:t>
            </w:r>
          </w:p>
        </w:tc>
        <w:tc>
          <w:tcPr>
            <w:tcW w:w="3969" w:type="dxa"/>
            <w:tcBorders>
              <w:top w:val="single" w:sz="4" w:space="0" w:color="000000"/>
            </w:tcBorders>
            <w:vAlign w:val="center"/>
          </w:tcPr>
          <w:p w14:paraId="580D7138" w14:textId="77777777" w:rsidR="00005F1B" w:rsidRPr="008343EF" w:rsidRDefault="00005F1B" w:rsidP="00D80044">
            <w:pPr>
              <w:spacing w:before="60" w:after="60"/>
              <w:jc w:val="left"/>
              <w:rPr>
                <w:sz w:val="20"/>
              </w:rPr>
            </w:pPr>
            <w:r w:rsidRPr="003F2CDC">
              <w:t>Close control</w:t>
            </w:r>
          </w:p>
        </w:tc>
        <w:tc>
          <w:tcPr>
            <w:tcW w:w="1984" w:type="dxa"/>
            <w:tcBorders>
              <w:top w:val="single" w:sz="4" w:space="0" w:color="000000"/>
            </w:tcBorders>
            <w:vAlign w:val="center"/>
          </w:tcPr>
          <w:p w14:paraId="16BD5E38" w14:textId="31173FC7" w:rsidR="00005F1B" w:rsidRPr="00923150" w:rsidRDefault="00005F1B" w:rsidP="00D80044">
            <w:pPr>
              <w:spacing w:before="60" w:after="60"/>
              <w:jc w:val="center"/>
              <w:rPr>
                <w:sz w:val="20"/>
              </w:rPr>
            </w:pPr>
            <w:r w:rsidRPr="00CE15C5">
              <w:t>11,500</w:t>
            </w:r>
          </w:p>
        </w:tc>
      </w:tr>
      <w:tr w:rsidR="00005F1B" w14:paraId="56B38745" w14:textId="77777777" w:rsidTr="00005F1B">
        <w:trPr>
          <w:trHeight w:val="456"/>
        </w:trPr>
        <w:tc>
          <w:tcPr>
            <w:tcW w:w="1276" w:type="dxa"/>
            <w:vAlign w:val="center"/>
          </w:tcPr>
          <w:p w14:paraId="5DE45801" w14:textId="77777777" w:rsidR="00005F1B" w:rsidRDefault="00005F1B" w:rsidP="00D80044">
            <w:pPr>
              <w:spacing w:before="60" w:after="60"/>
              <w:jc w:val="left"/>
              <w:rPr>
                <w:sz w:val="20"/>
              </w:rPr>
            </w:pPr>
            <w:r w:rsidRPr="003F2CDC">
              <w:t>AC6-4</w:t>
            </w:r>
          </w:p>
        </w:tc>
        <w:tc>
          <w:tcPr>
            <w:tcW w:w="2410" w:type="dxa"/>
            <w:vAlign w:val="center"/>
          </w:tcPr>
          <w:p w14:paraId="1C10FF19" w14:textId="77777777" w:rsidR="00005F1B" w:rsidRDefault="00005F1B" w:rsidP="00D80044">
            <w:pPr>
              <w:spacing w:before="60" w:after="60"/>
              <w:jc w:val="left"/>
              <w:rPr>
                <w:sz w:val="20"/>
              </w:rPr>
            </w:pPr>
            <w:r w:rsidRPr="003F2CDC">
              <w:t>Light commercial</w:t>
            </w:r>
          </w:p>
        </w:tc>
        <w:tc>
          <w:tcPr>
            <w:tcW w:w="3969" w:type="dxa"/>
            <w:vAlign w:val="center"/>
          </w:tcPr>
          <w:p w14:paraId="531728AA" w14:textId="77777777" w:rsidR="00005F1B" w:rsidRDefault="00005F1B" w:rsidP="00D80044">
            <w:pPr>
              <w:spacing w:before="60" w:after="60"/>
              <w:jc w:val="left"/>
              <w:rPr>
                <w:sz w:val="20"/>
              </w:rPr>
            </w:pPr>
            <w:r w:rsidRPr="003F2CDC">
              <w:t>HW heat pump: commercial</w:t>
            </w:r>
          </w:p>
        </w:tc>
        <w:tc>
          <w:tcPr>
            <w:tcW w:w="1984" w:type="dxa"/>
            <w:vAlign w:val="center"/>
          </w:tcPr>
          <w:p w14:paraId="3A7FDFA5" w14:textId="01DE5F8F" w:rsidR="00005F1B" w:rsidRDefault="00005F1B" w:rsidP="00D80044">
            <w:pPr>
              <w:spacing w:before="60" w:after="60"/>
              <w:jc w:val="center"/>
              <w:rPr>
                <w:sz w:val="20"/>
              </w:rPr>
            </w:pPr>
            <w:r w:rsidRPr="00CE15C5">
              <w:t>1,000</w:t>
            </w:r>
          </w:p>
        </w:tc>
      </w:tr>
      <w:tr w:rsidR="00005F1B" w14:paraId="3D995287" w14:textId="77777777" w:rsidTr="00005F1B">
        <w:trPr>
          <w:trHeight w:val="456"/>
        </w:trPr>
        <w:tc>
          <w:tcPr>
            <w:tcW w:w="1276" w:type="dxa"/>
            <w:vAlign w:val="center"/>
          </w:tcPr>
          <w:p w14:paraId="40594319" w14:textId="77777777" w:rsidR="00005F1B" w:rsidRDefault="00005F1B" w:rsidP="00D80044">
            <w:pPr>
              <w:spacing w:before="60" w:after="60"/>
              <w:jc w:val="left"/>
              <w:rPr>
                <w:sz w:val="20"/>
              </w:rPr>
            </w:pPr>
            <w:r w:rsidRPr="003F2CDC">
              <w:t>AC6-5</w:t>
            </w:r>
          </w:p>
        </w:tc>
        <w:tc>
          <w:tcPr>
            <w:tcW w:w="2410" w:type="dxa"/>
            <w:vAlign w:val="center"/>
          </w:tcPr>
          <w:p w14:paraId="3B6FF88A" w14:textId="77777777" w:rsidR="00005F1B" w:rsidRDefault="00005F1B" w:rsidP="00D80044">
            <w:pPr>
              <w:spacing w:before="60" w:after="60"/>
              <w:jc w:val="left"/>
              <w:rPr>
                <w:sz w:val="20"/>
              </w:rPr>
            </w:pPr>
            <w:r w:rsidRPr="003F2CDC">
              <w:t>Light commercial</w:t>
            </w:r>
          </w:p>
        </w:tc>
        <w:tc>
          <w:tcPr>
            <w:tcW w:w="3969" w:type="dxa"/>
            <w:vAlign w:val="center"/>
          </w:tcPr>
          <w:p w14:paraId="519E9388" w14:textId="77777777" w:rsidR="00005F1B" w:rsidRDefault="00005F1B" w:rsidP="00D80044">
            <w:pPr>
              <w:spacing w:before="60" w:after="60"/>
              <w:jc w:val="left"/>
              <w:rPr>
                <w:sz w:val="20"/>
              </w:rPr>
            </w:pPr>
            <w:r w:rsidRPr="003F2CDC">
              <w:t>Pool heat pump</w:t>
            </w:r>
          </w:p>
        </w:tc>
        <w:tc>
          <w:tcPr>
            <w:tcW w:w="1984" w:type="dxa"/>
            <w:vAlign w:val="center"/>
          </w:tcPr>
          <w:p w14:paraId="4B8EBA99" w14:textId="0A3EF122" w:rsidR="00005F1B" w:rsidRDefault="00005F1B" w:rsidP="00D80044">
            <w:pPr>
              <w:spacing w:before="60" w:after="60"/>
              <w:jc w:val="center"/>
              <w:rPr>
                <w:sz w:val="20"/>
              </w:rPr>
            </w:pPr>
            <w:r w:rsidRPr="00CE15C5">
              <w:t>28,000</w:t>
            </w:r>
          </w:p>
        </w:tc>
      </w:tr>
      <w:tr w:rsidR="00005F1B" w:rsidRPr="003F2CDC" w14:paraId="30A702AC" w14:textId="77777777" w:rsidTr="00005F1B">
        <w:trPr>
          <w:trHeight w:val="456"/>
        </w:trPr>
        <w:tc>
          <w:tcPr>
            <w:tcW w:w="1276" w:type="dxa"/>
            <w:tcBorders>
              <w:bottom w:val="double" w:sz="4" w:space="0" w:color="auto"/>
            </w:tcBorders>
            <w:vAlign w:val="center"/>
          </w:tcPr>
          <w:p w14:paraId="3DFFE1CE" w14:textId="77777777" w:rsidR="00005F1B" w:rsidRPr="003F2CDC" w:rsidRDefault="00005F1B" w:rsidP="00D80044">
            <w:pPr>
              <w:spacing w:before="60" w:after="60"/>
              <w:jc w:val="left"/>
            </w:pPr>
            <w:r w:rsidRPr="003F2CDC">
              <w:t>AC7</w:t>
            </w:r>
          </w:p>
        </w:tc>
        <w:tc>
          <w:tcPr>
            <w:tcW w:w="2410" w:type="dxa"/>
            <w:tcBorders>
              <w:bottom w:val="double" w:sz="4" w:space="0" w:color="auto"/>
            </w:tcBorders>
            <w:vAlign w:val="center"/>
          </w:tcPr>
          <w:p w14:paraId="1C8670BB" w14:textId="77777777" w:rsidR="00005F1B" w:rsidRPr="003F2CDC" w:rsidRDefault="00005F1B" w:rsidP="00D80044">
            <w:pPr>
              <w:spacing w:before="60" w:after="60"/>
              <w:jc w:val="left"/>
            </w:pPr>
            <w:r w:rsidRPr="003F2CDC">
              <w:t>HW Heatpumps</w:t>
            </w:r>
          </w:p>
        </w:tc>
        <w:tc>
          <w:tcPr>
            <w:tcW w:w="3969" w:type="dxa"/>
            <w:tcBorders>
              <w:bottom w:val="double" w:sz="4" w:space="0" w:color="auto"/>
            </w:tcBorders>
            <w:vAlign w:val="center"/>
          </w:tcPr>
          <w:p w14:paraId="6C9F880D" w14:textId="77777777" w:rsidR="00005F1B" w:rsidRPr="003F2CDC" w:rsidRDefault="00005F1B" w:rsidP="00D80044">
            <w:pPr>
              <w:spacing w:before="60" w:after="60"/>
              <w:jc w:val="left"/>
            </w:pPr>
            <w:r w:rsidRPr="003F2CDC">
              <w:t>HW heat pump: domestic</w:t>
            </w:r>
          </w:p>
        </w:tc>
        <w:tc>
          <w:tcPr>
            <w:tcW w:w="1984" w:type="dxa"/>
            <w:tcBorders>
              <w:bottom w:val="double" w:sz="4" w:space="0" w:color="auto"/>
            </w:tcBorders>
            <w:vAlign w:val="center"/>
          </w:tcPr>
          <w:p w14:paraId="3F335DEC" w14:textId="65A21FC2" w:rsidR="00005F1B" w:rsidRPr="003F2CDC" w:rsidRDefault="00005F1B" w:rsidP="00D80044">
            <w:pPr>
              <w:spacing w:before="60" w:after="60"/>
              <w:jc w:val="center"/>
            </w:pPr>
            <w:r w:rsidRPr="00CE15C5">
              <w:t>170,000</w:t>
            </w:r>
          </w:p>
        </w:tc>
      </w:tr>
      <w:tr w:rsidR="00D80044" w:rsidRPr="003E19E1" w14:paraId="2E7CC28D" w14:textId="77777777" w:rsidTr="00005F1B">
        <w:trPr>
          <w:trHeight w:val="456"/>
        </w:trPr>
        <w:tc>
          <w:tcPr>
            <w:tcW w:w="1276" w:type="dxa"/>
            <w:tcBorders>
              <w:top w:val="double" w:sz="4" w:space="0" w:color="auto"/>
              <w:bottom w:val="single" w:sz="4" w:space="0" w:color="000000"/>
            </w:tcBorders>
            <w:shd w:val="clear" w:color="auto" w:fill="CCFFFF"/>
            <w:vAlign w:val="center"/>
          </w:tcPr>
          <w:p w14:paraId="121E5575" w14:textId="77777777" w:rsidR="00D80044" w:rsidRPr="003E19E1" w:rsidRDefault="00D80044" w:rsidP="00D80044">
            <w:pPr>
              <w:spacing w:before="60" w:after="60"/>
              <w:jc w:val="left"/>
              <w:rPr>
                <w:szCs w:val="22"/>
              </w:rPr>
            </w:pPr>
            <w:r w:rsidRPr="003E19E1">
              <w:rPr>
                <w:szCs w:val="22"/>
              </w:rPr>
              <w:t>AC</w:t>
            </w:r>
          </w:p>
        </w:tc>
        <w:tc>
          <w:tcPr>
            <w:tcW w:w="2410" w:type="dxa"/>
            <w:tcBorders>
              <w:top w:val="double" w:sz="4" w:space="0" w:color="auto"/>
              <w:bottom w:val="single" w:sz="4" w:space="0" w:color="000000"/>
            </w:tcBorders>
            <w:shd w:val="clear" w:color="auto" w:fill="CCFFFF"/>
            <w:vAlign w:val="center"/>
          </w:tcPr>
          <w:p w14:paraId="30C11C3B" w14:textId="77777777" w:rsidR="00D80044" w:rsidRPr="003E19E1" w:rsidRDefault="00D80044" w:rsidP="00D80044">
            <w:pPr>
              <w:spacing w:before="60" w:after="60"/>
              <w:jc w:val="left"/>
              <w:rPr>
                <w:szCs w:val="22"/>
              </w:rPr>
            </w:pPr>
            <w:r w:rsidRPr="003E19E1">
              <w:rPr>
                <w:szCs w:val="22"/>
              </w:rPr>
              <w:t>Total stationary AC</w:t>
            </w:r>
          </w:p>
        </w:tc>
        <w:tc>
          <w:tcPr>
            <w:tcW w:w="3969" w:type="dxa"/>
            <w:tcBorders>
              <w:top w:val="double" w:sz="4" w:space="0" w:color="auto"/>
              <w:bottom w:val="single" w:sz="4" w:space="0" w:color="000000"/>
            </w:tcBorders>
            <w:shd w:val="clear" w:color="auto" w:fill="CCFFFF"/>
            <w:vAlign w:val="center"/>
          </w:tcPr>
          <w:p w14:paraId="7B64DC25" w14:textId="77777777" w:rsidR="00D80044" w:rsidRPr="003E19E1" w:rsidRDefault="00D80044" w:rsidP="00D80044">
            <w:pPr>
              <w:spacing w:before="60" w:after="60"/>
              <w:jc w:val="left"/>
              <w:rPr>
                <w:szCs w:val="22"/>
              </w:rPr>
            </w:pPr>
          </w:p>
        </w:tc>
        <w:tc>
          <w:tcPr>
            <w:tcW w:w="1984" w:type="dxa"/>
            <w:tcBorders>
              <w:top w:val="double" w:sz="4" w:space="0" w:color="auto"/>
              <w:bottom w:val="single" w:sz="4" w:space="0" w:color="000000"/>
            </w:tcBorders>
            <w:shd w:val="clear" w:color="auto" w:fill="CCFFFF"/>
            <w:vAlign w:val="center"/>
          </w:tcPr>
          <w:p w14:paraId="675E7A0A" w14:textId="3FB01312" w:rsidR="00D80044" w:rsidRPr="003E19E1" w:rsidRDefault="00D80044" w:rsidP="00005F1B">
            <w:pPr>
              <w:spacing w:before="60" w:after="60"/>
              <w:jc w:val="center"/>
              <w:rPr>
                <w:szCs w:val="22"/>
              </w:rPr>
            </w:pPr>
            <w:r w:rsidRPr="00675866">
              <w:t>11,555,0</w:t>
            </w:r>
            <w:r w:rsidR="00005F1B">
              <w:t>000</w:t>
            </w:r>
          </w:p>
        </w:tc>
      </w:tr>
      <w:tr w:rsidR="00580579" w:rsidRPr="003F2CDC" w14:paraId="6F75D5B8" w14:textId="77777777" w:rsidTr="00580579">
        <w:trPr>
          <w:trHeight w:val="456"/>
        </w:trPr>
        <w:tc>
          <w:tcPr>
            <w:tcW w:w="1276" w:type="dxa"/>
            <w:tcBorders>
              <w:top w:val="single" w:sz="4" w:space="0" w:color="000000"/>
              <w:right w:val="single" w:sz="4" w:space="0" w:color="FFFFFF" w:themeColor="background1"/>
            </w:tcBorders>
            <w:shd w:val="clear" w:color="auto" w:fill="000000"/>
            <w:vAlign w:val="center"/>
          </w:tcPr>
          <w:p w14:paraId="560C59C3" w14:textId="77777777" w:rsidR="00580579" w:rsidRPr="003E19E1" w:rsidRDefault="00580579" w:rsidP="00E713EC">
            <w:pPr>
              <w:spacing w:before="60" w:after="60"/>
              <w:jc w:val="left"/>
            </w:pPr>
            <w:r w:rsidRPr="003E19E1">
              <w:t>Category code</w:t>
            </w:r>
          </w:p>
        </w:tc>
        <w:tc>
          <w:tcPr>
            <w:tcW w:w="2410"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32DC80B5" w14:textId="77777777" w:rsidR="00580579" w:rsidRPr="003E19E1" w:rsidRDefault="00580579" w:rsidP="00E713EC">
            <w:pPr>
              <w:spacing w:before="60" w:after="60"/>
              <w:jc w:val="left"/>
            </w:pPr>
            <w:r w:rsidRPr="003E19E1">
              <w:t>Segment</w:t>
            </w:r>
          </w:p>
        </w:tc>
        <w:tc>
          <w:tcPr>
            <w:tcW w:w="3969"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504264B0" w14:textId="77777777" w:rsidR="00580579" w:rsidRPr="003E19E1" w:rsidRDefault="00580579" w:rsidP="00E713EC">
            <w:pPr>
              <w:spacing w:before="60" w:after="60"/>
              <w:jc w:val="left"/>
            </w:pPr>
            <w:r w:rsidRPr="003E19E1">
              <w:t>Product category</w:t>
            </w:r>
          </w:p>
        </w:tc>
        <w:tc>
          <w:tcPr>
            <w:tcW w:w="1984" w:type="dxa"/>
            <w:tcBorders>
              <w:top w:val="single" w:sz="4" w:space="0" w:color="000000"/>
              <w:left w:val="single" w:sz="4" w:space="0" w:color="FFFFFF" w:themeColor="background1"/>
            </w:tcBorders>
            <w:shd w:val="clear" w:color="auto" w:fill="000000"/>
            <w:vAlign w:val="center"/>
          </w:tcPr>
          <w:p w14:paraId="1E1D91FA" w14:textId="77777777" w:rsidR="00580579" w:rsidRPr="003F2CDC" w:rsidRDefault="00580579" w:rsidP="00E713EC">
            <w:pPr>
              <w:spacing w:before="60" w:after="60"/>
              <w:jc w:val="center"/>
            </w:pPr>
            <w:r w:rsidRPr="003E19E1">
              <w:t>Total (units)</w:t>
            </w:r>
          </w:p>
        </w:tc>
      </w:tr>
      <w:tr w:rsidR="007A3837" w:rsidRPr="00923150" w14:paraId="4E246350" w14:textId="77777777" w:rsidTr="00580579">
        <w:trPr>
          <w:trHeight w:val="456"/>
        </w:trPr>
        <w:tc>
          <w:tcPr>
            <w:tcW w:w="1276" w:type="dxa"/>
            <w:tcBorders>
              <w:top w:val="single" w:sz="4" w:space="0" w:color="000000"/>
              <w:left w:val="single" w:sz="4" w:space="0" w:color="000000"/>
              <w:bottom w:val="single" w:sz="4" w:space="0" w:color="000000"/>
              <w:right w:val="single" w:sz="4" w:space="0" w:color="000000"/>
            </w:tcBorders>
            <w:vAlign w:val="center"/>
          </w:tcPr>
          <w:p w14:paraId="1929D6C5" w14:textId="77777777" w:rsidR="007A3837" w:rsidRPr="007B4D7D" w:rsidRDefault="007A3837" w:rsidP="00D80044">
            <w:pPr>
              <w:spacing w:before="60" w:after="60"/>
              <w:jc w:val="left"/>
            </w:pPr>
            <w:r w:rsidRPr="007B4D7D">
              <w:t>MAC1</w:t>
            </w:r>
          </w:p>
        </w:tc>
        <w:tc>
          <w:tcPr>
            <w:tcW w:w="2410" w:type="dxa"/>
            <w:tcBorders>
              <w:top w:val="single" w:sz="4" w:space="0" w:color="000000"/>
              <w:left w:val="single" w:sz="4" w:space="0" w:color="000000"/>
              <w:bottom w:val="single" w:sz="4" w:space="0" w:color="000000"/>
              <w:right w:val="single" w:sz="4" w:space="0" w:color="000000"/>
            </w:tcBorders>
            <w:vAlign w:val="center"/>
          </w:tcPr>
          <w:p w14:paraId="7520F5D7" w14:textId="77777777" w:rsidR="007A3837" w:rsidRPr="007B4D7D" w:rsidRDefault="007A3837" w:rsidP="00D80044">
            <w:pPr>
              <w:spacing w:before="60" w:after="60"/>
              <w:jc w:val="left"/>
            </w:pPr>
            <w:r w:rsidRPr="007B4D7D">
              <w:t>Registered vehicles &lt;3.5 GMV</w:t>
            </w:r>
          </w:p>
        </w:tc>
        <w:tc>
          <w:tcPr>
            <w:tcW w:w="3969" w:type="dxa"/>
            <w:tcBorders>
              <w:top w:val="single" w:sz="4" w:space="0" w:color="000000"/>
              <w:left w:val="single" w:sz="4" w:space="0" w:color="000000"/>
              <w:bottom w:val="single" w:sz="4" w:space="0" w:color="000000"/>
              <w:right w:val="single" w:sz="4" w:space="0" w:color="000000"/>
            </w:tcBorders>
            <w:vAlign w:val="center"/>
          </w:tcPr>
          <w:p w14:paraId="0C8434BE" w14:textId="77777777" w:rsidR="007A3837" w:rsidRPr="007B4D7D" w:rsidRDefault="007A3837" w:rsidP="00D80044">
            <w:pPr>
              <w:spacing w:before="60" w:after="60"/>
              <w:jc w:val="left"/>
            </w:pPr>
            <w:r w:rsidRPr="007B4D7D">
              <w:t>Passenger vehicles</w:t>
            </w:r>
          </w:p>
        </w:tc>
        <w:tc>
          <w:tcPr>
            <w:tcW w:w="1984" w:type="dxa"/>
            <w:tcBorders>
              <w:top w:val="single" w:sz="4" w:space="0" w:color="000000"/>
              <w:left w:val="single" w:sz="4" w:space="0" w:color="000000"/>
              <w:bottom w:val="single" w:sz="4" w:space="0" w:color="000000"/>
              <w:right w:val="single" w:sz="4" w:space="0" w:color="000000"/>
            </w:tcBorders>
            <w:vAlign w:val="center"/>
          </w:tcPr>
          <w:p w14:paraId="46E80569" w14:textId="03387B3D" w:rsidR="007A3837" w:rsidRPr="00D80044" w:rsidRDefault="007A3837" w:rsidP="00D80044">
            <w:pPr>
              <w:spacing w:before="60" w:after="60"/>
              <w:jc w:val="center"/>
            </w:pPr>
            <w:r w:rsidRPr="00E00DBB">
              <w:t>12,079,000</w:t>
            </w:r>
          </w:p>
        </w:tc>
      </w:tr>
      <w:tr w:rsidR="007A3837" w:rsidRPr="00923150" w14:paraId="10658DE4" w14:textId="77777777" w:rsidTr="00580579">
        <w:trPr>
          <w:trHeight w:val="456"/>
        </w:trPr>
        <w:tc>
          <w:tcPr>
            <w:tcW w:w="1276" w:type="dxa"/>
            <w:tcBorders>
              <w:top w:val="single" w:sz="4" w:space="0" w:color="000000"/>
              <w:left w:val="single" w:sz="4" w:space="0" w:color="000000"/>
              <w:bottom w:val="single" w:sz="4" w:space="0" w:color="000000"/>
              <w:right w:val="single" w:sz="4" w:space="0" w:color="000000"/>
            </w:tcBorders>
            <w:vAlign w:val="center"/>
          </w:tcPr>
          <w:p w14:paraId="6502C98E" w14:textId="77777777" w:rsidR="007A3837" w:rsidRPr="007B4D7D" w:rsidRDefault="007A3837" w:rsidP="00D80044">
            <w:pPr>
              <w:spacing w:before="60" w:after="60"/>
              <w:jc w:val="left"/>
            </w:pPr>
            <w:r w:rsidRPr="007B4D7D">
              <w:t>MAC1</w:t>
            </w:r>
          </w:p>
        </w:tc>
        <w:tc>
          <w:tcPr>
            <w:tcW w:w="2410" w:type="dxa"/>
            <w:tcBorders>
              <w:top w:val="single" w:sz="4" w:space="0" w:color="000000"/>
              <w:left w:val="single" w:sz="4" w:space="0" w:color="000000"/>
              <w:bottom w:val="single" w:sz="4" w:space="0" w:color="000000"/>
              <w:right w:val="single" w:sz="4" w:space="0" w:color="000000"/>
            </w:tcBorders>
            <w:vAlign w:val="center"/>
          </w:tcPr>
          <w:p w14:paraId="36FB3017" w14:textId="77777777" w:rsidR="007A3837" w:rsidRPr="007B4D7D" w:rsidRDefault="007A3837" w:rsidP="00D80044">
            <w:pPr>
              <w:spacing w:before="60" w:after="60"/>
              <w:jc w:val="left"/>
            </w:pPr>
            <w:r w:rsidRPr="007B4D7D">
              <w:t>Registered vehicles &lt;3.5 GMV</w:t>
            </w:r>
          </w:p>
        </w:tc>
        <w:tc>
          <w:tcPr>
            <w:tcW w:w="3969" w:type="dxa"/>
            <w:tcBorders>
              <w:top w:val="single" w:sz="4" w:space="0" w:color="000000"/>
              <w:left w:val="single" w:sz="4" w:space="0" w:color="000000"/>
              <w:bottom w:val="single" w:sz="4" w:space="0" w:color="000000"/>
              <w:right w:val="single" w:sz="4" w:space="0" w:color="000000"/>
            </w:tcBorders>
            <w:vAlign w:val="center"/>
          </w:tcPr>
          <w:p w14:paraId="5D70C496" w14:textId="77777777" w:rsidR="007A3837" w:rsidRPr="007B4D7D" w:rsidRDefault="007A3837" w:rsidP="00D80044">
            <w:pPr>
              <w:spacing w:before="60" w:after="60"/>
              <w:jc w:val="left"/>
            </w:pPr>
            <w:r w:rsidRPr="007B4D7D">
              <w:t>Light commercial vehicles</w:t>
            </w:r>
          </w:p>
        </w:tc>
        <w:tc>
          <w:tcPr>
            <w:tcW w:w="1984" w:type="dxa"/>
            <w:tcBorders>
              <w:top w:val="single" w:sz="4" w:space="0" w:color="000000"/>
              <w:left w:val="single" w:sz="4" w:space="0" w:color="000000"/>
              <w:bottom w:val="single" w:sz="4" w:space="0" w:color="000000"/>
              <w:right w:val="single" w:sz="4" w:space="0" w:color="000000"/>
            </w:tcBorders>
            <w:vAlign w:val="center"/>
          </w:tcPr>
          <w:p w14:paraId="4A328D5A" w14:textId="2E56F634" w:rsidR="007A3837" w:rsidRPr="00D80044" w:rsidRDefault="007A3837" w:rsidP="00D80044">
            <w:pPr>
              <w:spacing w:before="60" w:after="60"/>
              <w:jc w:val="center"/>
            </w:pPr>
            <w:r w:rsidRPr="00E00DBB">
              <w:t>2,487,000</w:t>
            </w:r>
          </w:p>
        </w:tc>
      </w:tr>
      <w:tr w:rsidR="007A3837" w:rsidRPr="00923150" w14:paraId="402472B6" w14:textId="77777777" w:rsidTr="00580579">
        <w:trPr>
          <w:trHeight w:val="456"/>
        </w:trPr>
        <w:tc>
          <w:tcPr>
            <w:tcW w:w="1276" w:type="dxa"/>
            <w:tcBorders>
              <w:top w:val="single" w:sz="4" w:space="0" w:color="000000"/>
              <w:left w:val="single" w:sz="4" w:space="0" w:color="000000"/>
              <w:bottom w:val="single" w:sz="4" w:space="0" w:color="000000"/>
              <w:right w:val="single" w:sz="4" w:space="0" w:color="000000"/>
            </w:tcBorders>
            <w:vAlign w:val="center"/>
          </w:tcPr>
          <w:p w14:paraId="23010F4A" w14:textId="77777777" w:rsidR="007A3837" w:rsidRPr="00D80044" w:rsidRDefault="007A3837" w:rsidP="00D80044">
            <w:pPr>
              <w:spacing w:before="60" w:after="60"/>
              <w:jc w:val="left"/>
              <w:rPr>
                <w:szCs w:val="22"/>
              </w:rPr>
            </w:pPr>
            <w:r w:rsidRPr="00D80044">
              <w:rPr>
                <w:szCs w:val="22"/>
              </w:rPr>
              <w:t>MAC2</w:t>
            </w:r>
          </w:p>
        </w:tc>
        <w:tc>
          <w:tcPr>
            <w:tcW w:w="2410" w:type="dxa"/>
            <w:tcBorders>
              <w:top w:val="single" w:sz="4" w:space="0" w:color="000000"/>
              <w:left w:val="single" w:sz="4" w:space="0" w:color="000000"/>
              <w:bottom w:val="single" w:sz="4" w:space="0" w:color="000000"/>
              <w:right w:val="single" w:sz="4" w:space="0" w:color="000000"/>
            </w:tcBorders>
            <w:vAlign w:val="center"/>
          </w:tcPr>
          <w:p w14:paraId="7AB44AD8" w14:textId="77777777" w:rsidR="007A3837" w:rsidRPr="00D80044" w:rsidRDefault="007A3837" w:rsidP="00D80044">
            <w:pPr>
              <w:spacing w:before="60" w:after="60"/>
              <w:jc w:val="left"/>
              <w:rPr>
                <w:szCs w:val="22"/>
              </w:rPr>
            </w:pPr>
            <w:r w:rsidRPr="00D80044">
              <w:rPr>
                <w:szCs w:val="22"/>
              </w:rPr>
              <w:t>Registered vehicles ≥3.5 GMV</w:t>
            </w:r>
          </w:p>
        </w:tc>
        <w:tc>
          <w:tcPr>
            <w:tcW w:w="3969" w:type="dxa"/>
            <w:tcBorders>
              <w:top w:val="single" w:sz="4" w:space="0" w:color="000000"/>
              <w:left w:val="single" w:sz="4" w:space="0" w:color="000000"/>
              <w:bottom w:val="single" w:sz="4" w:space="0" w:color="000000"/>
              <w:right w:val="single" w:sz="4" w:space="0" w:color="000000"/>
            </w:tcBorders>
            <w:vAlign w:val="center"/>
          </w:tcPr>
          <w:p w14:paraId="71A82CD0" w14:textId="77777777" w:rsidR="007A3837" w:rsidRPr="00D80044" w:rsidRDefault="007A3837" w:rsidP="00D80044">
            <w:pPr>
              <w:spacing w:before="60" w:after="60"/>
              <w:jc w:val="left"/>
              <w:rPr>
                <w:szCs w:val="22"/>
              </w:rPr>
            </w:pPr>
            <w:r w:rsidRPr="00D80044">
              <w:rPr>
                <w:szCs w:val="22"/>
              </w:rPr>
              <w:t>Rigid truck and other</w:t>
            </w:r>
          </w:p>
        </w:tc>
        <w:tc>
          <w:tcPr>
            <w:tcW w:w="1984" w:type="dxa"/>
            <w:tcBorders>
              <w:top w:val="single" w:sz="4" w:space="0" w:color="000000"/>
              <w:left w:val="single" w:sz="4" w:space="0" w:color="000000"/>
              <w:bottom w:val="single" w:sz="4" w:space="0" w:color="000000"/>
              <w:right w:val="single" w:sz="4" w:space="0" w:color="000000"/>
            </w:tcBorders>
            <w:vAlign w:val="center"/>
          </w:tcPr>
          <w:p w14:paraId="5BCC1A93" w14:textId="1E001E7C" w:rsidR="007A3837" w:rsidRPr="00D80044" w:rsidRDefault="007A3837" w:rsidP="00D80044">
            <w:pPr>
              <w:spacing w:before="60" w:after="60"/>
              <w:jc w:val="center"/>
            </w:pPr>
            <w:r w:rsidRPr="00E00DBB">
              <w:t>422,000</w:t>
            </w:r>
          </w:p>
        </w:tc>
      </w:tr>
      <w:tr w:rsidR="007A3837" w:rsidRPr="00923150" w14:paraId="0608521D" w14:textId="77777777" w:rsidTr="00580579">
        <w:trPr>
          <w:trHeight w:val="456"/>
        </w:trPr>
        <w:tc>
          <w:tcPr>
            <w:tcW w:w="1276" w:type="dxa"/>
            <w:tcBorders>
              <w:top w:val="single" w:sz="4" w:space="0" w:color="000000"/>
              <w:left w:val="single" w:sz="4" w:space="0" w:color="000000"/>
              <w:bottom w:val="single" w:sz="4" w:space="0" w:color="000000"/>
              <w:right w:val="single" w:sz="4" w:space="0" w:color="000000"/>
            </w:tcBorders>
            <w:vAlign w:val="center"/>
          </w:tcPr>
          <w:p w14:paraId="51518CE1" w14:textId="77777777" w:rsidR="007A3837" w:rsidRPr="00D80044" w:rsidRDefault="007A3837" w:rsidP="00D80044">
            <w:pPr>
              <w:spacing w:before="60" w:after="60"/>
              <w:jc w:val="left"/>
              <w:rPr>
                <w:szCs w:val="22"/>
              </w:rPr>
            </w:pPr>
            <w:r w:rsidRPr="00D80044">
              <w:rPr>
                <w:szCs w:val="22"/>
              </w:rPr>
              <w:t>MAC2</w:t>
            </w:r>
          </w:p>
        </w:tc>
        <w:tc>
          <w:tcPr>
            <w:tcW w:w="2410" w:type="dxa"/>
            <w:tcBorders>
              <w:top w:val="single" w:sz="4" w:space="0" w:color="000000"/>
              <w:left w:val="single" w:sz="4" w:space="0" w:color="000000"/>
              <w:bottom w:val="single" w:sz="4" w:space="0" w:color="000000"/>
              <w:right w:val="single" w:sz="4" w:space="0" w:color="000000"/>
            </w:tcBorders>
            <w:vAlign w:val="center"/>
          </w:tcPr>
          <w:p w14:paraId="409668A2" w14:textId="77777777" w:rsidR="007A3837" w:rsidRPr="00D80044" w:rsidRDefault="007A3837" w:rsidP="00D80044">
            <w:pPr>
              <w:spacing w:before="60" w:after="60"/>
              <w:jc w:val="left"/>
              <w:rPr>
                <w:szCs w:val="22"/>
              </w:rPr>
            </w:pPr>
            <w:r w:rsidRPr="00D80044">
              <w:rPr>
                <w:szCs w:val="22"/>
              </w:rPr>
              <w:t>Registered vehicles ≥3.5 GMV</w:t>
            </w:r>
          </w:p>
        </w:tc>
        <w:tc>
          <w:tcPr>
            <w:tcW w:w="3969" w:type="dxa"/>
            <w:tcBorders>
              <w:top w:val="single" w:sz="4" w:space="0" w:color="000000"/>
              <w:left w:val="single" w:sz="4" w:space="0" w:color="000000"/>
              <w:bottom w:val="single" w:sz="4" w:space="0" w:color="000000"/>
              <w:right w:val="single" w:sz="4" w:space="0" w:color="000000"/>
            </w:tcBorders>
            <w:vAlign w:val="center"/>
          </w:tcPr>
          <w:p w14:paraId="6538E0F9" w14:textId="77777777" w:rsidR="007A3837" w:rsidRPr="00D80044" w:rsidRDefault="007A3837" w:rsidP="00D80044">
            <w:pPr>
              <w:spacing w:before="60" w:after="60"/>
              <w:jc w:val="left"/>
              <w:rPr>
                <w:szCs w:val="22"/>
              </w:rPr>
            </w:pPr>
            <w:r w:rsidRPr="00D80044">
              <w:rPr>
                <w:szCs w:val="22"/>
              </w:rPr>
              <w:t>Truck: articulated</w:t>
            </w:r>
          </w:p>
        </w:tc>
        <w:tc>
          <w:tcPr>
            <w:tcW w:w="1984" w:type="dxa"/>
            <w:tcBorders>
              <w:top w:val="single" w:sz="4" w:space="0" w:color="000000"/>
              <w:left w:val="single" w:sz="4" w:space="0" w:color="000000"/>
              <w:bottom w:val="single" w:sz="4" w:space="0" w:color="000000"/>
              <w:right w:val="single" w:sz="4" w:space="0" w:color="000000"/>
            </w:tcBorders>
            <w:vAlign w:val="center"/>
          </w:tcPr>
          <w:p w14:paraId="521B8D4B" w14:textId="21EFAAE5" w:rsidR="007A3837" w:rsidRPr="00D80044" w:rsidRDefault="007A3837" w:rsidP="00D80044">
            <w:pPr>
              <w:spacing w:before="60" w:after="60"/>
              <w:jc w:val="center"/>
            </w:pPr>
            <w:r w:rsidRPr="00E00DBB">
              <w:t>88,000</w:t>
            </w:r>
          </w:p>
        </w:tc>
      </w:tr>
      <w:tr w:rsidR="007A3837" w:rsidRPr="00923150" w14:paraId="359B4FD9" w14:textId="77777777" w:rsidTr="00580579">
        <w:trPr>
          <w:trHeight w:val="456"/>
        </w:trPr>
        <w:tc>
          <w:tcPr>
            <w:tcW w:w="1276" w:type="dxa"/>
            <w:tcBorders>
              <w:top w:val="single" w:sz="4" w:space="0" w:color="000000"/>
              <w:left w:val="single" w:sz="4" w:space="0" w:color="000000"/>
              <w:bottom w:val="single" w:sz="4" w:space="0" w:color="000000"/>
              <w:right w:val="single" w:sz="4" w:space="0" w:color="000000"/>
            </w:tcBorders>
            <w:vAlign w:val="center"/>
          </w:tcPr>
          <w:p w14:paraId="0842CA2D" w14:textId="77777777" w:rsidR="007A3837" w:rsidRPr="00D80044" w:rsidRDefault="007A3837" w:rsidP="00D80044">
            <w:pPr>
              <w:spacing w:before="60" w:after="60"/>
              <w:jc w:val="left"/>
              <w:rPr>
                <w:szCs w:val="22"/>
              </w:rPr>
            </w:pPr>
            <w:r w:rsidRPr="00D80044">
              <w:rPr>
                <w:szCs w:val="22"/>
              </w:rPr>
              <w:t>MAC2</w:t>
            </w:r>
          </w:p>
        </w:tc>
        <w:tc>
          <w:tcPr>
            <w:tcW w:w="2410" w:type="dxa"/>
            <w:tcBorders>
              <w:top w:val="single" w:sz="4" w:space="0" w:color="000000"/>
              <w:left w:val="single" w:sz="4" w:space="0" w:color="000000"/>
              <w:bottom w:val="single" w:sz="4" w:space="0" w:color="000000"/>
              <w:right w:val="single" w:sz="4" w:space="0" w:color="000000"/>
            </w:tcBorders>
            <w:vAlign w:val="center"/>
          </w:tcPr>
          <w:p w14:paraId="0552D733" w14:textId="77777777" w:rsidR="007A3837" w:rsidRPr="00D80044" w:rsidRDefault="007A3837" w:rsidP="00D80044">
            <w:pPr>
              <w:spacing w:before="60" w:after="60"/>
              <w:jc w:val="left"/>
              <w:rPr>
                <w:szCs w:val="22"/>
              </w:rPr>
            </w:pPr>
            <w:r w:rsidRPr="00D80044">
              <w:rPr>
                <w:szCs w:val="22"/>
              </w:rPr>
              <w:t>Registered vehicles ≥3.5 GMV</w:t>
            </w:r>
          </w:p>
        </w:tc>
        <w:tc>
          <w:tcPr>
            <w:tcW w:w="3969" w:type="dxa"/>
            <w:tcBorders>
              <w:top w:val="single" w:sz="4" w:space="0" w:color="000000"/>
              <w:left w:val="single" w:sz="4" w:space="0" w:color="000000"/>
              <w:bottom w:val="single" w:sz="4" w:space="0" w:color="000000"/>
              <w:right w:val="single" w:sz="4" w:space="0" w:color="000000"/>
            </w:tcBorders>
            <w:vAlign w:val="center"/>
          </w:tcPr>
          <w:p w14:paraId="56167181" w14:textId="77777777" w:rsidR="007A3837" w:rsidRPr="00D80044" w:rsidRDefault="007A3837" w:rsidP="00D80044">
            <w:pPr>
              <w:spacing w:before="60" w:after="60"/>
              <w:jc w:val="left"/>
              <w:rPr>
                <w:szCs w:val="22"/>
              </w:rPr>
            </w:pPr>
            <w:r w:rsidRPr="00D80044">
              <w:rPr>
                <w:szCs w:val="22"/>
              </w:rPr>
              <w:t>Commuter buses</w:t>
            </w:r>
          </w:p>
        </w:tc>
        <w:tc>
          <w:tcPr>
            <w:tcW w:w="1984" w:type="dxa"/>
            <w:tcBorders>
              <w:top w:val="single" w:sz="4" w:space="0" w:color="000000"/>
              <w:left w:val="single" w:sz="4" w:space="0" w:color="000000"/>
              <w:bottom w:val="single" w:sz="4" w:space="0" w:color="000000"/>
              <w:right w:val="single" w:sz="4" w:space="0" w:color="000000"/>
            </w:tcBorders>
            <w:vAlign w:val="center"/>
          </w:tcPr>
          <w:p w14:paraId="360D419F" w14:textId="644D1F97" w:rsidR="007A3837" w:rsidRPr="00D80044" w:rsidRDefault="007A3837" w:rsidP="00D80044">
            <w:pPr>
              <w:spacing w:before="60" w:after="60"/>
              <w:jc w:val="center"/>
            </w:pPr>
            <w:r w:rsidRPr="00E00DBB">
              <w:t>68,600</w:t>
            </w:r>
          </w:p>
        </w:tc>
      </w:tr>
      <w:tr w:rsidR="007A3837" w:rsidRPr="00923150" w14:paraId="238B6907" w14:textId="77777777" w:rsidTr="00580579">
        <w:trPr>
          <w:trHeight w:val="456"/>
        </w:trPr>
        <w:tc>
          <w:tcPr>
            <w:tcW w:w="1276" w:type="dxa"/>
            <w:tcBorders>
              <w:top w:val="single" w:sz="4" w:space="0" w:color="000000"/>
              <w:left w:val="single" w:sz="4" w:space="0" w:color="000000"/>
              <w:bottom w:val="single" w:sz="4" w:space="0" w:color="000000"/>
              <w:right w:val="single" w:sz="4" w:space="0" w:color="000000"/>
            </w:tcBorders>
            <w:vAlign w:val="center"/>
          </w:tcPr>
          <w:p w14:paraId="2252FE91" w14:textId="77777777" w:rsidR="007A3837" w:rsidRPr="00D80044" w:rsidRDefault="007A3837" w:rsidP="00D80044">
            <w:pPr>
              <w:spacing w:before="60" w:after="60"/>
              <w:jc w:val="left"/>
              <w:rPr>
                <w:szCs w:val="22"/>
              </w:rPr>
            </w:pPr>
            <w:r w:rsidRPr="00D80044">
              <w:rPr>
                <w:szCs w:val="22"/>
              </w:rPr>
              <w:t>MAC2</w:t>
            </w:r>
          </w:p>
        </w:tc>
        <w:tc>
          <w:tcPr>
            <w:tcW w:w="2410" w:type="dxa"/>
            <w:tcBorders>
              <w:top w:val="single" w:sz="4" w:space="0" w:color="000000"/>
              <w:left w:val="single" w:sz="4" w:space="0" w:color="000000"/>
              <w:bottom w:val="single" w:sz="4" w:space="0" w:color="000000"/>
              <w:right w:val="single" w:sz="4" w:space="0" w:color="000000"/>
            </w:tcBorders>
            <w:vAlign w:val="center"/>
          </w:tcPr>
          <w:p w14:paraId="64FCC622" w14:textId="77777777" w:rsidR="007A3837" w:rsidRPr="00D80044" w:rsidRDefault="007A3837" w:rsidP="00D80044">
            <w:pPr>
              <w:spacing w:before="60" w:after="60"/>
              <w:jc w:val="left"/>
              <w:rPr>
                <w:szCs w:val="22"/>
              </w:rPr>
            </w:pPr>
            <w:r w:rsidRPr="00D80044">
              <w:rPr>
                <w:szCs w:val="22"/>
              </w:rPr>
              <w:t>Registered vehicles ≥3.5 GMV</w:t>
            </w:r>
          </w:p>
        </w:tc>
        <w:tc>
          <w:tcPr>
            <w:tcW w:w="3969" w:type="dxa"/>
            <w:tcBorders>
              <w:top w:val="single" w:sz="4" w:space="0" w:color="000000"/>
              <w:left w:val="single" w:sz="4" w:space="0" w:color="000000"/>
              <w:bottom w:val="single" w:sz="4" w:space="0" w:color="000000"/>
              <w:right w:val="single" w:sz="4" w:space="0" w:color="000000"/>
            </w:tcBorders>
            <w:vAlign w:val="center"/>
          </w:tcPr>
          <w:p w14:paraId="5049EECD" w14:textId="77777777" w:rsidR="007A3837" w:rsidRPr="00D80044" w:rsidRDefault="007A3837" w:rsidP="00D80044">
            <w:pPr>
              <w:spacing w:before="60" w:after="60"/>
              <w:jc w:val="left"/>
              <w:rPr>
                <w:szCs w:val="22"/>
              </w:rPr>
            </w:pPr>
            <w:r w:rsidRPr="00D80044">
              <w:rPr>
                <w:szCs w:val="22"/>
              </w:rPr>
              <w:t>Buses (&gt; 7m)</w:t>
            </w:r>
          </w:p>
        </w:tc>
        <w:tc>
          <w:tcPr>
            <w:tcW w:w="1984" w:type="dxa"/>
            <w:tcBorders>
              <w:top w:val="single" w:sz="4" w:space="0" w:color="000000"/>
              <w:left w:val="single" w:sz="4" w:space="0" w:color="000000"/>
              <w:bottom w:val="single" w:sz="4" w:space="0" w:color="000000"/>
              <w:right w:val="single" w:sz="4" w:space="0" w:color="000000"/>
            </w:tcBorders>
            <w:vAlign w:val="center"/>
          </w:tcPr>
          <w:p w14:paraId="3F5B1041" w14:textId="0DF8CE6F" w:rsidR="007A3837" w:rsidRPr="00D80044" w:rsidRDefault="007A3837" w:rsidP="00D80044">
            <w:pPr>
              <w:spacing w:before="60" w:after="60"/>
              <w:jc w:val="center"/>
            </w:pPr>
            <w:r w:rsidRPr="00E00DBB">
              <w:t>22,000</w:t>
            </w:r>
          </w:p>
        </w:tc>
      </w:tr>
      <w:tr w:rsidR="007A3837" w:rsidRPr="00923150" w14:paraId="5A9F686E" w14:textId="77777777" w:rsidTr="00580579">
        <w:trPr>
          <w:trHeight w:val="456"/>
        </w:trPr>
        <w:tc>
          <w:tcPr>
            <w:tcW w:w="1276" w:type="dxa"/>
            <w:tcBorders>
              <w:top w:val="single" w:sz="4" w:space="0" w:color="000000"/>
              <w:left w:val="single" w:sz="4" w:space="0" w:color="000000"/>
              <w:bottom w:val="single" w:sz="4" w:space="0" w:color="000000"/>
              <w:right w:val="single" w:sz="4" w:space="0" w:color="000000"/>
            </w:tcBorders>
            <w:vAlign w:val="center"/>
          </w:tcPr>
          <w:p w14:paraId="3648FC19" w14:textId="77777777" w:rsidR="007A3837" w:rsidRPr="00D80044" w:rsidRDefault="007A3837" w:rsidP="00D80044">
            <w:pPr>
              <w:spacing w:before="60" w:after="60"/>
              <w:jc w:val="left"/>
              <w:rPr>
                <w:szCs w:val="22"/>
              </w:rPr>
            </w:pPr>
            <w:r w:rsidRPr="00D80044">
              <w:rPr>
                <w:szCs w:val="22"/>
              </w:rPr>
              <w:t>MAC3</w:t>
            </w:r>
          </w:p>
        </w:tc>
        <w:tc>
          <w:tcPr>
            <w:tcW w:w="2410" w:type="dxa"/>
            <w:tcBorders>
              <w:top w:val="single" w:sz="4" w:space="0" w:color="000000"/>
              <w:left w:val="single" w:sz="4" w:space="0" w:color="000000"/>
              <w:bottom w:val="single" w:sz="4" w:space="0" w:color="000000"/>
              <w:right w:val="single" w:sz="4" w:space="0" w:color="000000"/>
            </w:tcBorders>
            <w:vAlign w:val="center"/>
          </w:tcPr>
          <w:p w14:paraId="28FC1AA8" w14:textId="77777777" w:rsidR="007A3837" w:rsidRPr="00D80044" w:rsidRDefault="007A3837" w:rsidP="00D80044">
            <w:pPr>
              <w:spacing w:before="60" w:after="60"/>
              <w:jc w:val="left"/>
              <w:rPr>
                <w:szCs w:val="22"/>
              </w:rPr>
            </w:pPr>
            <w:r w:rsidRPr="00D80044">
              <w:rPr>
                <w:szCs w:val="22"/>
              </w:rPr>
              <w:t>Rail</w:t>
            </w:r>
          </w:p>
        </w:tc>
        <w:tc>
          <w:tcPr>
            <w:tcW w:w="3969" w:type="dxa"/>
            <w:tcBorders>
              <w:top w:val="single" w:sz="4" w:space="0" w:color="000000"/>
              <w:left w:val="single" w:sz="4" w:space="0" w:color="000000"/>
              <w:bottom w:val="single" w:sz="4" w:space="0" w:color="000000"/>
              <w:right w:val="single" w:sz="4" w:space="0" w:color="000000"/>
            </w:tcBorders>
            <w:vAlign w:val="center"/>
          </w:tcPr>
          <w:p w14:paraId="6A97751F" w14:textId="77777777" w:rsidR="007A3837" w:rsidRPr="00D80044" w:rsidRDefault="007A3837" w:rsidP="00D80044">
            <w:pPr>
              <w:spacing w:before="60" w:after="60"/>
              <w:jc w:val="left"/>
              <w:rPr>
                <w:szCs w:val="22"/>
              </w:rPr>
            </w:pPr>
            <w:r w:rsidRPr="00D80044">
              <w:rPr>
                <w:szCs w:val="22"/>
              </w:rPr>
              <w:t xml:space="preserve">Passenger rail </w:t>
            </w:r>
          </w:p>
        </w:tc>
        <w:tc>
          <w:tcPr>
            <w:tcW w:w="1984" w:type="dxa"/>
            <w:tcBorders>
              <w:top w:val="single" w:sz="4" w:space="0" w:color="000000"/>
              <w:left w:val="single" w:sz="4" w:space="0" w:color="000000"/>
              <w:bottom w:val="single" w:sz="4" w:space="0" w:color="000000"/>
              <w:right w:val="single" w:sz="4" w:space="0" w:color="000000"/>
            </w:tcBorders>
            <w:vAlign w:val="center"/>
          </w:tcPr>
          <w:p w14:paraId="4F751B26" w14:textId="2CFA8574" w:rsidR="007A3837" w:rsidRPr="00D80044" w:rsidRDefault="007A3837" w:rsidP="00D80044">
            <w:pPr>
              <w:spacing w:before="60" w:after="60"/>
              <w:jc w:val="center"/>
            </w:pPr>
            <w:r w:rsidRPr="00E00DBB">
              <w:t>6,800</w:t>
            </w:r>
          </w:p>
        </w:tc>
      </w:tr>
      <w:tr w:rsidR="007A3837" w:rsidRPr="00923150" w14:paraId="541A229E" w14:textId="77777777" w:rsidTr="00580579">
        <w:trPr>
          <w:trHeight w:val="456"/>
        </w:trPr>
        <w:tc>
          <w:tcPr>
            <w:tcW w:w="1276" w:type="dxa"/>
            <w:tcBorders>
              <w:top w:val="single" w:sz="4" w:space="0" w:color="000000"/>
              <w:left w:val="single" w:sz="4" w:space="0" w:color="000000"/>
              <w:bottom w:val="single" w:sz="4" w:space="0" w:color="000000"/>
              <w:right w:val="single" w:sz="4" w:space="0" w:color="000000"/>
            </w:tcBorders>
            <w:vAlign w:val="center"/>
          </w:tcPr>
          <w:p w14:paraId="307625D2" w14:textId="77777777" w:rsidR="007A3837" w:rsidRPr="00D80044" w:rsidRDefault="007A3837" w:rsidP="00D80044">
            <w:pPr>
              <w:spacing w:before="60" w:after="60"/>
              <w:jc w:val="left"/>
              <w:rPr>
                <w:szCs w:val="22"/>
              </w:rPr>
            </w:pPr>
            <w:r w:rsidRPr="00D80044">
              <w:rPr>
                <w:szCs w:val="22"/>
              </w:rPr>
              <w:t>MAC3</w:t>
            </w:r>
          </w:p>
        </w:tc>
        <w:tc>
          <w:tcPr>
            <w:tcW w:w="2410" w:type="dxa"/>
            <w:tcBorders>
              <w:top w:val="single" w:sz="4" w:space="0" w:color="000000"/>
              <w:left w:val="single" w:sz="4" w:space="0" w:color="000000"/>
              <w:bottom w:val="single" w:sz="4" w:space="0" w:color="000000"/>
              <w:right w:val="single" w:sz="4" w:space="0" w:color="000000"/>
            </w:tcBorders>
            <w:vAlign w:val="center"/>
          </w:tcPr>
          <w:p w14:paraId="3F95A54F" w14:textId="77777777" w:rsidR="007A3837" w:rsidRPr="00D80044" w:rsidRDefault="007A3837" w:rsidP="00D80044">
            <w:pPr>
              <w:spacing w:before="60" w:after="60"/>
              <w:jc w:val="left"/>
              <w:rPr>
                <w:szCs w:val="22"/>
              </w:rPr>
            </w:pPr>
            <w:r w:rsidRPr="00D80044">
              <w:rPr>
                <w:szCs w:val="22"/>
              </w:rPr>
              <w:t>Rail</w:t>
            </w:r>
          </w:p>
        </w:tc>
        <w:tc>
          <w:tcPr>
            <w:tcW w:w="3969" w:type="dxa"/>
            <w:tcBorders>
              <w:top w:val="single" w:sz="4" w:space="0" w:color="000000"/>
              <w:left w:val="single" w:sz="4" w:space="0" w:color="000000"/>
              <w:bottom w:val="single" w:sz="4" w:space="0" w:color="000000"/>
              <w:right w:val="single" w:sz="4" w:space="0" w:color="000000"/>
            </w:tcBorders>
            <w:vAlign w:val="center"/>
          </w:tcPr>
          <w:p w14:paraId="6AF38E21" w14:textId="77777777" w:rsidR="007A3837" w:rsidRPr="00D80044" w:rsidRDefault="007A3837" w:rsidP="00D80044">
            <w:pPr>
              <w:spacing w:before="60" w:after="60"/>
              <w:jc w:val="left"/>
              <w:rPr>
                <w:szCs w:val="22"/>
              </w:rPr>
            </w:pPr>
            <w:r w:rsidRPr="00D80044">
              <w:rPr>
                <w:szCs w:val="22"/>
              </w:rPr>
              <w:t>Locomotive</w:t>
            </w:r>
          </w:p>
        </w:tc>
        <w:tc>
          <w:tcPr>
            <w:tcW w:w="1984" w:type="dxa"/>
            <w:tcBorders>
              <w:top w:val="single" w:sz="4" w:space="0" w:color="000000"/>
              <w:left w:val="single" w:sz="4" w:space="0" w:color="000000"/>
              <w:bottom w:val="single" w:sz="4" w:space="0" w:color="000000"/>
              <w:right w:val="single" w:sz="4" w:space="0" w:color="000000"/>
            </w:tcBorders>
            <w:vAlign w:val="center"/>
          </w:tcPr>
          <w:p w14:paraId="1CA07E4D" w14:textId="6E07B691" w:rsidR="007A3837" w:rsidRPr="00D80044" w:rsidRDefault="007A3837" w:rsidP="00D80044">
            <w:pPr>
              <w:spacing w:before="60" w:after="60"/>
              <w:jc w:val="center"/>
            </w:pPr>
            <w:r w:rsidRPr="00E00DBB">
              <w:t>1,900</w:t>
            </w:r>
          </w:p>
        </w:tc>
      </w:tr>
      <w:tr w:rsidR="007A3837" w:rsidRPr="00923150" w14:paraId="0550538E" w14:textId="77777777" w:rsidTr="00580579">
        <w:trPr>
          <w:trHeight w:val="456"/>
        </w:trPr>
        <w:tc>
          <w:tcPr>
            <w:tcW w:w="1276" w:type="dxa"/>
            <w:tcBorders>
              <w:top w:val="single" w:sz="4" w:space="0" w:color="000000"/>
              <w:left w:val="single" w:sz="4" w:space="0" w:color="000000"/>
              <w:bottom w:val="single" w:sz="4" w:space="0" w:color="000000"/>
              <w:right w:val="single" w:sz="4" w:space="0" w:color="000000"/>
            </w:tcBorders>
            <w:vAlign w:val="center"/>
          </w:tcPr>
          <w:p w14:paraId="09AEEEA7" w14:textId="77777777" w:rsidR="007A3837" w:rsidRPr="00D80044" w:rsidRDefault="007A3837" w:rsidP="00D80044">
            <w:pPr>
              <w:spacing w:before="60" w:after="60"/>
              <w:jc w:val="left"/>
              <w:rPr>
                <w:szCs w:val="22"/>
              </w:rPr>
            </w:pPr>
            <w:r w:rsidRPr="00D80044">
              <w:rPr>
                <w:szCs w:val="22"/>
              </w:rPr>
              <w:t>MAC4</w:t>
            </w:r>
          </w:p>
        </w:tc>
        <w:tc>
          <w:tcPr>
            <w:tcW w:w="2410" w:type="dxa"/>
            <w:tcBorders>
              <w:top w:val="single" w:sz="4" w:space="0" w:color="000000"/>
              <w:left w:val="single" w:sz="4" w:space="0" w:color="000000"/>
              <w:bottom w:val="single" w:sz="4" w:space="0" w:color="000000"/>
              <w:right w:val="single" w:sz="4" w:space="0" w:color="000000"/>
            </w:tcBorders>
            <w:vAlign w:val="center"/>
          </w:tcPr>
          <w:p w14:paraId="17063BAF" w14:textId="77777777" w:rsidR="007A3837" w:rsidRPr="00D80044" w:rsidRDefault="007A3837" w:rsidP="00D80044">
            <w:pPr>
              <w:spacing w:before="60" w:after="60"/>
              <w:jc w:val="left"/>
              <w:rPr>
                <w:szCs w:val="22"/>
              </w:rPr>
            </w:pPr>
            <w:r w:rsidRPr="00D80044">
              <w:rPr>
                <w:szCs w:val="22"/>
              </w:rPr>
              <w:t>Vehicles: other</w:t>
            </w:r>
          </w:p>
        </w:tc>
        <w:tc>
          <w:tcPr>
            <w:tcW w:w="3969" w:type="dxa"/>
            <w:tcBorders>
              <w:top w:val="single" w:sz="4" w:space="0" w:color="000000"/>
              <w:left w:val="single" w:sz="4" w:space="0" w:color="000000"/>
              <w:bottom w:val="single" w:sz="4" w:space="0" w:color="000000"/>
              <w:right w:val="single" w:sz="4" w:space="0" w:color="000000"/>
            </w:tcBorders>
            <w:vAlign w:val="center"/>
          </w:tcPr>
          <w:p w14:paraId="652C7932" w14:textId="77777777" w:rsidR="007A3837" w:rsidRPr="00D80044" w:rsidRDefault="007A3837" w:rsidP="00D80044">
            <w:pPr>
              <w:spacing w:before="60" w:after="60"/>
              <w:jc w:val="left"/>
              <w:rPr>
                <w:szCs w:val="22"/>
              </w:rPr>
            </w:pPr>
            <w:r w:rsidRPr="00D80044">
              <w:rPr>
                <w:szCs w:val="22"/>
              </w:rPr>
              <w:t xml:space="preserve">Off-road, defence and other (boat, etc.) </w:t>
            </w:r>
          </w:p>
        </w:tc>
        <w:tc>
          <w:tcPr>
            <w:tcW w:w="1984" w:type="dxa"/>
            <w:tcBorders>
              <w:top w:val="single" w:sz="4" w:space="0" w:color="000000"/>
              <w:left w:val="single" w:sz="4" w:space="0" w:color="000000"/>
              <w:bottom w:val="single" w:sz="4" w:space="0" w:color="000000"/>
              <w:right w:val="single" w:sz="4" w:space="0" w:color="000000"/>
            </w:tcBorders>
            <w:vAlign w:val="center"/>
          </w:tcPr>
          <w:p w14:paraId="76325E15" w14:textId="79C9300A" w:rsidR="007A3837" w:rsidRPr="00D80044" w:rsidRDefault="007A3837" w:rsidP="00D80044">
            <w:pPr>
              <w:spacing w:before="60" w:after="60"/>
              <w:jc w:val="center"/>
            </w:pPr>
            <w:r w:rsidRPr="00E00DBB">
              <w:t>32,800</w:t>
            </w:r>
          </w:p>
        </w:tc>
      </w:tr>
      <w:tr w:rsidR="00D80044" w:rsidRPr="003E19E1" w14:paraId="6B1C0314" w14:textId="77777777" w:rsidTr="00580579">
        <w:trPr>
          <w:trHeight w:val="456"/>
        </w:trPr>
        <w:tc>
          <w:tcPr>
            <w:tcW w:w="1276"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75A20EE1" w14:textId="77777777" w:rsidR="00D80044" w:rsidRPr="003E19E1" w:rsidRDefault="00D80044" w:rsidP="00D80044">
            <w:pPr>
              <w:spacing w:before="60" w:after="60"/>
              <w:jc w:val="left"/>
              <w:rPr>
                <w:szCs w:val="22"/>
              </w:rPr>
            </w:pPr>
            <w:r w:rsidRPr="003E19E1">
              <w:rPr>
                <w:szCs w:val="22"/>
              </w:rPr>
              <w:t>AC</w:t>
            </w:r>
          </w:p>
        </w:tc>
        <w:tc>
          <w:tcPr>
            <w:tcW w:w="2410"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6521B297" w14:textId="77777777" w:rsidR="00D80044" w:rsidRPr="003E19E1" w:rsidRDefault="00D80044" w:rsidP="00D80044">
            <w:pPr>
              <w:spacing w:before="60" w:after="60"/>
              <w:jc w:val="left"/>
              <w:rPr>
                <w:szCs w:val="22"/>
              </w:rPr>
            </w:pPr>
            <w:r w:rsidRPr="003E19E1">
              <w:rPr>
                <w:szCs w:val="22"/>
              </w:rPr>
              <w:t xml:space="preserve">Total </w:t>
            </w:r>
            <w:r>
              <w:rPr>
                <w:szCs w:val="22"/>
              </w:rPr>
              <w:t>mobile</w:t>
            </w:r>
            <w:r w:rsidRPr="003E19E1">
              <w:rPr>
                <w:szCs w:val="22"/>
              </w:rPr>
              <w:t xml:space="preserve"> AC</w:t>
            </w:r>
          </w:p>
        </w:tc>
        <w:tc>
          <w:tcPr>
            <w:tcW w:w="3969"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58CD3793" w14:textId="77777777" w:rsidR="00D80044" w:rsidRPr="003E19E1" w:rsidRDefault="00D80044" w:rsidP="00D80044">
            <w:pPr>
              <w:spacing w:before="60" w:after="60"/>
              <w:jc w:val="left"/>
              <w:rPr>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53D9F1BF" w14:textId="03CA039B" w:rsidR="00D80044" w:rsidRPr="00D80044" w:rsidRDefault="00D80044" w:rsidP="007A3837">
            <w:pPr>
              <w:spacing w:before="60" w:after="60"/>
              <w:jc w:val="center"/>
            </w:pPr>
            <w:r w:rsidRPr="00F515AE">
              <w:t>15,20</w:t>
            </w:r>
            <w:r w:rsidR="007A3837">
              <w:t>8</w:t>
            </w:r>
            <w:r w:rsidRPr="00F515AE">
              <w:t>,</w:t>
            </w:r>
            <w:r w:rsidR="007A3837">
              <w:t>000</w:t>
            </w:r>
          </w:p>
        </w:tc>
      </w:tr>
      <w:tr w:rsidR="00580579" w:rsidRPr="003F2CDC" w14:paraId="53F41667" w14:textId="77777777" w:rsidTr="00E713EC">
        <w:trPr>
          <w:trHeight w:val="456"/>
        </w:trPr>
        <w:tc>
          <w:tcPr>
            <w:tcW w:w="1276" w:type="dxa"/>
            <w:tcBorders>
              <w:top w:val="single" w:sz="4" w:space="0" w:color="000000"/>
              <w:right w:val="single" w:sz="4" w:space="0" w:color="FFFFFF" w:themeColor="background1"/>
            </w:tcBorders>
            <w:shd w:val="clear" w:color="auto" w:fill="000000"/>
            <w:vAlign w:val="center"/>
          </w:tcPr>
          <w:p w14:paraId="70920905" w14:textId="77777777" w:rsidR="00580579" w:rsidRPr="003E19E1" w:rsidRDefault="00580579" w:rsidP="00E713EC">
            <w:pPr>
              <w:spacing w:before="60" w:after="60"/>
              <w:jc w:val="left"/>
            </w:pPr>
            <w:r w:rsidRPr="003E19E1">
              <w:lastRenderedPageBreak/>
              <w:t>Category code</w:t>
            </w:r>
          </w:p>
        </w:tc>
        <w:tc>
          <w:tcPr>
            <w:tcW w:w="2410"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2D710ADD" w14:textId="77777777" w:rsidR="00580579" w:rsidRPr="003E19E1" w:rsidRDefault="00580579" w:rsidP="00E713EC">
            <w:pPr>
              <w:spacing w:before="60" w:after="60"/>
              <w:jc w:val="left"/>
            </w:pPr>
            <w:r w:rsidRPr="003E19E1">
              <w:t>Segment</w:t>
            </w:r>
          </w:p>
        </w:tc>
        <w:tc>
          <w:tcPr>
            <w:tcW w:w="3969"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64BA9879" w14:textId="77777777" w:rsidR="00580579" w:rsidRPr="003E19E1" w:rsidRDefault="00580579" w:rsidP="00E713EC">
            <w:pPr>
              <w:spacing w:before="60" w:after="60"/>
              <w:jc w:val="left"/>
            </w:pPr>
            <w:r w:rsidRPr="003E19E1">
              <w:t>Product category</w:t>
            </w:r>
          </w:p>
        </w:tc>
        <w:tc>
          <w:tcPr>
            <w:tcW w:w="1984" w:type="dxa"/>
            <w:tcBorders>
              <w:top w:val="single" w:sz="4" w:space="0" w:color="000000"/>
              <w:left w:val="single" w:sz="4" w:space="0" w:color="FFFFFF" w:themeColor="background1"/>
            </w:tcBorders>
            <w:shd w:val="clear" w:color="auto" w:fill="000000"/>
            <w:vAlign w:val="center"/>
          </w:tcPr>
          <w:p w14:paraId="65785224" w14:textId="77777777" w:rsidR="00580579" w:rsidRPr="003F2CDC" w:rsidRDefault="00580579" w:rsidP="00E713EC">
            <w:pPr>
              <w:spacing w:before="60" w:after="60"/>
              <w:jc w:val="center"/>
            </w:pPr>
            <w:r w:rsidRPr="003E19E1">
              <w:t>Total (units)</w:t>
            </w:r>
          </w:p>
        </w:tc>
      </w:tr>
      <w:tr w:rsidR="00580579" w:rsidRPr="00D80044" w14:paraId="6F6BCE29" w14:textId="77777777" w:rsidTr="00580579">
        <w:trPr>
          <w:trHeight w:val="456"/>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1D58A" w14:textId="77777777" w:rsidR="007B4D7D" w:rsidRPr="00D80044" w:rsidRDefault="007B4D7D" w:rsidP="00E713EC">
            <w:pPr>
              <w:spacing w:before="60" w:after="60"/>
              <w:jc w:val="left"/>
              <w:rPr>
                <w:szCs w:val="22"/>
              </w:rPr>
            </w:pPr>
            <w:r w:rsidRPr="007B4D7D">
              <w:rPr>
                <w:szCs w:val="22"/>
              </w:rPr>
              <w:t>DR1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9E228" w14:textId="77777777" w:rsidR="007B4D7D" w:rsidRPr="00D80044" w:rsidRDefault="007B4D7D" w:rsidP="00E713EC">
            <w:pPr>
              <w:spacing w:before="60" w:after="60"/>
              <w:jc w:val="left"/>
              <w:rPr>
                <w:szCs w:val="22"/>
              </w:rPr>
            </w:pPr>
            <w:r w:rsidRPr="007B4D7D">
              <w:rPr>
                <w:szCs w:val="22"/>
              </w:rPr>
              <w:t>Refrigerators and freezers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5D5E5" w14:textId="77777777" w:rsidR="007B4D7D" w:rsidRPr="00D80044" w:rsidRDefault="007B4D7D" w:rsidP="00E713EC">
            <w:pPr>
              <w:spacing w:before="60" w:after="60"/>
              <w:jc w:val="left"/>
              <w:rPr>
                <w:szCs w:val="22"/>
              </w:rPr>
            </w:pPr>
            <w:r w:rsidRPr="007B4D7D">
              <w:rPr>
                <w:szCs w:val="22"/>
              </w:rPr>
              <w:t>Domestic refrigerators and freezers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BA955" w14:textId="738FE661" w:rsidR="007B4D7D" w:rsidRPr="00D80044" w:rsidRDefault="007B4D7D" w:rsidP="007A3837">
            <w:pPr>
              <w:spacing w:before="60" w:after="60"/>
              <w:jc w:val="center"/>
            </w:pPr>
            <w:r w:rsidRPr="001B4044">
              <w:t>16,649,</w:t>
            </w:r>
            <w:r w:rsidR="007A3837">
              <w:t>000</w:t>
            </w:r>
          </w:p>
        </w:tc>
      </w:tr>
      <w:tr w:rsidR="00580579" w:rsidRPr="00D80044" w14:paraId="33F8D7A4" w14:textId="77777777" w:rsidTr="00580579">
        <w:trPr>
          <w:trHeight w:val="456"/>
        </w:trPr>
        <w:tc>
          <w:tcPr>
            <w:tcW w:w="1276" w:type="dxa"/>
            <w:tcBorders>
              <w:top w:val="single" w:sz="4" w:space="0" w:color="000000"/>
              <w:left w:val="single" w:sz="4" w:space="0" w:color="000000"/>
              <w:bottom w:val="double" w:sz="4" w:space="0" w:color="auto"/>
              <w:right w:val="single" w:sz="4" w:space="0" w:color="000000"/>
            </w:tcBorders>
            <w:shd w:val="clear" w:color="auto" w:fill="auto"/>
            <w:vAlign w:val="center"/>
          </w:tcPr>
          <w:p w14:paraId="15D0E226" w14:textId="77777777" w:rsidR="007B4D7D" w:rsidRPr="00D80044" w:rsidRDefault="007B4D7D" w:rsidP="00E713EC">
            <w:pPr>
              <w:spacing w:before="60" w:after="60"/>
              <w:jc w:val="left"/>
              <w:rPr>
                <w:szCs w:val="22"/>
              </w:rPr>
            </w:pPr>
            <w:r w:rsidRPr="007B4D7D">
              <w:rPr>
                <w:szCs w:val="22"/>
              </w:rPr>
              <w:t>DR2</w:t>
            </w:r>
          </w:p>
        </w:tc>
        <w:tc>
          <w:tcPr>
            <w:tcW w:w="2410" w:type="dxa"/>
            <w:tcBorders>
              <w:top w:val="single" w:sz="4" w:space="0" w:color="000000"/>
              <w:left w:val="single" w:sz="4" w:space="0" w:color="000000"/>
              <w:bottom w:val="double" w:sz="4" w:space="0" w:color="auto"/>
              <w:right w:val="single" w:sz="4" w:space="0" w:color="000000"/>
            </w:tcBorders>
            <w:shd w:val="clear" w:color="auto" w:fill="auto"/>
            <w:vAlign w:val="center"/>
          </w:tcPr>
          <w:p w14:paraId="09808AF9" w14:textId="77777777" w:rsidR="007B4D7D" w:rsidRPr="00D80044" w:rsidRDefault="007B4D7D" w:rsidP="00E713EC">
            <w:pPr>
              <w:spacing w:before="60" w:after="60"/>
              <w:jc w:val="left"/>
              <w:rPr>
                <w:szCs w:val="22"/>
              </w:rPr>
            </w:pPr>
            <w:r w:rsidRPr="007B4D7D">
              <w:rPr>
                <w:szCs w:val="22"/>
              </w:rPr>
              <w:t>Portable refrigeration</w:t>
            </w:r>
          </w:p>
        </w:tc>
        <w:tc>
          <w:tcPr>
            <w:tcW w:w="3969" w:type="dxa"/>
            <w:tcBorders>
              <w:top w:val="single" w:sz="4" w:space="0" w:color="000000"/>
              <w:left w:val="single" w:sz="4" w:space="0" w:color="000000"/>
              <w:bottom w:val="double" w:sz="4" w:space="0" w:color="auto"/>
              <w:right w:val="single" w:sz="4" w:space="0" w:color="000000"/>
            </w:tcBorders>
            <w:shd w:val="clear" w:color="auto" w:fill="auto"/>
            <w:vAlign w:val="center"/>
          </w:tcPr>
          <w:p w14:paraId="23602AA8" w14:textId="77777777" w:rsidR="007B4D7D" w:rsidRPr="00D80044" w:rsidRDefault="007B4D7D" w:rsidP="00E713EC">
            <w:pPr>
              <w:spacing w:before="60" w:after="60"/>
              <w:jc w:val="left"/>
              <w:rPr>
                <w:szCs w:val="22"/>
              </w:rPr>
            </w:pPr>
            <w:r w:rsidRPr="007B4D7D">
              <w:rPr>
                <w:szCs w:val="22"/>
              </w:rPr>
              <w:t>Portable and vehicle refrigeration</w:t>
            </w:r>
          </w:p>
        </w:tc>
        <w:tc>
          <w:tcPr>
            <w:tcW w:w="1984" w:type="dxa"/>
            <w:tcBorders>
              <w:top w:val="single" w:sz="4" w:space="0" w:color="000000"/>
              <w:left w:val="single" w:sz="4" w:space="0" w:color="000000"/>
              <w:bottom w:val="double" w:sz="4" w:space="0" w:color="auto"/>
              <w:right w:val="single" w:sz="4" w:space="0" w:color="000000"/>
            </w:tcBorders>
            <w:shd w:val="clear" w:color="auto" w:fill="auto"/>
            <w:vAlign w:val="center"/>
          </w:tcPr>
          <w:p w14:paraId="3B512B59" w14:textId="77777777" w:rsidR="007B4D7D" w:rsidRPr="00D80044" w:rsidRDefault="007B4D7D" w:rsidP="00E713EC">
            <w:pPr>
              <w:spacing w:before="60" w:after="60"/>
              <w:jc w:val="center"/>
            </w:pPr>
            <w:r w:rsidRPr="001B4044">
              <w:t>500,000</w:t>
            </w:r>
          </w:p>
        </w:tc>
      </w:tr>
      <w:tr w:rsidR="007B4D7D" w:rsidRPr="00D80044" w14:paraId="3254F622" w14:textId="77777777" w:rsidTr="00580579">
        <w:trPr>
          <w:trHeight w:val="456"/>
        </w:trPr>
        <w:tc>
          <w:tcPr>
            <w:tcW w:w="1276" w:type="dxa"/>
            <w:tcBorders>
              <w:top w:val="double" w:sz="4" w:space="0" w:color="auto"/>
              <w:left w:val="single" w:sz="4" w:space="0" w:color="000000"/>
              <w:bottom w:val="single" w:sz="4" w:space="0" w:color="000000"/>
              <w:right w:val="single" w:sz="4" w:space="0" w:color="000000"/>
            </w:tcBorders>
            <w:shd w:val="clear" w:color="auto" w:fill="CCFFFF"/>
            <w:vAlign w:val="center"/>
          </w:tcPr>
          <w:p w14:paraId="6C756E0A" w14:textId="77777777" w:rsidR="007B4D7D" w:rsidRPr="003E19E1" w:rsidRDefault="007B4D7D" w:rsidP="00E713EC">
            <w:pPr>
              <w:spacing w:before="60" w:after="60"/>
              <w:jc w:val="left"/>
              <w:rPr>
                <w:szCs w:val="22"/>
              </w:rPr>
            </w:pPr>
            <w:r>
              <w:rPr>
                <w:szCs w:val="22"/>
              </w:rPr>
              <w:t>DR</w:t>
            </w:r>
          </w:p>
        </w:tc>
        <w:tc>
          <w:tcPr>
            <w:tcW w:w="6379" w:type="dxa"/>
            <w:gridSpan w:val="2"/>
            <w:tcBorders>
              <w:top w:val="double" w:sz="4" w:space="0" w:color="auto"/>
              <w:left w:val="single" w:sz="4" w:space="0" w:color="000000"/>
              <w:bottom w:val="single" w:sz="4" w:space="0" w:color="000000"/>
              <w:right w:val="single" w:sz="4" w:space="0" w:color="000000"/>
            </w:tcBorders>
            <w:shd w:val="clear" w:color="auto" w:fill="CCFFFF"/>
            <w:vAlign w:val="center"/>
          </w:tcPr>
          <w:p w14:paraId="700B7010" w14:textId="77777777" w:rsidR="007B4D7D" w:rsidRPr="003E19E1" w:rsidRDefault="007B4D7D" w:rsidP="00E713EC">
            <w:pPr>
              <w:spacing w:before="60" w:after="60"/>
              <w:jc w:val="left"/>
              <w:rPr>
                <w:szCs w:val="22"/>
              </w:rPr>
            </w:pPr>
            <w:r w:rsidRPr="003E19E1">
              <w:rPr>
                <w:szCs w:val="22"/>
              </w:rPr>
              <w:t xml:space="preserve">Total </w:t>
            </w:r>
            <w:r>
              <w:rPr>
                <w:szCs w:val="22"/>
              </w:rPr>
              <w:t>domestic refrigeration</w:t>
            </w:r>
          </w:p>
        </w:tc>
        <w:tc>
          <w:tcPr>
            <w:tcW w:w="1984" w:type="dxa"/>
            <w:tcBorders>
              <w:top w:val="double" w:sz="4" w:space="0" w:color="auto"/>
              <w:left w:val="single" w:sz="4" w:space="0" w:color="000000"/>
              <w:bottom w:val="single" w:sz="4" w:space="0" w:color="000000"/>
              <w:right w:val="single" w:sz="4" w:space="0" w:color="000000"/>
            </w:tcBorders>
            <w:shd w:val="clear" w:color="auto" w:fill="CCFFFF"/>
            <w:vAlign w:val="center"/>
          </w:tcPr>
          <w:p w14:paraId="01D70E87" w14:textId="01BF1CDF" w:rsidR="007B4D7D" w:rsidRPr="00D80044" w:rsidRDefault="007B4D7D" w:rsidP="007A3837">
            <w:pPr>
              <w:spacing w:before="60" w:after="60"/>
              <w:jc w:val="center"/>
            </w:pPr>
            <w:r w:rsidRPr="007B4D7D">
              <w:t>17,149,</w:t>
            </w:r>
            <w:r w:rsidR="007A3837">
              <w:t>000</w:t>
            </w:r>
          </w:p>
        </w:tc>
      </w:tr>
      <w:tr w:rsidR="007B4D7D" w:rsidRPr="00923150" w14:paraId="675F4BA6" w14:textId="77777777" w:rsidTr="00E713EC">
        <w:trPr>
          <w:trHeight w:val="456"/>
        </w:trPr>
        <w:tc>
          <w:tcPr>
            <w:tcW w:w="1276" w:type="dxa"/>
            <w:tcBorders>
              <w:top w:val="single" w:sz="4" w:space="0" w:color="000000"/>
              <w:right w:val="single" w:sz="4" w:space="0" w:color="FFFFFF" w:themeColor="background1"/>
            </w:tcBorders>
            <w:shd w:val="clear" w:color="auto" w:fill="000000"/>
            <w:vAlign w:val="center"/>
          </w:tcPr>
          <w:p w14:paraId="1521EBDE" w14:textId="77777777" w:rsidR="007B4D7D" w:rsidRPr="003E19E1" w:rsidRDefault="007B4D7D" w:rsidP="00E713EC">
            <w:pPr>
              <w:spacing w:before="60" w:after="60"/>
              <w:jc w:val="left"/>
            </w:pPr>
            <w:r w:rsidRPr="003E19E1">
              <w:t>Category code</w:t>
            </w:r>
          </w:p>
        </w:tc>
        <w:tc>
          <w:tcPr>
            <w:tcW w:w="2410"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51626D74" w14:textId="77777777" w:rsidR="007B4D7D" w:rsidRPr="003E19E1" w:rsidRDefault="007B4D7D" w:rsidP="00E713EC">
            <w:pPr>
              <w:spacing w:before="60" w:after="60"/>
              <w:jc w:val="left"/>
            </w:pPr>
            <w:r w:rsidRPr="003E19E1">
              <w:t>Segment</w:t>
            </w:r>
          </w:p>
        </w:tc>
        <w:tc>
          <w:tcPr>
            <w:tcW w:w="3969" w:type="dxa"/>
            <w:tcBorders>
              <w:top w:val="single" w:sz="4" w:space="0" w:color="000000"/>
              <w:left w:val="single" w:sz="4" w:space="0" w:color="FFFFFF" w:themeColor="background1"/>
              <w:right w:val="single" w:sz="4" w:space="0" w:color="FFFFFF" w:themeColor="background1"/>
            </w:tcBorders>
            <w:shd w:val="clear" w:color="auto" w:fill="000000"/>
            <w:vAlign w:val="center"/>
          </w:tcPr>
          <w:p w14:paraId="480DD1C2" w14:textId="77777777" w:rsidR="007B4D7D" w:rsidRPr="003E19E1" w:rsidRDefault="007B4D7D" w:rsidP="00E713EC">
            <w:pPr>
              <w:spacing w:before="60" w:after="60"/>
              <w:jc w:val="left"/>
            </w:pPr>
            <w:r w:rsidRPr="003E19E1">
              <w:t>Product category</w:t>
            </w:r>
          </w:p>
        </w:tc>
        <w:tc>
          <w:tcPr>
            <w:tcW w:w="1984" w:type="dxa"/>
            <w:tcBorders>
              <w:top w:val="single" w:sz="4" w:space="0" w:color="000000"/>
              <w:left w:val="single" w:sz="4" w:space="0" w:color="FFFFFF" w:themeColor="background1"/>
            </w:tcBorders>
            <w:shd w:val="clear" w:color="auto" w:fill="000000"/>
            <w:vAlign w:val="center"/>
          </w:tcPr>
          <w:p w14:paraId="5534D86A" w14:textId="77777777" w:rsidR="007B4D7D" w:rsidRPr="003F2CDC" w:rsidRDefault="007B4D7D" w:rsidP="00E713EC">
            <w:pPr>
              <w:spacing w:before="60" w:after="60"/>
              <w:jc w:val="center"/>
            </w:pPr>
            <w:r w:rsidRPr="003E19E1">
              <w:t>Total (units)</w:t>
            </w:r>
          </w:p>
        </w:tc>
      </w:tr>
      <w:tr w:rsidR="002938D6" w:rsidRPr="00923150" w14:paraId="1CAA0F4E" w14:textId="77777777" w:rsidTr="002938D6">
        <w:trPr>
          <w:trHeight w:val="456"/>
        </w:trPr>
        <w:tc>
          <w:tcPr>
            <w:tcW w:w="1276" w:type="dxa"/>
            <w:tcBorders>
              <w:top w:val="single" w:sz="4" w:space="0" w:color="000000"/>
            </w:tcBorders>
            <w:vAlign w:val="center"/>
          </w:tcPr>
          <w:p w14:paraId="4DE603C8" w14:textId="77777777" w:rsidR="002938D6" w:rsidRDefault="002938D6" w:rsidP="00E713EC">
            <w:pPr>
              <w:spacing w:before="60" w:after="60"/>
              <w:jc w:val="left"/>
              <w:rPr>
                <w:sz w:val="20"/>
              </w:rPr>
            </w:pPr>
            <w:r w:rsidRPr="0046640E">
              <w:t>RCFC1-1</w:t>
            </w:r>
          </w:p>
        </w:tc>
        <w:tc>
          <w:tcPr>
            <w:tcW w:w="2410" w:type="dxa"/>
            <w:tcBorders>
              <w:top w:val="single" w:sz="4" w:space="0" w:color="000000"/>
            </w:tcBorders>
            <w:vAlign w:val="center"/>
          </w:tcPr>
          <w:p w14:paraId="0C2BFFC1" w14:textId="77777777" w:rsidR="002938D6" w:rsidRDefault="002938D6" w:rsidP="00E713EC">
            <w:pPr>
              <w:spacing w:before="60" w:after="60"/>
              <w:jc w:val="left"/>
              <w:rPr>
                <w:sz w:val="20"/>
              </w:rPr>
            </w:pPr>
            <w:r w:rsidRPr="006B66F0">
              <w:t>Unitary equipment</w:t>
            </w:r>
          </w:p>
        </w:tc>
        <w:tc>
          <w:tcPr>
            <w:tcW w:w="3969" w:type="dxa"/>
            <w:tcBorders>
              <w:top w:val="single" w:sz="4" w:space="0" w:color="000000"/>
            </w:tcBorders>
            <w:vAlign w:val="center"/>
          </w:tcPr>
          <w:p w14:paraId="0EFF3867" w14:textId="77777777" w:rsidR="002938D6" w:rsidRPr="008343EF" w:rsidRDefault="002938D6" w:rsidP="00E713EC">
            <w:pPr>
              <w:spacing w:before="60" w:after="60"/>
              <w:jc w:val="left"/>
              <w:rPr>
                <w:sz w:val="20"/>
              </w:rPr>
            </w:pPr>
            <w:r w:rsidRPr="00C14F9F">
              <w:t>Refrigeration cabinets</w:t>
            </w:r>
          </w:p>
        </w:tc>
        <w:tc>
          <w:tcPr>
            <w:tcW w:w="1984" w:type="dxa"/>
            <w:tcBorders>
              <w:top w:val="single" w:sz="4" w:space="0" w:color="000000"/>
            </w:tcBorders>
            <w:vAlign w:val="center"/>
          </w:tcPr>
          <w:p w14:paraId="70237E1D" w14:textId="40AD0D19" w:rsidR="002938D6" w:rsidRPr="00923150" w:rsidRDefault="002938D6" w:rsidP="00E713EC">
            <w:pPr>
              <w:spacing w:before="60" w:after="60"/>
              <w:jc w:val="center"/>
              <w:rPr>
                <w:sz w:val="20"/>
              </w:rPr>
            </w:pPr>
            <w:r w:rsidRPr="00355989">
              <w:t>447,000</w:t>
            </w:r>
          </w:p>
        </w:tc>
      </w:tr>
      <w:tr w:rsidR="002938D6" w:rsidRPr="00923150" w14:paraId="7B3A369E" w14:textId="77777777" w:rsidTr="002938D6">
        <w:trPr>
          <w:trHeight w:val="456"/>
        </w:trPr>
        <w:tc>
          <w:tcPr>
            <w:tcW w:w="1276" w:type="dxa"/>
            <w:tcBorders>
              <w:top w:val="single" w:sz="4" w:space="0" w:color="000000"/>
            </w:tcBorders>
            <w:vAlign w:val="center"/>
          </w:tcPr>
          <w:p w14:paraId="4319E50C" w14:textId="77777777" w:rsidR="002938D6" w:rsidRDefault="002938D6" w:rsidP="00E713EC">
            <w:pPr>
              <w:spacing w:before="60" w:after="60"/>
              <w:jc w:val="left"/>
              <w:rPr>
                <w:sz w:val="20"/>
              </w:rPr>
            </w:pPr>
            <w:r w:rsidRPr="0046640E">
              <w:t>RCFC1-2</w:t>
            </w:r>
          </w:p>
        </w:tc>
        <w:tc>
          <w:tcPr>
            <w:tcW w:w="2410" w:type="dxa"/>
            <w:tcBorders>
              <w:top w:val="single" w:sz="4" w:space="0" w:color="000000"/>
            </w:tcBorders>
            <w:vAlign w:val="center"/>
          </w:tcPr>
          <w:p w14:paraId="5374E2A9" w14:textId="77777777" w:rsidR="002938D6" w:rsidRDefault="002938D6" w:rsidP="00E713EC">
            <w:pPr>
              <w:spacing w:before="60" w:after="60"/>
              <w:jc w:val="left"/>
              <w:rPr>
                <w:sz w:val="20"/>
              </w:rPr>
            </w:pPr>
            <w:r w:rsidRPr="006B66F0">
              <w:t>Unitary equipment</w:t>
            </w:r>
          </w:p>
        </w:tc>
        <w:tc>
          <w:tcPr>
            <w:tcW w:w="3969" w:type="dxa"/>
            <w:tcBorders>
              <w:top w:val="single" w:sz="4" w:space="0" w:color="000000"/>
            </w:tcBorders>
            <w:vAlign w:val="center"/>
          </w:tcPr>
          <w:p w14:paraId="46285D6A" w14:textId="77777777" w:rsidR="002938D6" w:rsidRPr="008343EF" w:rsidRDefault="002938D6" w:rsidP="00E713EC">
            <w:pPr>
              <w:spacing w:before="60" w:after="60"/>
              <w:jc w:val="left"/>
              <w:rPr>
                <w:sz w:val="20"/>
              </w:rPr>
            </w:pPr>
            <w:r w:rsidRPr="00C14F9F">
              <w:t>Refrigeration beverage vending machines</w:t>
            </w:r>
          </w:p>
        </w:tc>
        <w:tc>
          <w:tcPr>
            <w:tcW w:w="1984" w:type="dxa"/>
            <w:tcBorders>
              <w:top w:val="single" w:sz="4" w:space="0" w:color="000000"/>
            </w:tcBorders>
            <w:vAlign w:val="center"/>
          </w:tcPr>
          <w:p w14:paraId="15947431" w14:textId="254250C5" w:rsidR="002938D6" w:rsidRPr="00923150" w:rsidRDefault="002938D6" w:rsidP="00E713EC">
            <w:pPr>
              <w:spacing w:before="60" w:after="60"/>
              <w:jc w:val="center"/>
              <w:rPr>
                <w:sz w:val="20"/>
              </w:rPr>
            </w:pPr>
            <w:r w:rsidRPr="00355989">
              <w:t>134,000</w:t>
            </w:r>
          </w:p>
        </w:tc>
      </w:tr>
      <w:tr w:rsidR="002938D6" w:rsidRPr="00923150" w14:paraId="10CED2BD" w14:textId="77777777" w:rsidTr="002938D6">
        <w:trPr>
          <w:trHeight w:val="456"/>
        </w:trPr>
        <w:tc>
          <w:tcPr>
            <w:tcW w:w="1276" w:type="dxa"/>
            <w:tcBorders>
              <w:top w:val="single" w:sz="4" w:space="0" w:color="000000"/>
            </w:tcBorders>
            <w:vAlign w:val="center"/>
          </w:tcPr>
          <w:p w14:paraId="034E3BCB" w14:textId="77777777" w:rsidR="002938D6" w:rsidRPr="00481C6A" w:rsidRDefault="002938D6" w:rsidP="00E713EC">
            <w:pPr>
              <w:spacing w:before="60" w:after="60"/>
              <w:jc w:val="left"/>
            </w:pPr>
            <w:r w:rsidRPr="0046640E">
              <w:t>RCFC1-3</w:t>
            </w:r>
          </w:p>
        </w:tc>
        <w:tc>
          <w:tcPr>
            <w:tcW w:w="2410" w:type="dxa"/>
            <w:tcBorders>
              <w:top w:val="single" w:sz="4" w:space="0" w:color="000000"/>
            </w:tcBorders>
            <w:vAlign w:val="center"/>
          </w:tcPr>
          <w:p w14:paraId="6B589FE7" w14:textId="77777777" w:rsidR="002938D6" w:rsidRPr="007A225B" w:rsidRDefault="002938D6" w:rsidP="00E713EC">
            <w:pPr>
              <w:spacing w:before="60" w:after="60"/>
              <w:jc w:val="left"/>
            </w:pPr>
            <w:r w:rsidRPr="006B66F0">
              <w:t>Unitary equipment</w:t>
            </w:r>
          </w:p>
        </w:tc>
        <w:tc>
          <w:tcPr>
            <w:tcW w:w="3969" w:type="dxa"/>
            <w:tcBorders>
              <w:top w:val="single" w:sz="4" w:space="0" w:color="000000"/>
            </w:tcBorders>
            <w:vAlign w:val="center"/>
          </w:tcPr>
          <w:p w14:paraId="41FB53DC" w14:textId="77777777" w:rsidR="002938D6" w:rsidRPr="00D22FDF" w:rsidRDefault="002938D6" w:rsidP="00E713EC">
            <w:pPr>
              <w:spacing w:before="60" w:after="60"/>
              <w:jc w:val="left"/>
            </w:pPr>
            <w:r w:rsidRPr="00C14F9F">
              <w:t>Ice makers</w:t>
            </w:r>
          </w:p>
        </w:tc>
        <w:tc>
          <w:tcPr>
            <w:tcW w:w="1984" w:type="dxa"/>
            <w:tcBorders>
              <w:top w:val="single" w:sz="4" w:space="0" w:color="000000"/>
            </w:tcBorders>
            <w:vAlign w:val="center"/>
          </w:tcPr>
          <w:p w14:paraId="61CD01E7" w14:textId="25D36776" w:rsidR="002938D6" w:rsidRPr="00F515AE" w:rsidRDefault="002938D6" w:rsidP="00E713EC">
            <w:pPr>
              <w:spacing w:before="60" w:after="60"/>
              <w:jc w:val="center"/>
            </w:pPr>
            <w:r w:rsidRPr="00355989">
              <w:t>66,000</w:t>
            </w:r>
          </w:p>
        </w:tc>
      </w:tr>
      <w:tr w:rsidR="002938D6" w:rsidRPr="00923150" w14:paraId="0C285623" w14:textId="77777777" w:rsidTr="002938D6">
        <w:trPr>
          <w:trHeight w:val="456"/>
        </w:trPr>
        <w:tc>
          <w:tcPr>
            <w:tcW w:w="1276" w:type="dxa"/>
            <w:tcBorders>
              <w:top w:val="single" w:sz="4" w:space="0" w:color="000000"/>
            </w:tcBorders>
            <w:vAlign w:val="center"/>
          </w:tcPr>
          <w:p w14:paraId="69774BA3" w14:textId="77777777" w:rsidR="002938D6" w:rsidRPr="00481C6A" w:rsidRDefault="002938D6" w:rsidP="00E713EC">
            <w:pPr>
              <w:spacing w:before="60" w:after="60"/>
              <w:jc w:val="left"/>
            </w:pPr>
            <w:r w:rsidRPr="0046640E">
              <w:t>RCFC1-4</w:t>
            </w:r>
          </w:p>
        </w:tc>
        <w:tc>
          <w:tcPr>
            <w:tcW w:w="2410" w:type="dxa"/>
            <w:tcBorders>
              <w:top w:val="single" w:sz="4" w:space="0" w:color="000000"/>
            </w:tcBorders>
            <w:vAlign w:val="center"/>
          </w:tcPr>
          <w:p w14:paraId="209DA826" w14:textId="77777777" w:rsidR="002938D6" w:rsidRPr="007A225B" w:rsidRDefault="002938D6" w:rsidP="00E713EC">
            <w:pPr>
              <w:spacing w:before="60" w:after="60"/>
              <w:jc w:val="left"/>
            </w:pPr>
            <w:r w:rsidRPr="006B66F0">
              <w:t>Unitary equipment</w:t>
            </w:r>
          </w:p>
        </w:tc>
        <w:tc>
          <w:tcPr>
            <w:tcW w:w="3969" w:type="dxa"/>
            <w:tcBorders>
              <w:top w:val="single" w:sz="4" w:space="0" w:color="000000"/>
            </w:tcBorders>
            <w:vAlign w:val="center"/>
          </w:tcPr>
          <w:p w14:paraId="5B487DEA" w14:textId="77777777" w:rsidR="002938D6" w:rsidRPr="00D22FDF" w:rsidRDefault="002938D6" w:rsidP="00E713EC">
            <w:pPr>
              <w:spacing w:before="60" w:after="60"/>
              <w:jc w:val="left"/>
            </w:pPr>
            <w:r w:rsidRPr="00C14F9F">
              <w:t>Walk-in coolrooms: small</w:t>
            </w:r>
          </w:p>
        </w:tc>
        <w:tc>
          <w:tcPr>
            <w:tcW w:w="1984" w:type="dxa"/>
            <w:tcBorders>
              <w:top w:val="single" w:sz="4" w:space="0" w:color="000000"/>
            </w:tcBorders>
            <w:vAlign w:val="center"/>
          </w:tcPr>
          <w:p w14:paraId="0713581F" w14:textId="18DE61D0" w:rsidR="002938D6" w:rsidRPr="00F515AE" w:rsidRDefault="002938D6" w:rsidP="00E713EC">
            <w:pPr>
              <w:spacing w:before="60" w:after="60"/>
              <w:jc w:val="center"/>
            </w:pPr>
            <w:r w:rsidRPr="00355989">
              <w:t>65,700</w:t>
            </w:r>
          </w:p>
        </w:tc>
      </w:tr>
      <w:tr w:rsidR="002938D6" w:rsidRPr="00923150" w14:paraId="77A4C989" w14:textId="77777777" w:rsidTr="002938D6">
        <w:trPr>
          <w:trHeight w:val="456"/>
        </w:trPr>
        <w:tc>
          <w:tcPr>
            <w:tcW w:w="1276" w:type="dxa"/>
            <w:tcBorders>
              <w:top w:val="single" w:sz="4" w:space="0" w:color="000000"/>
            </w:tcBorders>
            <w:vAlign w:val="center"/>
          </w:tcPr>
          <w:p w14:paraId="027D2B06" w14:textId="77777777" w:rsidR="002938D6" w:rsidRPr="00481C6A" w:rsidRDefault="002938D6" w:rsidP="00E713EC">
            <w:pPr>
              <w:spacing w:before="60" w:after="60"/>
              <w:jc w:val="left"/>
            </w:pPr>
            <w:r w:rsidRPr="0046640E">
              <w:t>RCFC1-5</w:t>
            </w:r>
          </w:p>
        </w:tc>
        <w:tc>
          <w:tcPr>
            <w:tcW w:w="2410" w:type="dxa"/>
            <w:tcBorders>
              <w:top w:val="single" w:sz="4" w:space="0" w:color="000000"/>
            </w:tcBorders>
            <w:vAlign w:val="center"/>
          </w:tcPr>
          <w:p w14:paraId="16E84266" w14:textId="77777777" w:rsidR="002938D6" w:rsidRPr="007A225B" w:rsidRDefault="002938D6" w:rsidP="00E713EC">
            <w:pPr>
              <w:spacing w:before="60" w:after="60"/>
              <w:jc w:val="left"/>
            </w:pPr>
            <w:r w:rsidRPr="006B66F0">
              <w:t>Unitary equipment</w:t>
            </w:r>
          </w:p>
        </w:tc>
        <w:tc>
          <w:tcPr>
            <w:tcW w:w="3969" w:type="dxa"/>
            <w:tcBorders>
              <w:top w:val="single" w:sz="4" w:space="0" w:color="000000"/>
            </w:tcBorders>
            <w:vAlign w:val="center"/>
          </w:tcPr>
          <w:p w14:paraId="674805E4" w14:textId="77777777" w:rsidR="002938D6" w:rsidRPr="00D22FDF" w:rsidRDefault="002938D6" w:rsidP="00E713EC">
            <w:pPr>
              <w:spacing w:before="60" w:after="60"/>
              <w:jc w:val="left"/>
            </w:pPr>
            <w:r w:rsidRPr="00C14F9F">
              <w:t>Walk-in coolrooms: medium</w:t>
            </w:r>
          </w:p>
        </w:tc>
        <w:tc>
          <w:tcPr>
            <w:tcW w:w="1984" w:type="dxa"/>
            <w:tcBorders>
              <w:top w:val="single" w:sz="4" w:space="0" w:color="000000"/>
            </w:tcBorders>
            <w:vAlign w:val="center"/>
          </w:tcPr>
          <w:p w14:paraId="5116ED92" w14:textId="12662541" w:rsidR="002938D6" w:rsidRPr="00F515AE" w:rsidRDefault="002938D6" w:rsidP="00E713EC">
            <w:pPr>
              <w:spacing w:before="60" w:after="60"/>
              <w:jc w:val="center"/>
            </w:pPr>
            <w:r w:rsidRPr="00355989">
              <w:t>20,200</w:t>
            </w:r>
          </w:p>
        </w:tc>
      </w:tr>
      <w:tr w:rsidR="002938D6" w:rsidRPr="00923150" w14:paraId="496106F5" w14:textId="77777777" w:rsidTr="002938D6">
        <w:trPr>
          <w:trHeight w:val="456"/>
        </w:trPr>
        <w:tc>
          <w:tcPr>
            <w:tcW w:w="1276" w:type="dxa"/>
            <w:tcBorders>
              <w:top w:val="single" w:sz="4" w:space="0" w:color="000000"/>
            </w:tcBorders>
            <w:vAlign w:val="center"/>
          </w:tcPr>
          <w:p w14:paraId="07D48243" w14:textId="77777777" w:rsidR="002938D6" w:rsidRPr="00481C6A" w:rsidRDefault="002938D6" w:rsidP="00E713EC">
            <w:pPr>
              <w:spacing w:before="60" w:after="60"/>
              <w:jc w:val="left"/>
            </w:pPr>
            <w:r w:rsidRPr="0046640E">
              <w:t>RCFC1-6</w:t>
            </w:r>
          </w:p>
        </w:tc>
        <w:tc>
          <w:tcPr>
            <w:tcW w:w="2410" w:type="dxa"/>
            <w:tcBorders>
              <w:top w:val="single" w:sz="4" w:space="0" w:color="000000"/>
            </w:tcBorders>
            <w:vAlign w:val="center"/>
          </w:tcPr>
          <w:p w14:paraId="7E95F09E" w14:textId="77777777" w:rsidR="002938D6" w:rsidRPr="007A225B" w:rsidRDefault="002938D6" w:rsidP="00E713EC">
            <w:pPr>
              <w:spacing w:before="60" w:after="60"/>
              <w:jc w:val="left"/>
            </w:pPr>
            <w:r w:rsidRPr="006B66F0">
              <w:t>Unitary equipment</w:t>
            </w:r>
          </w:p>
        </w:tc>
        <w:tc>
          <w:tcPr>
            <w:tcW w:w="3969" w:type="dxa"/>
            <w:tcBorders>
              <w:top w:val="single" w:sz="4" w:space="0" w:color="000000"/>
            </w:tcBorders>
            <w:vAlign w:val="center"/>
          </w:tcPr>
          <w:p w14:paraId="593CEB03" w14:textId="77777777" w:rsidR="002938D6" w:rsidRPr="00D22FDF" w:rsidRDefault="002938D6" w:rsidP="00E713EC">
            <w:pPr>
              <w:spacing w:before="60" w:after="60"/>
              <w:jc w:val="left"/>
            </w:pPr>
            <w:r w:rsidRPr="00C14F9F">
              <w:t>Walk-in coolrooms: large</w:t>
            </w:r>
          </w:p>
        </w:tc>
        <w:tc>
          <w:tcPr>
            <w:tcW w:w="1984" w:type="dxa"/>
            <w:tcBorders>
              <w:top w:val="single" w:sz="4" w:space="0" w:color="000000"/>
            </w:tcBorders>
            <w:vAlign w:val="center"/>
          </w:tcPr>
          <w:p w14:paraId="1110B79F" w14:textId="3D8CDD83" w:rsidR="002938D6" w:rsidRPr="00F515AE" w:rsidRDefault="002938D6" w:rsidP="00E713EC">
            <w:pPr>
              <w:spacing w:before="60" w:after="60"/>
              <w:jc w:val="center"/>
            </w:pPr>
            <w:r w:rsidRPr="00355989">
              <w:t>12,200</w:t>
            </w:r>
          </w:p>
        </w:tc>
      </w:tr>
      <w:tr w:rsidR="002938D6" w:rsidRPr="00923150" w14:paraId="5D704A95" w14:textId="77777777" w:rsidTr="002938D6">
        <w:trPr>
          <w:trHeight w:val="456"/>
        </w:trPr>
        <w:tc>
          <w:tcPr>
            <w:tcW w:w="1276" w:type="dxa"/>
            <w:tcBorders>
              <w:top w:val="single" w:sz="4" w:space="0" w:color="000000"/>
            </w:tcBorders>
            <w:vAlign w:val="center"/>
          </w:tcPr>
          <w:p w14:paraId="2A54C7B0" w14:textId="77777777" w:rsidR="002938D6" w:rsidRPr="00481C6A" w:rsidRDefault="002938D6" w:rsidP="00E713EC">
            <w:pPr>
              <w:spacing w:before="60" w:after="60"/>
              <w:jc w:val="left"/>
            </w:pPr>
            <w:r w:rsidRPr="0046640E">
              <w:t>RCFC1-7</w:t>
            </w:r>
          </w:p>
        </w:tc>
        <w:tc>
          <w:tcPr>
            <w:tcW w:w="2410" w:type="dxa"/>
            <w:tcBorders>
              <w:top w:val="single" w:sz="4" w:space="0" w:color="000000"/>
            </w:tcBorders>
            <w:vAlign w:val="center"/>
          </w:tcPr>
          <w:p w14:paraId="117D66E2" w14:textId="77777777" w:rsidR="002938D6" w:rsidRPr="007A225B" w:rsidRDefault="002938D6" w:rsidP="00E713EC">
            <w:pPr>
              <w:spacing w:before="60" w:after="60"/>
              <w:jc w:val="left"/>
            </w:pPr>
            <w:r w:rsidRPr="006B66F0">
              <w:t>Unitary equipment</w:t>
            </w:r>
          </w:p>
        </w:tc>
        <w:tc>
          <w:tcPr>
            <w:tcW w:w="3969" w:type="dxa"/>
            <w:tcBorders>
              <w:top w:val="single" w:sz="4" w:space="0" w:color="000000"/>
            </w:tcBorders>
            <w:vAlign w:val="center"/>
          </w:tcPr>
          <w:p w14:paraId="12E0AB92" w14:textId="77777777" w:rsidR="002938D6" w:rsidRPr="00D22FDF" w:rsidRDefault="002938D6" w:rsidP="00E713EC">
            <w:pPr>
              <w:spacing w:before="60" w:after="60"/>
              <w:jc w:val="left"/>
            </w:pPr>
            <w:r w:rsidRPr="00C14F9F">
              <w:t>Beverage cooling (post mix)</w:t>
            </w:r>
          </w:p>
        </w:tc>
        <w:tc>
          <w:tcPr>
            <w:tcW w:w="1984" w:type="dxa"/>
            <w:tcBorders>
              <w:top w:val="single" w:sz="4" w:space="0" w:color="000000"/>
            </w:tcBorders>
            <w:vAlign w:val="center"/>
          </w:tcPr>
          <w:p w14:paraId="5022ADBF" w14:textId="7B6A9E99" w:rsidR="002938D6" w:rsidRPr="00F515AE" w:rsidRDefault="002938D6" w:rsidP="00E713EC">
            <w:pPr>
              <w:spacing w:before="60" w:after="60"/>
              <w:jc w:val="center"/>
            </w:pPr>
            <w:r w:rsidRPr="00355989">
              <w:t>37,000</w:t>
            </w:r>
          </w:p>
        </w:tc>
      </w:tr>
      <w:tr w:rsidR="002938D6" w:rsidRPr="00923150" w14:paraId="1F68043F" w14:textId="77777777" w:rsidTr="002938D6">
        <w:trPr>
          <w:trHeight w:val="456"/>
        </w:trPr>
        <w:tc>
          <w:tcPr>
            <w:tcW w:w="1276" w:type="dxa"/>
            <w:tcBorders>
              <w:top w:val="single" w:sz="4" w:space="0" w:color="000000"/>
            </w:tcBorders>
            <w:vAlign w:val="center"/>
          </w:tcPr>
          <w:p w14:paraId="37EA19EF" w14:textId="77777777" w:rsidR="002938D6" w:rsidRPr="00481C6A" w:rsidRDefault="002938D6" w:rsidP="00E713EC">
            <w:pPr>
              <w:spacing w:before="60" w:after="60"/>
              <w:jc w:val="left"/>
            </w:pPr>
            <w:r w:rsidRPr="0046640E">
              <w:t>RCFC1-8</w:t>
            </w:r>
          </w:p>
        </w:tc>
        <w:tc>
          <w:tcPr>
            <w:tcW w:w="2410" w:type="dxa"/>
            <w:tcBorders>
              <w:top w:val="single" w:sz="4" w:space="0" w:color="000000"/>
            </w:tcBorders>
            <w:vAlign w:val="center"/>
          </w:tcPr>
          <w:p w14:paraId="2AF1BD91" w14:textId="77777777" w:rsidR="002938D6" w:rsidRPr="007A225B" w:rsidRDefault="002938D6" w:rsidP="00E713EC">
            <w:pPr>
              <w:spacing w:before="60" w:after="60"/>
              <w:jc w:val="left"/>
            </w:pPr>
            <w:r w:rsidRPr="006B66F0">
              <w:t>Unitary equipment</w:t>
            </w:r>
          </w:p>
        </w:tc>
        <w:tc>
          <w:tcPr>
            <w:tcW w:w="3969" w:type="dxa"/>
            <w:tcBorders>
              <w:top w:val="single" w:sz="4" w:space="0" w:color="000000"/>
            </w:tcBorders>
            <w:vAlign w:val="center"/>
          </w:tcPr>
          <w:p w14:paraId="1702320E" w14:textId="77777777" w:rsidR="002938D6" w:rsidRPr="00D22FDF" w:rsidRDefault="002938D6" w:rsidP="00E713EC">
            <w:pPr>
              <w:spacing w:before="60" w:after="60"/>
              <w:jc w:val="left"/>
            </w:pPr>
            <w:r w:rsidRPr="00C14F9F">
              <w:t>Beverage cooling (beer)</w:t>
            </w:r>
          </w:p>
        </w:tc>
        <w:tc>
          <w:tcPr>
            <w:tcW w:w="1984" w:type="dxa"/>
            <w:tcBorders>
              <w:top w:val="single" w:sz="4" w:space="0" w:color="000000"/>
            </w:tcBorders>
            <w:vAlign w:val="center"/>
          </w:tcPr>
          <w:p w14:paraId="4A46F669" w14:textId="4C0CD467" w:rsidR="002938D6" w:rsidRPr="00F515AE" w:rsidRDefault="002938D6" w:rsidP="00E713EC">
            <w:pPr>
              <w:spacing w:before="60" w:after="60"/>
              <w:jc w:val="center"/>
            </w:pPr>
            <w:r w:rsidRPr="00355989">
              <w:t>12,200</w:t>
            </w:r>
          </w:p>
        </w:tc>
      </w:tr>
      <w:tr w:rsidR="002938D6" w:rsidRPr="00923150" w14:paraId="54496FC8" w14:textId="77777777" w:rsidTr="002938D6">
        <w:trPr>
          <w:trHeight w:val="456"/>
        </w:trPr>
        <w:tc>
          <w:tcPr>
            <w:tcW w:w="1276" w:type="dxa"/>
            <w:tcBorders>
              <w:top w:val="single" w:sz="4" w:space="0" w:color="000000"/>
            </w:tcBorders>
            <w:vAlign w:val="center"/>
          </w:tcPr>
          <w:p w14:paraId="7477A027" w14:textId="77777777" w:rsidR="002938D6" w:rsidRPr="00481C6A" w:rsidRDefault="002938D6" w:rsidP="00E713EC">
            <w:pPr>
              <w:spacing w:before="60" w:after="60"/>
              <w:jc w:val="left"/>
            </w:pPr>
            <w:r w:rsidRPr="0046640E">
              <w:t>RCFC1-9</w:t>
            </w:r>
          </w:p>
        </w:tc>
        <w:tc>
          <w:tcPr>
            <w:tcW w:w="2410" w:type="dxa"/>
            <w:tcBorders>
              <w:top w:val="single" w:sz="4" w:space="0" w:color="000000"/>
            </w:tcBorders>
            <w:vAlign w:val="center"/>
          </w:tcPr>
          <w:p w14:paraId="2C47EC02" w14:textId="77777777" w:rsidR="002938D6" w:rsidRPr="007A225B" w:rsidRDefault="002938D6" w:rsidP="00E713EC">
            <w:pPr>
              <w:spacing w:before="60" w:after="60"/>
              <w:jc w:val="left"/>
            </w:pPr>
            <w:r w:rsidRPr="006B66F0">
              <w:t>Unitary equipment</w:t>
            </w:r>
          </w:p>
        </w:tc>
        <w:tc>
          <w:tcPr>
            <w:tcW w:w="3969" w:type="dxa"/>
            <w:tcBorders>
              <w:top w:val="single" w:sz="4" w:space="0" w:color="000000"/>
            </w:tcBorders>
            <w:vAlign w:val="center"/>
          </w:tcPr>
          <w:p w14:paraId="5E35DBAC" w14:textId="77777777" w:rsidR="002938D6" w:rsidRPr="00D22FDF" w:rsidRDefault="002938D6" w:rsidP="00E713EC">
            <w:pPr>
              <w:spacing w:before="60" w:after="60"/>
              <w:jc w:val="left"/>
            </w:pPr>
            <w:r w:rsidRPr="00C14F9F">
              <w:t>Water dispensers (incl. bottle)</w:t>
            </w:r>
          </w:p>
        </w:tc>
        <w:tc>
          <w:tcPr>
            <w:tcW w:w="1984" w:type="dxa"/>
            <w:tcBorders>
              <w:top w:val="single" w:sz="4" w:space="0" w:color="000000"/>
            </w:tcBorders>
            <w:vAlign w:val="center"/>
          </w:tcPr>
          <w:p w14:paraId="5339323F" w14:textId="03F475B1" w:rsidR="002938D6" w:rsidRPr="00F515AE" w:rsidRDefault="002938D6" w:rsidP="00E713EC">
            <w:pPr>
              <w:spacing w:before="60" w:after="60"/>
              <w:jc w:val="center"/>
            </w:pPr>
            <w:r w:rsidRPr="00355989">
              <w:t>235,000</w:t>
            </w:r>
          </w:p>
        </w:tc>
      </w:tr>
      <w:tr w:rsidR="002938D6" w:rsidRPr="00923150" w14:paraId="3D245D73" w14:textId="77777777" w:rsidTr="002938D6">
        <w:trPr>
          <w:trHeight w:val="456"/>
        </w:trPr>
        <w:tc>
          <w:tcPr>
            <w:tcW w:w="1276" w:type="dxa"/>
            <w:tcBorders>
              <w:top w:val="single" w:sz="4" w:space="0" w:color="000000"/>
            </w:tcBorders>
            <w:vAlign w:val="center"/>
          </w:tcPr>
          <w:p w14:paraId="20521DC8" w14:textId="77777777" w:rsidR="002938D6" w:rsidRPr="00481C6A" w:rsidRDefault="002938D6" w:rsidP="00E713EC">
            <w:pPr>
              <w:spacing w:before="60" w:after="60"/>
              <w:jc w:val="left"/>
            </w:pPr>
            <w:r w:rsidRPr="0046640E">
              <w:t>RCFC1-10</w:t>
            </w:r>
          </w:p>
        </w:tc>
        <w:tc>
          <w:tcPr>
            <w:tcW w:w="2410" w:type="dxa"/>
            <w:tcBorders>
              <w:top w:val="single" w:sz="4" w:space="0" w:color="000000"/>
            </w:tcBorders>
            <w:vAlign w:val="center"/>
          </w:tcPr>
          <w:p w14:paraId="094D3822" w14:textId="77777777" w:rsidR="002938D6" w:rsidRPr="007A225B" w:rsidRDefault="002938D6" w:rsidP="00E713EC">
            <w:pPr>
              <w:spacing w:before="60" w:after="60"/>
              <w:jc w:val="left"/>
            </w:pPr>
            <w:r w:rsidRPr="006B66F0">
              <w:t>Unitary equipment</w:t>
            </w:r>
          </w:p>
        </w:tc>
        <w:tc>
          <w:tcPr>
            <w:tcW w:w="3969" w:type="dxa"/>
            <w:tcBorders>
              <w:top w:val="single" w:sz="4" w:space="0" w:color="000000"/>
            </w:tcBorders>
            <w:vAlign w:val="center"/>
          </w:tcPr>
          <w:p w14:paraId="726F25D9" w14:textId="77777777" w:rsidR="002938D6" w:rsidRPr="00D22FDF" w:rsidRDefault="002938D6" w:rsidP="00E713EC">
            <w:pPr>
              <w:spacing w:before="60" w:after="60"/>
              <w:jc w:val="left"/>
            </w:pPr>
            <w:r w:rsidRPr="00C14F9F">
              <w:t>Packaged liquid chillers</w:t>
            </w:r>
          </w:p>
        </w:tc>
        <w:tc>
          <w:tcPr>
            <w:tcW w:w="1984" w:type="dxa"/>
            <w:tcBorders>
              <w:top w:val="single" w:sz="4" w:space="0" w:color="000000"/>
            </w:tcBorders>
            <w:vAlign w:val="center"/>
          </w:tcPr>
          <w:p w14:paraId="2D0BEA32" w14:textId="2CA9C506" w:rsidR="002938D6" w:rsidRPr="00F515AE" w:rsidRDefault="002938D6" w:rsidP="00E713EC">
            <w:pPr>
              <w:spacing w:before="60" w:after="60"/>
              <w:jc w:val="center"/>
            </w:pPr>
            <w:r w:rsidRPr="00355989">
              <w:t>10,000</w:t>
            </w:r>
          </w:p>
        </w:tc>
      </w:tr>
      <w:tr w:rsidR="002938D6" w:rsidRPr="00923150" w14:paraId="1A2A09A1" w14:textId="77777777" w:rsidTr="002938D6">
        <w:trPr>
          <w:trHeight w:val="456"/>
        </w:trPr>
        <w:tc>
          <w:tcPr>
            <w:tcW w:w="1276" w:type="dxa"/>
            <w:tcBorders>
              <w:top w:val="single" w:sz="4" w:space="0" w:color="000000"/>
            </w:tcBorders>
            <w:vAlign w:val="center"/>
          </w:tcPr>
          <w:p w14:paraId="3721E416" w14:textId="77777777" w:rsidR="002938D6" w:rsidRPr="00481C6A" w:rsidRDefault="002938D6" w:rsidP="00E713EC">
            <w:pPr>
              <w:spacing w:before="60" w:after="60"/>
              <w:jc w:val="left"/>
            </w:pPr>
            <w:r w:rsidRPr="0046640E">
              <w:t>RCFC1-11</w:t>
            </w:r>
          </w:p>
        </w:tc>
        <w:tc>
          <w:tcPr>
            <w:tcW w:w="2410" w:type="dxa"/>
            <w:tcBorders>
              <w:top w:val="single" w:sz="4" w:space="0" w:color="000000"/>
            </w:tcBorders>
            <w:vAlign w:val="center"/>
          </w:tcPr>
          <w:p w14:paraId="2A37FBA2" w14:textId="77777777" w:rsidR="002938D6" w:rsidRPr="007A225B" w:rsidRDefault="002938D6" w:rsidP="00E713EC">
            <w:pPr>
              <w:spacing w:before="60" w:after="60"/>
              <w:jc w:val="left"/>
            </w:pPr>
            <w:r w:rsidRPr="006B66F0">
              <w:t>Unitary equipment</w:t>
            </w:r>
          </w:p>
        </w:tc>
        <w:tc>
          <w:tcPr>
            <w:tcW w:w="3969" w:type="dxa"/>
            <w:tcBorders>
              <w:top w:val="single" w:sz="4" w:space="0" w:color="000000"/>
            </w:tcBorders>
            <w:vAlign w:val="center"/>
          </w:tcPr>
          <w:p w14:paraId="40BD2EF2" w14:textId="77777777" w:rsidR="002938D6" w:rsidRPr="00D22FDF" w:rsidRDefault="002938D6" w:rsidP="00E713EC">
            <w:pPr>
              <w:spacing w:before="60" w:after="60"/>
              <w:jc w:val="left"/>
            </w:pPr>
            <w:r w:rsidRPr="00C14F9F">
              <w:t>Milk vat refrigeration</w:t>
            </w:r>
          </w:p>
        </w:tc>
        <w:tc>
          <w:tcPr>
            <w:tcW w:w="1984" w:type="dxa"/>
            <w:tcBorders>
              <w:top w:val="single" w:sz="4" w:space="0" w:color="000000"/>
            </w:tcBorders>
            <w:vAlign w:val="center"/>
          </w:tcPr>
          <w:p w14:paraId="34BEE37D" w14:textId="5BCD640C" w:rsidR="002938D6" w:rsidRPr="00F515AE" w:rsidRDefault="002938D6" w:rsidP="00E713EC">
            <w:pPr>
              <w:spacing w:before="60" w:after="60"/>
              <w:jc w:val="center"/>
            </w:pPr>
            <w:r w:rsidRPr="00355989">
              <w:t>6,800</w:t>
            </w:r>
          </w:p>
        </w:tc>
      </w:tr>
      <w:tr w:rsidR="002938D6" w:rsidRPr="00923150" w14:paraId="24CD2688" w14:textId="77777777" w:rsidTr="002938D6">
        <w:trPr>
          <w:trHeight w:val="456"/>
        </w:trPr>
        <w:tc>
          <w:tcPr>
            <w:tcW w:w="1276" w:type="dxa"/>
            <w:tcBorders>
              <w:top w:val="single" w:sz="4" w:space="0" w:color="000000"/>
            </w:tcBorders>
            <w:vAlign w:val="center"/>
          </w:tcPr>
          <w:p w14:paraId="59C02972" w14:textId="77777777" w:rsidR="002938D6" w:rsidRPr="00481C6A" w:rsidRDefault="002938D6" w:rsidP="00E713EC">
            <w:pPr>
              <w:spacing w:before="60" w:after="60"/>
              <w:jc w:val="left"/>
            </w:pPr>
            <w:r w:rsidRPr="0046640E">
              <w:t>RCFC1-12</w:t>
            </w:r>
          </w:p>
        </w:tc>
        <w:tc>
          <w:tcPr>
            <w:tcW w:w="2410" w:type="dxa"/>
            <w:tcBorders>
              <w:top w:val="single" w:sz="4" w:space="0" w:color="000000"/>
            </w:tcBorders>
            <w:vAlign w:val="center"/>
          </w:tcPr>
          <w:p w14:paraId="3C02F0F4" w14:textId="77777777" w:rsidR="002938D6" w:rsidRPr="007A225B" w:rsidRDefault="002938D6" w:rsidP="00E713EC">
            <w:pPr>
              <w:spacing w:before="60" w:after="60"/>
              <w:jc w:val="left"/>
            </w:pPr>
            <w:r w:rsidRPr="006B66F0">
              <w:t>Unitary equipment</w:t>
            </w:r>
          </w:p>
        </w:tc>
        <w:tc>
          <w:tcPr>
            <w:tcW w:w="3969" w:type="dxa"/>
            <w:tcBorders>
              <w:top w:val="single" w:sz="4" w:space="0" w:color="000000"/>
            </w:tcBorders>
            <w:vAlign w:val="center"/>
          </w:tcPr>
          <w:p w14:paraId="57E281C1" w14:textId="77777777" w:rsidR="002938D6" w:rsidRPr="00D22FDF" w:rsidRDefault="002938D6" w:rsidP="00E713EC">
            <w:pPr>
              <w:spacing w:before="60" w:after="60"/>
              <w:jc w:val="left"/>
            </w:pPr>
            <w:r w:rsidRPr="00C14F9F">
              <w:t>Portable refrigerators (commercial)</w:t>
            </w:r>
          </w:p>
        </w:tc>
        <w:tc>
          <w:tcPr>
            <w:tcW w:w="1984" w:type="dxa"/>
            <w:tcBorders>
              <w:top w:val="single" w:sz="4" w:space="0" w:color="000000"/>
            </w:tcBorders>
            <w:vAlign w:val="center"/>
          </w:tcPr>
          <w:p w14:paraId="27989D09" w14:textId="72A03FFA" w:rsidR="002938D6" w:rsidRPr="00F515AE" w:rsidRDefault="002938D6" w:rsidP="00E713EC">
            <w:pPr>
              <w:spacing w:before="60" w:after="60"/>
              <w:jc w:val="center"/>
            </w:pPr>
            <w:r w:rsidRPr="00355989">
              <w:t>5,000</w:t>
            </w:r>
          </w:p>
        </w:tc>
      </w:tr>
      <w:tr w:rsidR="002938D6" w:rsidRPr="00923150" w14:paraId="19C44FC4" w14:textId="77777777" w:rsidTr="002938D6">
        <w:trPr>
          <w:trHeight w:val="456"/>
        </w:trPr>
        <w:tc>
          <w:tcPr>
            <w:tcW w:w="1276" w:type="dxa"/>
            <w:tcBorders>
              <w:top w:val="single" w:sz="4" w:space="0" w:color="000000"/>
            </w:tcBorders>
            <w:vAlign w:val="center"/>
          </w:tcPr>
          <w:p w14:paraId="6D4BF516" w14:textId="77777777" w:rsidR="002938D6" w:rsidRPr="00481C6A" w:rsidRDefault="002938D6" w:rsidP="00E713EC">
            <w:pPr>
              <w:spacing w:before="60" w:after="60"/>
              <w:jc w:val="left"/>
            </w:pPr>
            <w:r w:rsidRPr="0046640E">
              <w:t>RCFC2-1</w:t>
            </w:r>
          </w:p>
        </w:tc>
        <w:tc>
          <w:tcPr>
            <w:tcW w:w="2410" w:type="dxa"/>
            <w:tcBorders>
              <w:top w:val="single" w:sz="4" w:space="0" w:color="000000"/>
            </w:tcBorders>
            <w:vAlign w:val="center"/>
          </w:tcPr>
          <w:p w14:paraId="16064A5A" w14:textId="77777777" w:rsidR="002938D6" w:rsidRPr="007A225B" w:rsidRDefault="002938D6" w:rsidP="00E713EC">
            <w:pPr>
              <w:spacing w:before="60" w:after="60"/>
              <w:jc w:val="left"/>
            </w:pPr>
            <w:r w:rsidRPr="006B66F0">
              <w:t>Transport refrigeration</w:t>
            </w:r>
          </w:p>
        </w:tc>
        <w:tc>
          <w:tcPr>
            <w:tcW w:w="3969" w:type="dxa"/>
            <w:tcBorders>
              <w:top w:val="single" w:sz="4" w:space="0" w:color="000000"/>
            </w:tcBorders>
            <w:vAlign w:val="center"/>
          </w:tcPr>
          <w:p w14:paraId="0A5F0DD4" w14:textId="77777777" w:rsidR="002938D6" w:rsidRPr="00574B1B" w:rsidRDefault="002938D6" w:rsidP="00E713EC">
            <w:pPr>
              <w:spacing w:before="60" w:after="60"/>
              <w:jc w:val="left"/>
              <w:rPr>
                <w:szCs w:val="22"/>
              </w:rPr>
            </w:pPr>
            <w:r w:rsidRPr="00574B1B">
              <w:rPr>
                <w:szCs w:val="22"/>
              </w:rPr>
              <w:t>Mobile refrigeration: road: trailer - inter-modal</w:t>
            </w:r>
          </w:p>
        </w:tc>
        <w:tc>
          <w:tcPr>
            <w:tcW w:w="1984" w:type="dxa"/>
            <w:tcBorders>
              <w:top w:val="single" w:sz="4" w:space="0" w:color="000000"/>
            </w:tcBorders>
            <w:vAlign w:val="center"/>
          </w:tcPr>
          <w:p w14:paraId="7BA23B27" w14:textId="46FA459A" w:rsidR="002938D6" w:rsidRPr="00F515AE" w:rsidRDefault="002938D6" w:rsidP="00E713EC">
            <w:pPr>
              <w:spacing w:before="60" w:after="60"/>
              <w:jc w:val="center"/>
            </w:pPr>
            <w:r w:rsidRPr="00355989">
              <w:t>6,300</w:t>
            </w:r>
          </w:p>
        </w:tc>
      </w:tr>
      <w:tr w:rsidR="002938D6" w:rsidRPr="00923150" w14:paraId="316BE8D8" w14:textId="77777777" w:rsidTr="002938D6">
        <w:trPr>
          <w:trHeight w:val="456"/>
        </w:trPr>
        <w:tc>
          <w:tcPr>
            <w:tcW w:w="1276" w:type="dxa"/>
            <w:tcBorders>
              <w:top w:val="single" w:sz="4" w:space="0" w:color="000000"/>
            </w:tcBorders>
            <w:vAlign w:val="center"/>
          </w:tcPr>
          <w:p w14:paraId="1B34CAC7" w14:textId="77777777" w:rsidR="002938D6" w:rsidRPr="00481C6A" w:rsidRDefault="002938D6" w:rsidP="00E713EC">
            <w:pPr>
              <w:spacing w:before="60" w:after="60"/>
              <w:jc w:val="left"/>
            </w:pPr>
            <w:r w:rsidRPr="0046640E">
              <w:t>RCFC2-2</w:t>
            </w:r>
          </w:p>
        </w:tc>
        <w:tc>
          <w:tcPr>
            <w:tcW w:w="2410" w:type="dxa"/>
            <w:tcBorders>
              <w:top w:val="single" w:sz="4" w:space="0" w:color="000000"/>
            </w:tcBorders>
            <w:vAlign w:val="center"/>
          </w:tcPr>
          <w:p w14:paraId="5353ED16" w14:textId="77777777" w:rsidR="002938D6" w:rsidRPr="007A225B" w:rsidRDefault="002938D6" w:rsidP="00E713EC">
            <w:pPr>
              <w:spacing w:before="60" w:after="60"/>
              <w:jc w:val="left"/>
            </w:pPr>
            <w:r w:rsidRPr="006B66F0">
              <w:t>Transport refrigeration</w:t>
            </w:r>
          </w:p>
        </w:tc>
        <w:tc>
          <w:tcPr>
            <w:tcW w:w="3969" w:type="dxa"/>
            <w:tcBorders>
              <w:top w:val="single" w:sz="4" w:space="0" w:color="000000"/>
            </w:tcBorders>
            <w:vAlign w:val="center"/>
          </w:tcPr>
          <w:p w14:paraId="55BB590E" w14:textId="77777777" w:rsidR="002938D6" w:rsidRPr="00D22FDF" w:rsidRDefault="002938D6" w:rsidP="00E713EC">
            <w:pPr>
              <w:spacing w:before="60" w:after="60"/>
              <w:jc w:val="left"/>
            </w:pPr>
            <w:r w:rsidRPr="00C14F9F">
              <w:t>Mobile refrigeration: road: diesel drive</w:t>
            </w:r>
          </w:p>
        </w:tc>
        <w:tc>
          <w:tcPr>
            <w:tcW w:w="1984" w:type="dxa"/>
            <w:tcBorders>
              <w:top w:val="single" w:sz="4" w:space="0" w:color="000000"/>
            </w:tcBorders>
            <w:vAlign w:val="center"/>
          </w:tcPr>
          <w:p w14:paraId="0F5455CA" w14:textId="7049427E" w:rsidR="002938D6" w:rsidRPr="00F515AE" w:rsidRDefault="002938D6" w:rsidP="00E713EC">
            <w:pPr>
              <w:spacing w:before="60" w:after="60"/>
              <w:jc w:val="center"/>
            </w:pPr>
            <w:r w:rsidRPr="00E943F9">
              <w:t>5,000</w:t>
            </w:r>
          </w:p>
        </w:tc>
      </w:tr>
      <w:tr w:rsidR="002938D6" w:rsidRPr="00923150" w14:paraId="519E7AF7" w14:textId="77777777" w:rsidTr="002938D6">
        <w:trPr>
          <w:trHeight w:val="456"/>
        </w:trPr>
        <w:tc>
          <w:tcPr>
            <w:tcW w:w="1276" w:type="dxa"/>
            <w:tcBorders>
              <w:top w:val="single" w:sz="4" w:space="0" w:color="000000"/>
            </w:tcBorders>
            <w:vAlign w:val="center"/>
          </w:tcPr>
          <w:p w14:paraId="13D084BB" w14:textId="77777777" w:rsidR="002938D6" w:rsidRPr="00481C6A" w:rsidRDefault="002938D6" w:rsidP="00E713EC">
            <w:pPr>
              <w:spacing w:before="60" w:after="60"/>
              <w:jc w:val="left"/>
            </w:pPr>
            <w:r w:rsidRPr="0046640E">
              <w:t>RCFC2-3</w:t>
            </w:r>
          </w:p>
        </w:tc>
        <w:tc>
          <w:tcPr>
            <w:tcW w:w="2410" w:type="dxa"/>
            <w:tcBorders>
              <w:top w:val="single" w:sz="4" w:space="0" w:color="000000"/>
            </w:tcBorders>
            <w:vAlign w:val="center"/>
          </w:tcPr>
          <w:p w14:paraId="4180C0BE" w14:textId="77777777" w:rsidR="002938D6" w:rsidRPr="007A225B" w:rsidRDefault="002938D6" w:rsidP="00E713EC">
            <w:pPr>
              <w:spacing w:before="60" w:after="60"/>
              <w:jc w:val="left"/>
            </w:pPr>
            <w:r w:rsidRPr="006B66F0">
              <w:t>Transport refrigeration</w:t>
            </w:r>
          </w:p>
        </w:tc>
        <w:tc>
          <w:tcPr>
            <w:tcW w:w="3969" w:type="dxa"/>
            <w:tcBorders>
              <w:top w:val="single" w:sz="4" w:space="0" w:color="000000"/>
            </w:tcBorders>
            <w:vAlign w:val="center"/>
          </w:tcPr>
          <w:p w14:paraId="036F0574" w14:textId="77777777" w:rsidR="002938D6" w:rsidRPr="00D22FDF" w:rsidRDefault="002938D6" w:rsidP="00E713EC">
            <w:pPr>
              <w:spacing w:before="60" w:after="60"/>
              <w:jc w:val="left"/>
            </w:pPr>
            <w:r w:rsidRPr="00C14F9F">
              <w:t>Mobile refrigeration: road: off engine</w:t>
            </w:r>
          </w:p>
        </w:tc>
        <w:tc>
          <w:tcPr>
            <w:tcW w:w="1984" w:type="dxa"/>
            <w:tcBorders>
              <w:top w:val="single" w:sz="4" w:space="0" w:color="000000"/>
            </w:tcBorders>
            <w:vAlign w:val="center"/>
          </w:tcPr>
          <w:p w14:paraId="5530F11B" w14:textId="29D14C98" w:rsidR="002938D6" w:rsidRPr="00F515AE" w:rsidRDefault="002938D6" w:rsidP="00E713EC">
            <w:pPr>
              <w:spacing w:before="60" w:after="60"/>
              <w:jc w:val="center"/>
            </w:pPr>
            <w:r w:rsidRPr="00E943F9">
              <w:t>17,600</w:t>
            </w:r>
          </w:p>
        </w:tc>
      </w:tr>
      <w:tr w:rsidR="002938D6" w:rsidRPr="00923150" w14:paraId="406BE33F" w14:textId="77777777" w:rsidTr="002938D6">
        <w:trPr>
          <w:trHeight w:val="456"/>
        </w:trPr>
        <w:tc>
          <w:tcPr>
            <w:tcW w:w="1276" w:type="dxa"/>
            <w:tcBorders>
              <w:top w:val="single" w:sz="4" w:space="0" w:color="000000"/>
            </w:tcBorders>
            <w:vAlign w:val="center"/>
          </w:tcPr>
          <w:p w14:paraId="47E02D9F" w14:textId="77777777" w:rsidR="002938D6" w:rsidRPr="00481C6A" w:rsidRDefault="002938D6" w:rsidP="00E713EC">
            <w:pPr>
              <w:spacing w:before="60" w:after="60"/>
              <w:jc w:val="left"/>
            </w:pPr>
            <w:r w:rsidRPr="0046640E">
              <w:t>RCFC2-4</w:t>
            </w:r>
          </w:p>
        </w:tc>
        <w:tc>
          <w:tcPr>
            <w:tcW w:w="2410" w:type="dxa"/>
            <w:tcBorders>
              <w:top w:val="single" w:sz="4" w:space="0" w:color="000000"/>
            </w:tcBorders>
            <w:vAlign w:val="center"/>
          </w:tcPr>
          <w:p w14:paraId="7E430912" w14:textId="77777777" w:rsidR="002938D6" w:rsidRPr="007A225B" w:rsidRDefault="002938D6" w:rsidP="00E713EC">
            <w:pPr>
              <w:spacing w:before="60" w:after="60"/>
              <w:jc w:val="left"/>
            </w:pPr>
            <w:r w:rsidRPr="006B66F0">
              <w:t>Transport refrigeration</w:t>
            </w:r>
          </w:p>
        </w:tc>
        <w:tc>
          <w:tcPr>
            <w:tcW w:w="3969" w:type="dxa"/>
            <w:tcBorders>
              <w:top w:val="single" w:sz="4" w:space="0" w:color="000000"/>
            </w:tcBorders>
            <w:vAlign w:val="center"/>
          </w:tcPr>
          <w:p w14:paraId="6CBFEF59" w14:textId="77777777" w:rsidR="002938D6" w:rsidRPr="00D22FDF" w:rsidRDefault="002938D6" w:rsidP="00E713EC">
            <w:pPr>
              <w:spacing w:before="60" w:after="60"/>
              <w:jc w:val="left"/>
            </w:pPr>
            <w:r w:rsidRPr="00C14F9F">
              <w:t>Mobile refrigeration: marine</w:t>
            </w:r>
          </w:p>
        </w:tc>
        <w:tc>
          <w:tcPr>
            <w:tcW w:w="1984" w:type="dxa"/>
            <w:tcBorders>
              <w:top w:val="single" w:sz="4" w:space="0" w:color="000000"/>
            </w:tcBorders>
            <w:vAlign w:val="center"/>
          </w:tcPr>
          <w:p w14:paraId="1A4E1442" w14:textId="4AD0CE3D" w:rsidR="002938D6" w:rsidRPr="00F515AE" w:rsidRDefault="002938D6" w:rsidP="00E713EC">
            <w:pPr>
              <w:spacing w:before="60" w:after="60"/>
              <w:jc w:val="center"/>
            </w:pPr>
            <w:r w:rsidRPr="00E943F9">
              <w:t>420</w:t>
            </w:r>
          </w:p>
        </w:tc>
      </w:tr>
      <w:tr w:rsidR="002938D6" w:rsidRPr="00923150" w14:paraId="3CC27DAA" w14:textId="77777777" w:rsidTr="002938D6">
        <w:trPr>
          <w:trHeight w:val="456"/>
        </w:trPr>
        <w:tc>
          <w:tcPr>
            <w:tcW w:w="1276" w:type="dxa"/>
            <w:tcBorders>
              <w:top w:val="single" w:sz="4" w:space="0" w:color="000000"/>
            </w:tcBorders>
            <w:vAlign w:val="center"/>
          </w:tcPr>
          <w:p w14:paraId="05F9B55E" w14:textId="77777777" w:rsidR="002938D6" w:rsidRDefault="002938D6" w:rsidP="00E713EC">
            <w:pPr>
              <w:spacing w:before="60" w:after="60"/>
              <w:jc w:val="left"/>
              <w:rPr>
                <w:sz w:val="20"/>
              </w:rPr>
            </w:pPr>
            <w:r w:rsidRPr="0046640E">
              <w:t>RCFC3-1</w:t>
            </w:r>
          </w:p>
        </w:tc>
        <w:tc>
          <w:tcPr>
            <w:tcW w:w="2410" w:type="dxa"/>
            <w:tcBorders>
              <w:top w:val="single" w:sz="4" w:space="0" w:color="000000"/>
            </w:tcBorders>
            <w:vAlign w:val="center"/>
          </w:tcPr>
          <w:p w14:paraId="57AF8394" w14:textId="77777777" w:rsidR="002938D6" w:rsidRDefault="002938D6" w:rsidP="00E713EC">
            <w:pPr>
              <w:spacing w:before="60" w:after="60"/>
              <w:jc w:val="left"/>
              <w:rPr>
                <w:sz w:val="20"/>
              </w:rPr>
            </w:pPr>
            <w:r w:rsidRPr="006B66F0">
              <w:t>Supermarkets</w:t>
            </w:r>
          </w:p>
        </w:tc>
        <w:tc>
          <w:tcPr>
            <w:tcW w:w="3969" w:type="dxa"/>
            <w:tcBorders>
              <w:top w:val="single" w:sz="4" w:space="0" w:color="000000"/>
            </w:tcBorders>
            <w:vAlign w:val="center"/>
          </w:tcPr>
          <w:p w14:paraId="0357B9F5" w14:textId="77777777" w:rsidR="002938D6" w:rsidRPr="008343EF" w:rsidRDefault="002938D6" w:rsidP="00E713EC">
            <w:pPr>
              <w:spacing w:before="60" w:after="60"/>
              <w:jc w:val="left"/>
              <w:rPr>
                <w:sz w:val="20"/>
              </w:rPr>
            </w:pPr>
            <w:r w:rsidRPr="00C14F9F">
              <w:t>Supermarket refrigeration: small</w:t>
            </w:r>
          </w:p>
        </w:tc>
        <w:tc>
          <w:tcPr>
            <w:tcW w:w="1984" w:type="dxa"/>
            <w:tcBorders>
              <w:top w:val="single" w:sz="4" w:space="0" w:color="000000"/>
            </w:tcBorders>
            <w:vAlign w:val="center"/>
          </w:tcPr>
          <w:p w14:paraId="5785A2C6" w14:textId="4F60E32D" w:rsidR="002938D6" w:rsidRPr="00923150" w:rsidRDefault="002938D6" w:rsidP="00E713EC">
            <w:pPr>
              <w:spacing w:before="60" w:after="60"/>
              <w:jc w:val="center"/>
              <w:rPr>
                <w:sz w:val="20"/>
              </w:rPr>
            </w:pPr>
            <w:r w:rsidRPr="00E943F9">
              <w:t>2,048</w:t>
            </w:r>
          </w:p>
        </w:tc>
      </w:tr>
      <w:tr w:rsidR="002938D6" w:rsidRPr="00923150" w14:paraId="4FEB920E" w14:textId="77777777" w:rsidTr="002938D6">
        <w:trPr>
          <w:trHeight w:val="456"/>
        </w:trPr>
        <w:tc>
          <w:tcPr>
            <w:tcW w:w="1276" w:type="dxa"/>
            <w:tcBorders>
              <w:top w:val="single" w:sz="4" w:space="0" w:color="000000"/>
            </w:tcBorders>
            <w:vAlign w:val="center"/>
          </w:tcPr>
          <w:p w14:paraId="0C5BC6A4" w14:textId="77777777" w:rsidR="002938D6" w:rsidRDefault="002938D6" w:rsidP="00E713EC">
            <w:pPr>
              <w:spacing w:before="60" w:after="60"/>
              <w:jc w:val="left"/>
              <w:rPr>
                <w:sz w:val="20"/>
              </w:rPr>
            </w:pPr>
            <w:r w:rsidRPr="0046640E">
              <w:t>RCFC3-2</w:t>
            </w:r>
          </w:p>
        </w:tc>
        <w:tc>
          <w:tcPr>
            <w:tcW w:w="2410" w:type="dxa"/>
            <w:tcBorders>
              <w:top w:val="single" w:sz="4" w:space="0" w:color="000000"/>
            </w:tcBorders>
            <w:vAlign w:val="center"/>
          </w:tcPr>
          <w:p w14:paraId="37E039ED" w14:textId="77777777" w:rsidR="002938D6" w:rsidRDefault="002938D6" w:rsidP="00E713EC">
            <w:pPr>
              <w:spacing w:before="60" w:after="60"/>
              <w:jc w:val="left"/>
              <w:rPr>
                <w:sz w:val="20"/>
              </w:rPr>
            </w:pPr>
            <w:r w:rsidRPr="006B66F0">
              <w:t>Supermarkets</w:t>
            </w:r>
          </w:p>
        </w:tc>
        <w:tc>
          <w:tcPr>
            <w:tcW w:w="3969" w:type="dxa"/>
            <w:tcBorders>
              <w:top w:val="single" w:sz="4" w:space="0" w:color="000000"/>
            </w:tcBorders>
            <w:vAlign w:val="center"/>
          </w:tcPr>
          <w:p w14:paraId="301B035A" w14:textId="77777777" w:rsidR="002938D6" w:rsidRPr="008343EF" w:rsidRDefault="002938D6" w:rsidP="00E713EC">
            <w:pPr>
              <w:spacing w:before="60" w:after="60"/>
              <w:jc w:val="left"/>
              <w:rPr>
                <w:sz w:val="20"/>
              </w:rPr>
            </w:pPr>
            <w:r w:rsidRPr="00C14F9F">
              <w:t>Supermarket refrigeration: medium</w:t>
            </w:r>
          </w:p>
        </w:tc>
        <w:tc>
          <w:tcPr>
            <w:tcW w:w="1984" w:type="dxa"/>
            <w:tcBorders>
              <w:top w:val="single" w:sz="4" w:space="0" w:color="000000"/>
            </w:tcBorders>
            <w:vAlign w:val="center"/>
          </w:tcPr>
          <w:p w14:paraId="175C6DC3" w14:textId="15062C99" w:rsidR="002938D6" w:rsidRPr="00923150" w:rsidRDefault="002938D6" w:rsidP="00E713EC">
            <w:pPr>
              <w:spacing w:before="60" w:after="60"/>
              <w:jc w:val="center"/>
              <w:rPr>
                <w:sz w:val="20"/>
              </w:rPr>
            </w:pPr>
            <w:r w:rsidRPr="00E943F9">
              <w:t>985</w:t>
            </w:r>
          </w:p>
        </w:tc>
      </w:tr>
      <w:tr w:rsidR="002938D6" w:rsidRPr="00923150" w14:paraId="12444B17" w14:textId="77777777" w:rsidTr="002938D6">
        <w:trPr>
          <w:trHeight w:val="456"/>
        </w:trPr>
        <w:tc>
          <w:tcPr>
            <w:tcW w:w="1276" w:type="dxa"/>
            <w:tcBorders>
              <w:top w:val="single" w:sz="4" w:space="0" w:color="000000"/>
            </w:tcBorders>
            <w:vAlign w:val="center"/>
          </w:tcPr>
          <w:p w14:paraId="1B4EF01D" w14:textId="77777777" w:rsidR="002938D6" w:rsidRDefault="002938D6" w:rsidP="00E713EC">
            <w:pPr>
              <w:spacing w:before="60" w:after="60"/>
              <w:jc w:val="left"/>
              <w:rPr>
                <w:sz w:val="20"/>
              </w:rPr>
            </w:pPr>
            <w:r w:rsidRPr="0046640E">
              <w:t>RCFC3-3</w:t>
            </w:r>
          </w:p>
        </w:tc>
        <w:tc>
          <w:tcPr>
            <w:tcW w:w="2410" w:type="dxa"/>
            <w:tcBorders>
              <w:top w:val="single" w:sz="4" w:space="0" w:color="000000"/>
            </w:tcBorders>
            <w:vAlign w:val="center"/>
          </w:tcPr>
          <w:p w14:paraId="3E5E57E2" w14:textId="77777777" w:rsidR="002938D6" w:rsidRDefault="002938D6" w:rsidP="00E713EC">
            <w:pPr>
              <w:spacing w:before="60" w:after="60"/>
              <w:jc w:val="left"/>
              <w:rPr>
                <w:sz w:val="20"/>
              </w:rPr>
            </w:pPr>
            <w:r w:rsidRPr="006B66F0">
              <w:t>Supermarkets</w:t>
            </w:r>
          </w:p>
        </w:tc>
        <w:tc>
          <w:tcPr>
            <w:tcW w:w="3969" w:type="dxa"/>
            <w:tcBorders>
              <w:top w:val="single" w:sz="4" w:space="0" w:color="000000"/>
            </w:tcBorders>
            <w:vAlign w:val="center"/>
          </w:tcPr>
          <w:p w14:paraId="445E60A7" w14:textId="77777777" w:rsidR="002938D6" w:rsidRPr="008343EF" w:rsidRDefault="002938D6" w:rsidP="00E713EC">
            <w:pPr>
              <w:spacing w:before="60" w:after="60"/>
              <w:jc w:val="left"/>
              <w:rPr>
                <w:sz w:val="20"/>
              </w:rPr>
            </w:pPr>
            <w:r w:rsidRPr="00C14F9F">
              <w:t>Supermarket refrigeration: large</w:t>
            </w:r>
          </w:p>
        </w:tc>
        <w:tc>
          <w:tcPr>
            <w:tcW w:w="1984" w:type="dxa"/>
            <w:tcBorders>
              <w:top w:val="single" w:sz="4" w:space="0" w:color="000000"/>
            </w:tcBorders>
            <w:vAlign w:val="center"/>
          </w:tcPr>
          <w:p w14:paraId="73AEC18E" w14:textId="282398A1" w:rsidR="002938D6" w:rsidRPr="00923150" w:rsidRDefault="002938D6" w:rsidP="00E713EC">
            <w:pPr>
              <w:spacing w:before="60" w:after="60"/>
              <w:jc w:val="center"/>
              <w:rPr>
                <w:sz w:val="20"/>
              </w:rPr>
            </w:pPr>
            <w:r w:rsidRPr="00E943F9">
              <w:t>333</w:t>
            </w:r>
          </w:p>
        </w:tc>
      </w:tr>
      <w:tr w:rsidR="002938D6" w:rsidRPr="00923150" w14:paraId="4AF9F71A" w14:textId="77777777" w:rsidTr="002938D6">
        <w:trPr>
          <w:trHeight w:val="456"/>
        </w:trPr>
        <w:tc>
          <w:tcPr>
            <w:tcW w:w="1276" w:type="dxa"/>
            <w:tcBorders>
              <w:top w:val="single" w:sz="4" w:space="0" w:color="000000"/>
            </w:tcBorders>
            <w:vAlign w:val="center"/>
          </w:tcPr>
          <w:p w14:paraId="61017769" w14:textId="77777777" w:rsidR="002938D6" w:rsidRDefault="002938D6" w:rsidP="00E713EC">
            <w:pPr>
              <w:spacing w:before="60" w:after="60"/>
              <w:jc w:val="left"/>
              <w:rPr>
                <w:sz w:val="20"/>
              </w:rPr>
            </w:pPr>
            <w:r w:rsidRPr="0046640E">
              <w:t>RCFC4</w:t>
            </w:r>
          </w:p>
        </w:tc>
        <w:tc>
          <w:tcPr>
            <w:tcW w:w="2410" w:type="dxa"/>
            <w:tcBorders>
              <w:top w:val="single" w:sz="4" w:space="0" w:color="000000"/>
            </w:tcBorders>
            <w:vAlign w:val="center"/>
          </w:tcPr>
          <w:p w14:paraId="104EF0FB" w14:textId="77777777" w:rsidR="002938D6" w:rsidRDefault="002938D6" w:rsidP="00E713EC">
            <w:pPr>
              <w:spacing w:before="60" w:after="60"/>
              <w:jc w:val="left"/>
              <w:rPr>
                <w:sz w:val="20"/>
              </w:rPr>
            </w:pPr>
            <w:r w:rsidRPr="006B66F0">
              <w:t>Hospital refrigeration</w:t>
            </w:r>
          </w:p>
        </w:tc>
        <w:tc>
          <w:tcPr>
            <w:tcW w:w="3969" w:type="dxa"/>
            <w:tcBorders>
              <w:top w:val="single" w:sz="4" w:space="0" w:color="000000"/>
            </w:tcBorders>
            <w:vAlign w:val="center"/>
          </w:tcPr>
          <w:p w14:paraId="3F7F8DFF" w14:textId="77777777" w:rsidR="002938D6" w:rsidRPr="008343EF" w:rsidRDefault="002938D6" w:rsidP="00E713EC">
            <w:pPr>
              <w:spacing w:before="60" w:after="60"/>
              <w:jc w:val="left"/>
              <w:rPr>
                <w:sz w:val="20"/>
              </w:rPr>
            </w:pPr>
            <w:r w:rsidRPr="00C14F9F">
              <w:t>Process and large kitchens</w:t>
            </w:r>
          </w:p>
        </w:tc>
        <w:tc>
          <w:tcPr>
            <w:tcW w:w="1984" w:type="dxa"/>
            <w:tcBorders>
              <w:top w:val="single" w:sz="4" w:space="0" w:color="000000"/>
            </w:tcBorders>
            <w:vAlign w:val="center"/>
          </w:tcPr>
          <w:p w14:paraId="1B774E0D" w14:textId="23032969" w:rsidR="002938D6" w:rsidRPr="00923150" w:rsidRDefault="002938D6" w:rsidP="00E713EC">
            <w:pPr>
              <w:spacing w:before="60" w:after="60"/>
              <w:jc w:val="center"/>
              <w:rPr>
                <w:sz w:val="20"/>
              </w:rPr>
            </w:pPr>
            <w:r w:rsidRPr="00E943F9">
              <w:t>120</w:t>
            </w:r>
          </w:p>
        </w:tc>
      </w:tr>
      <w:tr w:rsidR="007B4D7D" w:rsidRPr="00923150" w14:paraId="6CC68878" w14:textId="77777777" w:rsidTr="002938D6">
        <w:trPr>
          <w:trHeight w:val="456"/>
        </w:trPr>
        <w:tc>
          <w:tcPr>
            <w:tcW w:w="1276" w:type="dxa"/>
            <w:tcBorders>
              <w:top w:val="single" w:sz="4" w:space="0" w:color="000000"/>
            </w:tcBorders>
            <w:vAlign w:val="center"/>
          </w:tcPr>
          <w:p w14:paraId="72898AFE" w14:textId="77777777" w:rsidR="007B4D7D" w:rsidRDefault="007B4D7D" w:rsidP="00E713EC">
            <w:pPr>
              <w:spacing w:before="60" w:after="60"/>
              <w:jc w:val="left"/>
              <w:rPr>
                <w:sz w:val="20"/>
              </w:rPr>
            </w:pPr>
            <w:r w:rsidRPr="0046640E">
              <w:t>RCFC5-1</w:t>
            </w:r>
          </w:p>
        </w:tc>
        <w:tc>
          <w:tcPr>
            <w:tcW w:w="2410" w:type="dxa"/>
            <w:tcBorders>
              <w:top w:val="single" w:sz="4" w:space="0" w:color="000000"/>
            </w:tcBorders>
            <w:vAlign w:val="center"/>
          </w:tcPr>
          <w:p w14:paraId="21A6175B" w14:textId="77777777" w:rsidR="007B4D7D" w:rsidRDefault="007B4D7D" w:rsidP="00E713EC">
            <w:pPr>
              <w:spacing w:before="60" w:after="60"/>
              <w:jc w:val="left"/>
              <w:rPr>
                <w:sz w:val="20"/>
              </w:rPr>
            </w:pPr>
            <w:r w:rsidRPr="006B66F0">
              <w:t>Industrial refrigeration</w:t>
            </w:r>
          </w:p>
        </w:tc>
        <w:tc>
          <w:tcPr>
            <w:tcW w:w="3969" w:type="dxa"/>
            <w:tcBorders>
              <w:top w:val="single" w:sz="4" w:space="0" w:color="000000"/>
            </w:tcBorders>
            <w:vAlign w:val="center"/>
          </w:tcPr>
          <w:p w14:paraId="7BDAB2E1" w14:textId="77777777" w:rsidR="007B4D7D" w:rsidRPr="008343EF" w:rsidRDefault="007B4D7D" w:rsidP="00E713EC">
            <w:pPr>
              <w:spacing w:before="60" w:after="60"/>
              <w:jc w:val="left"/>
              <w:rPr>
                <w:sz w:val="20"/>
              </w:rPr>
            </w:pPr>
            <w:r w:rsidRPr="00C14F9F">
              <w:t>Cold storage and distribution</w:t>
            </w:r>
          </w:p>
        </w:tc>
        <w:tc>
          <w:tcPr>
            <w:tcW w:w="1984" w:type="dxa"/>
            <w:tcBorders>
              <w:top w:val="single" w:sz="4" w:space="0" w:color="000000"/>
            </w:tcBorders>
            <w:vAlign w:val="center"/>
          </w:tcPr>
          <w:p w14:paraId="100D641E" w14:textId="77777777" w:rsidR="007B4D7D" w:rsidRPr="00923150" w:rsidRDefault="007B4D7D" w:rsidP="00E713EC">
            <w:pPr>
              <w:spacing w:before="60" w:after="60"/>
              <w:jc w:val="center"/>
              <w:rPr>
                <w:sz w:val="20"/>
              </w:rPr>
            </w:pPr>
            <w:r w:rsidRPr="004A68EE">
              <w:t>12.2 Million m</w:t>
            </w:r>
            <w:r w:rsidRPr="004F4D00">
              <w:rPr>
                <w:vertAlign w:val="superscript"/>
              </w:rPr>
              <w:t>3</w:t>
            </w:r>
          </w:p>
        </w:tc>
      </w:tr>
      <w:tr w:rsidR="00580579" w:rsidRPr="003E19E1" w14:paraId="485EA457" w14:textId="77777777" w:rsidTr="00E713EC">
        <w:trPr>
          <w:trHeight w:val="456"/>
        </w:trPr>
        <w:tc>
          <w:tcPr>
            <w:tcW w:w="1276" w:type="dxa"/>
            <w:tcBorders>
              <w:top w:val="double" w:sz="4" w:space="0" w:color="auto"/>
            </w:tcBorders>
            <w:shd w:val="clear" w:color="auto" w:fill="CCFFFF"/>
            <w:vAlign w:val="center"/>
          </w:tcPr>
          <w:p w14:paraId="6DF2C1DA" w14:textId="77777777" w:rsidR="00580579" w:rsidRPr="003E19E1" w:rsidRDefault="00580579" w:rsidP="00E713EC">
            <w:pPr>
              <w:spacing w:before="60" w:after="60"/>
              <w:jc w:val="left"/>
              <w:rPr>
                <w:szCs w:val="22"/>
              </w:rPr>
            </w:pPr>
            <w:r>
              <w:rPr>
                <w:szCs w:val="22"/>
              </w:rPr>
              <w:t>RCFC</w:t>
            </w:r>
          </w:p>
        </w:tc>
        <w:tc>
          <w:tcPr>
            <w:tcW w:w="6379" w:type="dxa"/>
            <w:gridSpan w:val="2"/>
            <w:tcBorders>
              <w:top w:val="double" w:sz="4" w:space="0" w:color="auto"/>
            </w:tcBorders>
            <w:shd w:val="clear" w:color="auto" w:fill="CCFFFF"/>
            <w:vAlign w:val="center"/>
          </w:tcPr>
          <w:p w14:paraId="49352775" w14:textId="068DC9A8" w:rsidR="00580579" w:rsidRPr="003E19E1" w:rsidRDefault="00580579" w:rsidP="00E713EC">
            <w:pPr>
              <w:spacing w:before="60" w:after="60"/>
              <w:jc w:val="left"/>
              <w:rPr>
                <w:szCs w:val="22"/>
              </w:rPr>
            </w:pPr>
            <w:r w:rsidRPr="003E19E1">
              <w:rPr>
                <w:szCs w:val="22"/>
              </w:rPr>
              <w:t xml:space="preserve">Total </w:t>
            </w:r>
            <w:r w:rsidR="00B948FC">
              <w:rPr>
                <w:szCs w:val="22"/>
              </w:rPr>
              <w:t>Refrigerated cold food chain</w:t>
            </w:r>
          </w:p>
        </w:tc>
        <w:tc>
          <w:tcPr>
            <w:tcW w:w="1984" w:type="dxa"/>
            <w:tcBorders>
              <w:top w:val="double" w:sz="4" w:space="0" w:color="auto"/>
            </w:tcBorders>
            <w:shd w:val="clear" w:color="auto" w:fill="CCFFFF"/>
            <w:vAlign w:val="center"/>
          </w:tcPr>
          <w:p w14:paraId="173787BA" w14:textId="2F39F3ED" w:rsidR="00580579" w:rsidRPr="003E19E1" w:rsidRDefault="00580579" w:rsidP="002938D6">
            <w:pPr>
              <w:spacing w:before="60" w:after="60"/>
              <w:jc w:val="center"/>
              <w:rPr>
                <w:szCs w:val="22"/>
              </w:rPr>
            </w:pPr>
            <w:r w:rsidRPr="004A68EE">
              <w:t>1,083,</w:t>
            </w:r>
            <w:r w:rsidR="002938D6">
              <w:t>900</w:t>
            </w:r>
          </w:p>
        </w:tc>
      </w:tr>
    </w:tbl>
    <w:p w14:paraId="05782ED4" w14:textId="77777777" w:rsidR="00574B1B" w:rsidRDefault="00574B1B">
      <w:pPr>
        <w:spacing w:before="0"/>
        <w:jc w:val="left"/>
        <w:rPr>
          <w:rFonts w:asciiTheme="majorHAnsi" w:hAnsiTheme="majorHAnsi"/>
          <w:b/>
          <w:sz w:val="32"/>
          <w:szCs w:val="32"/>
        </w:rPr>
      </w:pPr>
      <w:r>
        <w:rPr>
          <w:rFonts w:asciiTheme="majorHAnsi" w:hAnsiTheme="majorHAnsi"/>
          <w:b/>
          <w:sz w:val="32"/>
          <w:szCs w:val="32"/>
        </w:rPr>
        <w:br w:type="page"/>
      </w:r>
    </w:p>
    <w:p w14:paraId="616E0764" w14:textId="013C6841" w:rsidR="00491313" w:rsidRDefault="00E713EC">
      <w:pPr>
        <w:spacing w:before="0"/>
        <w:jc w:val="left"/>
        <w:rPr>
          <w:rFonts w:asciiTheme="majorHAnsi" w:hAnsiTheme="majorHAnsi"/>
          <w:b/>
          <w:sz w:val="32"/>
          <w:szCs w:val="32"/>
        </w:rPr>
      </w:pPr>
      <w:r w:rsidRPr="00905F5E">
        <w:rPr>
          <w:rFonts w:asciiTheme="majorHAnsi" w:hAnsiTheme="majorHAnsi"/>
          <w:b/>
          <w:sz w:val="32"/>
          <w:szCs w:val="32"/>
        </w:rPr>
        <w:lastRenderedPageBreak/>
        <w:t xml:space="preserve">Appendix </w:t>
      </w:r>
      <w:r>
        <w:rPr>
          <w:rFonts w:asciiTheme="majorHAnsi" w:hAnsiTheme="majorHAnsi"/>
          <w:b/>
          <w:sz w:val="32"/>
          <w:szCs w:val="32"/>
        </w:rPr>
        <w:t>E</w:t>
      </w:r>
      <w:r w:rsidRPr="00905F5E">
        <w:rPr>
          <w:rFonts w:asciiTheme="majorHAnsi" w:hAnsiTheme="majorHAnsi"/>
          <w:b/>
          <w:sz w:val="32"/>
          <w:szCs w:val="32"/>
        </w:rPr>
        <w:t xml:space="preserve">: </w:t>
      </w:r>
      <w:r w:rsidRPr="00E713EC">
        <w:rPr>
          <w:rFonts w:asciiTheme="majorHAnsi" w:hAnsiTheme="majorHAnsi"/>
          <w:b/>
          <w:sz w:val="32"/>
          <w:szCs w:val="32"/>
        </w:rPr>
        <w:t xml:space="preserve">Business and </w:t>
      </w:r>
      <w:r>
        <w:rPr>
          <w:rFonts w:asciiTheme="majorHAnsi" w:hAnsiTheme="majorHAnsi"/>
          <w:b/>
          <w:sz w:val="32"/>
          <w:szCs w:val="32"/>
        </w:rPr>
        <w:t>e</w:t>
      </w:r>
      <w:r w:rsidRPr="00E713EC">
        <w:rPr>
          <w:rFonts w:asciiTheme="majorHAnsi" w:hAnsiTheme="majorHAnsi"/>
          <w:b/>
          <w:sz w:val="32"/>
          <w:szCs w:val="32"/>
        </w:rPr>
        <w:t>mployment types</w:t>
      </w:r>
    </w:p>
    <w:p w14:paraId="00D3E8B7" w14:textId="646B43C5" w:rsidR="00092C0F" w:rsidRPr="005D159D" w:rsidRDefault="00092C0F" w:rsidP="00092C0F">
      <w:pPr>
        <w:rPr>
          <w:i/>
          <w:szCs w:val="22"/>
        </w:rPr>
      </w:pPr>
      <w:bookmarkStart w:id="112" w:name="_Toc233084086"/>
      <w:r w:rsidRPr="005D159D">
        <w:rPr>
          <w:i/>
          <w:szCs w:val="22"/>
        </w:rPr>
        <w:t xml:space="preserve">Table </w:t>
      </w:r>
      <w:r w:rsidRPr="005D159D">
        <w:rPr>
          <w:i/>
          <w:szCs w:val="22"/>
        </w:rPr>
        <w:fldChar w:fldCharType="begin"/>
      </w:r>
      <w:r w:rsidRPr="005D159D">
        <w:rPr>
          <w:i/>
          <w:szCs w:val="22"/>
        </w:rPr>
        <w:instrText xml:space="preserve"> SEQ Table \* ARABIC </w:instrText>
      </w:r>
      <w:r w:rsidRPr="005D159D">
        <w:rPr>
          <w:i/>
          <w:szCs w:val="22"/>
        </w:rPr>
        <w:fldChar w:fldCharType="separate"/>
      </w:r>
      <w:r w:rsidR="00196462">
        <w:rPr>
          <w:i/>
          <w:noProof/>
          <w:szCs w:val="22"/>
        </w:rPr>
        <w:t>42</w:t>
      </w:r>
      <w:r w:rsidRPr="005D159D">
        <w:rPr>
          <w:i/>
          <w:szCs w:val="22"/>
        </w:rPr>
        <w:fldChar w:fldCharType="end"/>
      </w:r>
      <w:r w:rsidRPr="005D159D">
        <w:rPr>
          <w:i/>
          <w:szCs w:val="22"/>
        </w:rPr>
        <w:t xml:space="preserve">: </w:t>
      </w:r>
      <w:r w:rsidRPr="00092C0F">
        <w:rPr>
          <w:i/>
          <w:szCs w:val="22"/>
        </w:rPr>
        <w:t>Types of businesses</w:t>
      </w:r>
      <w:r>
        <w:rPr>
          <w:i/>
          <w:szCs w:val="22"/>
        </w:rPr>
        <w:t xml:space="preserve"> in the </w:t>
      </w:r>
      <w:r w:rsidRPr="00092C0F">
        <w:rPr>
          <w:i/>
          <w:szCs w:val="22"/>
        </w:rPr>
        <w:t xml:space="preserve">HVAC&amp;R </w:t>
      </w:r>
      <w:r>
        <w:rPr>
          <w:i/>
          <w:szCs w:val="22"/>
        </w:rPr>
        <w:t>s</w:t>
      </w:r>
      <w:r w:rsidRPr="00092C0F">
        <w:rPr>
          <w:i/>
          <w:szCs w:val="22"/>
        </w:rPr>
        <w:t xml:space="preserve">upply </w:t>
      </w:r>
      <w:r>
        <w:rPr>
          <w:i/>
          <w:szCs w:val="22"/>
        </w:rPr>
        <w:t>c</w:t>
      </w:r>
      <w:r w:rsidRPr="00092C0F">
        <w:rPr>
          <w:i/>
          <w:szCs w:val="22"/>
        </w:rPr>
        <w:t>hain</w:t>
      </w:r>
      <w:bookmarkEnd w:id="1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5"/>
      </w:tblGrid>
      <w:tr w:rsidR="00092C0F" w:rsidRPr="00923150" w14:paraId="07F27FC0" w14:textId="77777777" w:rsidTr="00092C0F">
        <w:trPr>
          <w:trHeight w:val="684"/>
        </w:trPr>
        <w:tc>
          <w:tcPr>
            <w:tcW w:w="9639" w:type="dxa"/>
            <w:tcBorders>
              <w:top w:val="single" w:sz="8" w:space="0" w:color="auto"/>
              <w:left w:val="single" w:sz="8" w:space="0" w:color="auto"/>
              <w:bottom w:val="single" w:sz="8" w:space="0" w:color="auto"/>
              <w:right w:val="single" w:sz="8" w:space="0" w:color="auto"/>
            </w:tcBorders>
            <w:shd w:val="clear" w:color="auto" w:fill="000000"/>
            <w:vAlign w:val="center"/>
          </w:tcPr>
          <w:p w14:paraId="7C91FF0D" w14:textId="0B0B0F6D" w:rsidR="00092C0F" w:rsidRPr="00D37A89" w:rsidRDefault="00092C0F" w:rsidP="00092C0F">
            <w:pPr>
              <w:spacing w:after="120"/>
              <w:jc w:val="center"/>
              <w:rPr>
                <w:rFonts w:cs="Times New Roman"/>
                <w:szCs w:val="22"/>
              </w:rPr>
            </w:pPr>
            <w:r>
              <w:rPr>
                <w:rFonts w:cs="Times New Roman"/>
                <w:szCs w:val="22"/>
              </w:rPr>
              <w:t>Types of businesses in the HVAC&amp;R industry</w:t>
            </w:r>
          </w:p>
        </w:tc>
      </w:tr>
      <w:tr w:rsidR="00092C0F" w:rsidRPr="00923150" w14:paraId="7D2C1AE7" w14:textId="77777777" w:rsidTr="00092C0F">
        <w:trPr>
          <w:trHeight w:val="456"/>
        </w:trPr>
        <w:tc>
          <w:tcPr>
            <w:tcW w:w="9639" w:type="dxa"/>
            <w:tcBorders>
              <w:top w:val="single" w:sz="8" w:space="0" w:color="auto"/>
            </w:tcBorders>
            <w:vAlign w:val="bottom"/>
          </w:tcPr>
          <w:p w14:paraId="4F6BFF40" w14:textId="0153805B" w:rsidR="00092C0F" w:rsidRPr="00D37A89" w:rsidRDefault="00092C0F" w:rsidP="00092C0F">
            <w:pPr>
              <w:spacing w:before="60" w:after="60"/>
              <w:jc w:val="left"/>
            </w:pPr>
            <w:r w:rsidRPr="00B01A66">
              <w:rPr>
                <w:rFonts w:eastAsia="Times New Roman"/>
                <w:color w:val="000000"/>
                <w:sz w:val="24"/>
                <w:lang w:eastAsia="en-AU"/>
              </w:rPr>
              <w:t>Wholesalers (major and independents: full HVAC&amp;R range, air conditioning, auto air, etc.)</w:t>
            </w:r>
          </w:p>
        </w:tc>
      </w:tr>
      <w:tr w:rsidR="00092C0F" w:rsidRPr="00923150" w14:paraId="5A316C65" w14:textId="77777777" w:rsidTr="00092C0F">
        <w:trPr>
          <w:trHeight w:val="456"/>
        </w:trPr>
        <w:tc>
          <w:tcPr>
            <w:tcW w:w="9639" w:type="dxa"/>
            <w:vAlign w:val="bottom"/>
          </w:tcPr>
          <w:p w14:paraId="53896D42" w14:textId="7B6FD6D5" w:rsidR="00092C0F" w:rsidRPr="00D37A89" w:rsidRDefault="00092C0F" w:rsidP="00092C0F">
            <w:pPr>
              <w:spacing w:before="60" w:after="60"/>
              <w:jc w:val="left"/>
            </w:pPr>
            <w:r w:rsidRPr="00B01A66">
              <w:rPr>
                <w:rFonts w:eastAsia="Times New Roman"/>
                <w:color w:val="000000"/>
                <w:sz w:val="24"/>
                <w:lang w:eastAsia="en-AU"/>
              </w:rPr>
              <w:t>Contractors (installation, service and maintenance)</w:t>
            </w:r>
          </w:p>
        </w:tc>
      </w:tr>
      <w:tr w:rsidR="00092C0F" w:rsidRPr="00923150" w14:paraId="559231EC" w14:textId="77777777" w:rsidTr="00092C0F">
        <w:trPr>
          <w:trHeight w:val="456"/>
        </w:trPr>
        <w:tc>
          <w:tcPr>
            <w:tcW w:w="9639" w:type="dxa"/>
            <w:vAlign w:val="bottom"/>
          </w:tcPr>
          <w:p w14:paraId="781B978F" w14:textId="0C9196EE" w:rsidR="00092C0F" w:rsidRPr="00D37A89" w:rsidRDefault="00092C0F" w:rsidP="00092C0F">
            <w:pPr>
              <w:spacing w:before="60" w:after="60"/>
              <w:jc w:val="left"/>
            </w:pPr>
            <w:r w:rsidRPr="00B01A66">
              <w:rPr>
                <w:rFonts w:eastAsia="Times New Roman"/>
                <w:color w:val="000000"/>
                <w:sz w:val="24"/>
                <w:lang w:eastAsia="en-AU"/>
              </w:rPr>
              <w:t>Equipment Manufacturers</w:t>
            </w:r>
          </w:p>
        </w:tc>
      </w:tr>
      <w:tr w:rsidR="00092C0F" w:rsidRPr="00923150" w14:paraId="5307A699" w14:textId="77777777" w:rsidTr="00092C0F">
        <w:trPr>
          <w:trHeight w:val="456"/>
        </w:trPr>
        <w:tc>
          <w:tcPr>
            <w:tcW w:w="9639" w:type="dxa"/>
            <w:vAlign w:val="bottom"/>
          </w:tcPr>
          <w:p w14:paraId="68425018" w14:textId="4857D68B" w:rsidR="00092C0F" w:rsidRPr="00D37A89" w:rsidRDefault="00092C0F" w:rsidP="00092C0F">
            <w:pPr>
              <w:spacing w:before="60" w:after="60"/>
              <w:jc w:val="left"/>
            </w:pPr>
            <w:r w:rsidRPr="00B01A66">
              <w:rPr>
                <w:rFonts w:eastAsia="Times New Roman"/>
                <w:color w:val="000000"/>
                <w:sz w:val="24"/>
                <w:lang w:eastAsia="en-AU"/>
              </w:rPr>
              <w:t>Equipment suppliers (air conditioning, evaporative coolers, heating, hot water heat pumps, hydronic, commercial refrigeration, domestic refrigeration)</w:t>
            </w:r>
          </w:p>
        </w:tc>
      </w:tr>
      <w:tr w:rsidR="00092C0F" w:rsidRPr="00923150" w14:paraId="58DC5736" w14:textId="77777777" w:rsidTr="00092C0F">
        <w:trPr>
          <w:trHeight w:val="456"/>
        </w:trPr>
        <w:tc>
          <w:tcPr>
            <w:tcW w:w="9639" w:type="dxa"/>
            <w:vAlign w:val="bottom"/>
          </w:tcPr>
          <w:p w14:paraId="31DBD08C" w14:textId="6CCE612B" w:rsidR="00092C0F" w:rsidRPr="00D37A89" w:rsidRDefault="00092C0F" w:rsidP="00092C0F">
            <w:pPr>
              <w:spacing w:before="60" w:after="60"/>
              <w:jc w:val="left"/>
            </w:pPr>
            <w:r w:rsidRPr="00B01A66">
              <w:rPr>
                <w:rFonts w:eastAsia="Times New Roman"/>
                <w:color w:val="000000"/>
                <w:sz w:val="24"/>
                <w:lang w:eastAsia="en-AU"/>
              </w:rPr>
              <w:t>Component suppliers (compressors, fans, coils, chilled beams, refrigerant, etc.)</w:t>
            </w:r>
          </w:p>
        </w:tc>
      </w:tr>
      <w:tr w:rsidR="00092C0F" w:rsidRPr="00923150" w14:paraId="6390BBBF" w14:textId="77777777" w:rsidTr="00092C0F">
        <w:trPr>
          <w:trHeight w:val="456"/>
        </w:trPr>
        <w:tc>
          <w:tcPr>
            <w:tcW w:w="9639" w:type="dxa"/>
            <w:vAlign w:val="bottom"/>
          </w:tcPr>
          <w:p w14:paraId="4DB994DD" w14:textId="4472A42F" w:rsidR="00092C0F" w:rsidRPr="00D37A89" w:rsidRDefault="00092C0F" w:rsidP="00092C0F">
            <w:pPr>
              <w:spacing w:before="60" w:after="60"/>
              <w:jc w:val="left"/>
            </w:pPr>
            <w:r w:rsidRPr="00B01A66">
              <w:rPr>
                <w:rFonts w:eastAsia="Times New Roman"/>
                <w:color w:val="000000"/>
                <w:sz w:val="24"/>
                <w:lang w:eastAsia="en-AU"/>
              </w:rPr>
              <w:t>Coolroom suppliers (panel and contractors)</w:t>
            </w:r>
          </w:p>
        </w:tc>
      </w:tr>
      <w:tr w:rsidR="00092C0F" w:rsidRPr="00923150" w14:paraId="707AF4ED" w14:textId="77777777" w:rsidTr="00092C0F">
        <w:trPr>
          <w:trHeight w:val="456"/>
        </w:trPr>
        <w:tc>
          <w:tcPr>
            <w:tcW w:w="9639" w:type="dxa"/>
            <w:vAlign w:val="bottom"/>
          </w:tcPr>
          <w:p w14:paraId="5A93BB07" w14:textId="7D1178C3" w:rsidR="00092C0F" w:rsidRPr="00D37A89" w:rsidRDefault="00092C0F" w:rsidP="00092C0F">
            <w:pPr>
              <w:spacing w:before="60" w:after="60"/>
              <w:jc w:val="left"/>
            </w:pPr>
            <w:r w:rsidRPr="00B01A66">
              <w:rPr>
                <w:rFonts w:eastAsia="Times New Roman"/>
                <w:color w:val="000000"/>
                <w:sz w:val="24"/>
                <w:lang w:eastAsia="en-AU"/>
              </w:rPr>
              <w:t>Controls and instrumentation suppliers (IS, software, electronics, data logging, VSDs, sensing/measuring, temp/humidity/air flow/air quality, etc.)</w:t>
            </w:r>
          </w:p>
        </w:tc>
      </w:tr>
      <w:tr w:rsidR="00092C0F" w:rsidRPr="00923150" w14:paraId="5DDD0E77" w14:textId="77777777" w:rsidTr="00092C0F">
        <w:trPr>
          <w:trHeight w:val="456"/>
        </w:trPr>
        <w:tc>
          <w:tcPr>
            <w:tcW w:w="9639" w:type="dxa"/>
            <w:vAlign w:val="bottom"/>
          </w:tcPr>
          <w:p w14:paraId="19CCB8DF" w14:textId="2252BAF1" w:rsidR="00092C0F" w:rsidRPr="00D37A89" w:rsidRDefault="00092C0F" w:rsidP="00092C0F">
            <w:pPr>
              <w:spacing w:before="60" w:after="60"/>
              <w:jc w:val="left"/>
            </w:pPr>
            <w:r w:rsidRPr="00B01A66">
              <w:rPr>
                <w:rFonts w:eastAsia="Times New Roman"/>
                <w:color w:val="000000"/>
                <w:sz w:val="24"/>
                <w:lang w:eastAsia="en-AU"/>
              </w:rPr>
              <w:t>Filtration and environmental services (supply and cleaning)</w:t>
            </w:r>
          </w:p>
        </w:tc>
      </w:tr>
      <w:tr w:rsidR="00092C0F" w:rsidRPr="00923150" w14:paraId="135E6D71" w14:textId="77777777" w:rsidTr="00092C0F">
        <w:trPr>
          <w:trHeight w:val="456"/>
        </w:trPr>
        <w:tc>
          <w:tcPr>
            <w:tcW w:w="9639" w:type="dxa"/>
            <w:vAlign w:val="bottom"/>
          </w:tcPr>
          <w:p w14:paraId="656CA0B7" w14:textId="5ADA6AD1" w:rsidR="00092C0F" w:rsidRPr="00D37A89" w:rsidRDefault="00092C0F" w:rsidP="00092C0F">
            <w:pPr>
              <w:spacing w:before="60" w:after="60"/>
              <w:jc w:val="left"/>
            </w:pPr>
            <w:r w:rsidRPr="00B01A66">
              <w:rPr>
                <w:rFonts w:eastAsia="Times New Roman"/>
                <w:color w:val="000000"/>
                <w:sz w:val="24"/>
                <w:lang w:eastAsia="en-AU"/>
              </w:rPr>
              <w:t>Air movement (ducts, sheetmetal, fittings, registers, dampers, diffusers, accessories)</w:t>
            </w:r>
          </w:p>
        </w:tc>
      </w:tr>
      <w:tr w:rsidR="00092C0F" w:rsidRPr="00923150" w14:paraId="0739BA17" w14:textId="77777777" w:rsidTr="00092C0F">
        <w:trPr>
          <w:trHeight w:val="456"/>
        </w:trPr>
        <w:tc>
          <w:tcPr>
            <w:tcW w:w="9639" w:type="dxa"/>
            <w:vAlign w:val="bottom"/>
          </w:tcPr>
          <w:p w14:paraId="0DC98681" w14:textId="0840C7C5" w:rsidR="00092C0F" w:rsidRPr="00D37A89" w:rsidRDefault="00092C0F" w:rsidP="00092C0F">
            <w:pPr>
              <w:spacing w:before="60" w:after="60"/>
              <w:jc w:val="left"/>
            </w:pPr>
            <w:r w:rsidRPr="00B01A66">
              <w:rPr>
                <w:rFonts w:eastAsia="Times New Roman"/>
                <w:color w:val="000000"/>
                <w:sz w:val="24"/>
                <w:lang w:eastAsia="en-AU"/>
              </w:rPr>
              <w:t>Fans and ventilation</w:t>
            </w:r>
          </w:p>
        </w:tc>
      </w:tr>
      <w:tr w:rsidR="00092C0F" w:rsidRPr="00923150" w14:paraId="0AE1C44F" w14:textId="77777777" w:rsidTr="00092C0F">
        <w:trPr>
          <w:trHeight w:val="456"/>
        </w:trPr>
        <w:tc>
          <w:tcPr>
            <w:tcW w:w="9639" w:type="dxa"/>
            <w:vAlign w:val="bottom"/>
          </w:tcPr>
          <w:p w14:paraId="7148A4A8" w14:textId="383C7D00" w:rsidR="00092C0F" w:rsidRPr="00D37A89" w:rsidRDefault="00092C0F" w:rsidP="00092C0F">
            <w:pPr>
              <w:spacing w:before="60" w:after="60"/>
              <w:jc w:val="left"/>
            </w:pPr>
            <w:r w:rsidRPr="00B01A66">
              <w:rPr>
                <w:rFonts w:eastAsia="Times New Roman"/>
                <w:color w:val="000000"/>
                <w:sz w:val="24"/>
                <w:lang w:eastAsia="en-AU"/>
              </w:rPr>
              <w:t>Mechanical services engineers</w:t>
            </w:r>
          </w:p>
        </w:tc>
      </w:tr>
      <w:tr w:rsidR="00092C0F" w:rsidRPr="00923150" w14:paraId="556ED887" w14:textId="77777777" w:rsidTr="00092C0F">
        <w:trPr>
          <w:trHeight w:val="456"/>
        </w:trPr>
        <w:tc>
          <w:tcPr>
            <w:tcW w:w="9639" w:type="dxa"/>
            <w:vAlign w:val="bottom"/>
          </w:tcPr>
          <w:p w14:paraId="68350788" w14:textId="039437D4" w:rsidR="00092C0F" w:rsidRPr="00D37A89" w:rsidRDefault="00092C0F" w:rsidP="00092C0F">
            <w:pPr>
              <w:spacing w:before="60" w:after="60"/>
              <w:jc w:val="left"/>
            </w:pPr>
            <w:r w:rsidRPr="00B01A66">
              <w:rPr>
                <w:rFonts w:eastAsia="Times New Roman"/>
                <w:color w:val="000000"/>
                <w:sz w:val="24"/>
                <w:lang w:eastAsia="en-AU"/>
              </w:rPr>
              <w:t>Consulting and design engineers</w:t>
            </w:r>
          </w:p>
        </w:tc>
      </w:tr>
      <w:tr w:rsidR="00092C0F" w:rsidRPr="00923150" w14:paraId="30E654B0" w14:textId="77777777" w:rsidTr="00092C0F">
        <w:trPr>
          <w:trHeight w:val="456"/>
        </w:trPr>
        <w:tc>
          <w:tcPr>
            <w:tcW w:w="9639" w:type="dxa"/>
            <w:vAlign w:val="bottom"/>
          </w:tcPr>
          <w:p w14:paraId="39A603A3" w14:textId="682E76C9" w:rsidR="00092C0F" w:rsidRPr="00D37A89" w:rsidRDefault="00092C0F" w:rsidP="00092C0F">
            <w:pPr>
              <w:spacing w:before="60" w:after="60"/>
              <w:jc w:val="left"/>
            </w:pPr>
            <w:r w:rsidRPr="00B01A66">
              <w:rPr>
                <w:rFonts w:eastAsia="Times New Roman"/>
                <w:color w:val="000000"/>
                <w:sz w:val="24"/>
                <w:lang w:eastAsia="en-AU"/>
              </w:rPr>
              <w:t>Commissioning engineers</w:t>
            </w:r>
          </w:p>
        </w:tc>
      </w:tr>
      <w:tr w:rsidR="00092C0F" w:rsidRPr="00923150" w14:paraId="47F57A06" w14:textId="77777777" w:rsidTr="00092C0F">
        <w:trPr>
          <w:trHeight w:val="456"/>
        </w:trPr>
        <w:tc>
          <w:tcPr>
            <w:tcW w:w="9639" w:type="dxa"/>
            <w:vAlign w:val="bottom"/>
          </w:tcPr>
          <w:p w14:paraId="24C22AED" w14:textId="598FF4C1" w:rsidR="00092C0F" w:rsidRPr="00D37A89" w:rsidRDefault="00092C0F" w:rsidP="00092C0F">
            <w:pPr>
              <w:spacing w:before="60" w:after="60"/>
              <w:jc w:val="left"/>
            </w:pPr>
            <w:r w:rsidRPr="00B01A66">
              <w:rPr>
                <w:rFonts w:eastAsia="Times New Roman"/>
                <w:color w:val="000000"/>
                <w:sz w:val="24"/>
                <w:lang w:eastAsia="en-AU"/>
              </w:rPr>
              <w:t>Energy efficiency and specialist (i.e. natural refrigerants) engineers</w:t>
            </w:r>
          </w:p>
        </w:tc>
      </w:tr>
      <w:tr w:rsidR="00092C0F" w:rsidRPr="00923150" w14:paraId="13D6BB09" w14:textId="77777777" w:rsidTr="00092C0F">
        <w:trPr>
          <w:trHeight w:val="456"/>
        </w:trPr>
        <w:tc>
          <w:tcPr>
            <w:tcW w:w="9639" w:type="dxa"/>
            <w:vAlign w:val="bottom"/>
          </w:tcPr>
          <w:p w14:paraId="7B9B674C" w14:textId="02AD73FF" w:rsidR="00092C0F" w:rsidRPr="00D37A89" w:rsidRDefault="00092C0F" w:rsidP="00092C0F">
            <w:pPr>
              <w:spacing w:before="60" w:after="60"/>
              <w:jc w:val="left"/>
            </w:pPr>
            <w:r w:rsidRPr="00B01A66">
              <w:rPr>
                <w:rFonts w:eastAsia="Times New Roman"/>
                <w:color w:val="000000"/>
                <w:sz w:val="24"/>
                <w:lang w:eastAsia="en-AU"/>
              </w:rPr>
              <w:t>Facilities maintenance</w:t>
            </w:r>
          </w:p>
        </w:tc>
      </w:tr>
      <w:tr w:rsidR="00092C0F" w:rsidRPr="00923150" w14:paraId="34087E2D" w14:textId="77777777" w:rsidTr="00092C0F">
        <w:trPr>
          <w:trHeight w:val="456"/>
        </w:trPr>
        <w:tc>
          <w:tcPr>
            <w:tcW w:w="9639" w:type="dxa"/>
            <w:vAlign w:val="bottom"/>
          </w:tcPr>
          <w:p w14:paraId="5C6F4720" w14:textId="5347B5FB" w:rsidR="00092C0F" w:rsidRPr="00D37A89" w:rsidRDefault="00092C0F" w:rsidP="00092C0F">
            <w:pPr>
              <w:spacing w:before="60" w:after="60"/>
              <w:jc w:val="left"/>
            </w:pPr>
            <w:r w:rsidRPr="00B01A66">
              <w:rPr>
                <w:rFonts w:eastAsia="Times New Roman"/>
                <w:color w:val="000000"/>
                <w:sz w:val="24"/>
                <w:lang w:eastAsia="en-AU"/>
              </w:rPr>
              <w:t>Accessory suppliers (insulation, pipes, fittings, pumps, valves, lighting, tools, chemicals, oils, corrosion protection, etc.)</w:t>
            </w:r>
          </w:p>
        </w:tc>
      </w:tr>
      <w:tr w:rsidR="00092C0F" w:rsidRPr="00923150" w14:paraId="20C5CE5C" w14:textId="77777777" w:rsidTr="00092C0F">
        <w:trPr>
          <w:trHeight w:val="456"/>
        </w:trPr>
        <w:tc>
          <w:tcPr>
            <w:tcW w:w="9639" w:type="dxa"/>
            <w:vAlign w:val="bottom"/>
          </w:tcPr>
          <w:p w14:paraId="28D57A69" w14:textId="011D4ECF" w:rsidR="00092C0F" w:rsidRPr="00D37A89" w:rsidRDefault="00092C0F" w:rsidP="00092C0F">
            <w:pPr>
              <w:spacing w:before="60" w:after="60"/>
              <w:jc w:val="left"/>
            </w:pPr>
            <w:r w:rsidRPr="00B01A66">
              <w:rPr>
                <w:rFonts w:eastAsia="Times New Roman"/>
                <w:color w:val="000000"/>
                <w:sz w:val="24"/>
                <w:lang w:eastAsia="en-AU"/>
              </w:rPr>
              <w:t>Cooling tower specialist</w:t>
            </w:r>
          </w:p>
        </w:tc>
      </w:tr>
      <w:tr w:rsidR="00092C0F" w:rsidRPr="00923150" w14:paraId="649C3C62" w14:textId="77777777" w:rsidTr="00092C0F">
        <w:trPr>
          <w:trHeight w:val="456"/>
        </w:trPr>
        <w:tc>
          <w:tcPr>
            <w:tcW w:w="9639" w:type="dxa"/>
            <w:vAlign w:val="bottom"/>
          </w:tcPr>
          <w:p w14:paraId="161FFF92" w14:textId="5C64FF8A" w:rsidR="00092C0F" w:rsidRPr="00D37A89" w:rsidRDefault="00092C0F" w:rsidP="00092C0F">
            <w:pPr>
              <w:spacing w:before="60" w:after="60"/>
              <w:jc w:val="left"/>
            </w:pPr>
            <w:r w:rsidRPr="00B01A66">
              <w:rPr>
                <w:rFonts w:eastAsia="Times New Roman"/>
                <w:color w:val="000000"/>
                <w:sz w:val="24"/>
                <w:lang w:eastAsia="en-AU"/>
              </w:rPr>
              <w:t>Rental companies (</w:t>
            </w:r>
            <w:r w:rsidRPr="00C17D1D">
              <w:rPr>
                <w:rFonts w:eastAsia="Times New Roman"/>
                <w:color w:val="000000"/>
                <w:sz w:val="24"/>
                <w:lang w:eastAsia="en-AU"/>
              </w:rPr>
              <w:t>air conditioning</w:t>
            </w:r>
            <w:r w:rsidRPr="00C17D1D" w:rsidDel="00C17D1D">
              <w:rPr>
                <w:rFonts w:eastAsia="Times New Roman"/>
                <w:color w:val="000000"/>
                <w:sz w:val="24"/>
                <w:lang w:eastAsia="en-AU"/>
              </w:rPr>
              <w:t xml:space="preserve"> </w:t>
            </w:r>
            <w:r w:rsidRPr="00B01A66">
              <w:rPr>
                <w:rFonts w:eastAsia="Times New Roman"/>
                <w:color w:val="000000"/>
                <w:sz w:val="24"/>
                <w:lang w:eastAsia="en-AU"/>
              </w:rPr>
              <w:t>equipment for events and breakdowns)</w:t>
            </w:r>
          </w:p>
        </w:tc>
      </w:tr>
      <w:tr w:rsidR="00092C0F" w:rsidRPr="00923150" w14:paraId="23EBF345" w14:textId="77777777" w:rsidTr="00092C0F">
        <w:trPr>
          <w:trHeight w:val="456"/>
        </w:trPr>
        <w:tc>
          <w:tcPr>
            <w:tcW w:w="9639" w:type="dxa"/>
            <w:vAlign w:val="bottom"/>
          </w:tcPr>
          <w:p w14:paraId="0D7D888B" w14:textId="29AC2EA5" w:rsidR="00092C0F" w:rsidRPr="00D37A89" w:rsidRDefault="00092C0F" w:rsidP="00092C0F">
            <w:pPr>
              <w:spacing w:before="60" w:after="60"/>
              <w:jc w:val="left"/>
            </w:pPr>
            <w:r w:rsidRPr="00B01A66">
              <w:rPr>
                <w:rFonts w:eastAsia="Times New Roman"/>
                <w:color w:val="000000"/>
                <w:sz w:val="24"/>
                <w:lang w:eastAsia="en-AU"/>
              </w:rPr>
              <w:t>Business services (insurance brokers, etc.)</w:t>
            </w:r>
          </w:p>
        </w:tc>
      </w:tr>
      <w:tr w:rsidR="00092C0F" w:rsidRPr="00923150" w14:paraId="4186A243" w14:textId="77777777" w:rsidTr="00092C0F">
        <w:trPr>
          <w:trHeight w:val="456"/>
        </w:trPr>
        <w:tc>
          <w:tcPr>
            <w:tcW w:w="9639" w:type="dxa"/>
            <w:vAlign w:val="bottom"/>
          </w:tcPr>
          <w:p w14:paraId="2EF3295D" w14:textId="33B5303C" w:rsidR="00092C0F" w:rsidRPr="00D37A89" w:rsidRDefault="00092C0F" w:rsidP="00092C0F">
            <w:pPr>
              <w:spacing w:before="60" w:after="60"/>
              <w:jc w:val="left"/>
            </w:pPr>
            <w:r w:rsidRPr="00B01A66">
              <w:rPr>
                <w:rFonts w:eastAsia="Times New Roman"/>
                <w:color w:val="000000"/>
                <w:sz w:val="24"/>
                <w:lang w:eastAsia="en-AU"/>
              </w:rPr>
              <w:t>Technical services (equipment testing, scientific, calibration, etc.)</w:t>
            </w:r>
          </w:p>
        </w:tc>
      </w:tr>
    </w:tbl>
    <w:p w14:paraId="48B785AE" w14:textId="77777777" w:rsidR="00F34BB6" w:rsidRDefault="00F34BB6" w:rsidP="00E713EC">
      <w:pPr>
        <w:rPr>
          <w:szCs w:val="22"/>
        </w:rPr>
      </w:pPr>
    </w:p>
    <w:p w14:paraId="43904159" w14:textId="77777777" w:rsidR="00F34BB6" w:rsidRDefault="00F34BB6" w:rsidP="00E713EC">
      <w:pPr>
        <w:rPr>
          <w:szCs w:val="22"/>
        </w:rPr>
      </w:pPr>
    </w:p>
    <w:p w14:paraId="1027C4B5" w14:textId="77777777" w:rsidR="00F34BB6" w:rsidRDefault="00F34BB6" w:rsidP="00E713EC">
      <w:pPr>
        <w:rPr>
          <w:szCs w:val="22"/>
        </w:rPr>
      </w:pPr>
    </w:p>
    <w:p w14:paraId="60B21145" w14:textId="77777777" w:rsidR="00F34BB6" w:rsidRDefault="00F34BB6" w:rsidP="00E713EC">
      <w:pPr>
        <w:rPr>
          <w:szCs w:val="22"/>
        </w:rPr>
      </w:pPr>
    </w:p>
    <w:p w14:paraId="2A4D62C7" w14:textId="77777777" w:rsidR="00F34BB6" w:rsidRDefault="00F34BB6" w:rsidP="00E713EC">
      <w:pPr>
        <w:rPr>
          <w:szCs w:val="22"/>
        </w:rPr>
      </w:pPr>
    </w:p>
    <w:p w14:paraId="75D3368B" w14:textId="77777777" w:rsidR="00F34BB6" w:rsidRDefault="00F34BB6" w:rsidP="00E713EC">
      <w:pPr>
        <w:rPr>
          <w:szCs w:val="22"/>
        </w:rPr>
      </w:pPr>
    </w:p>
    <w:p w14:paraId="75E6AEAC" w14:textId="3F59F288" w:rsidR="00092C0F" w:rsidRPr="000226CB" w:rsidRDefault="00092C0F" w:rsidP="00092C0F">
      <w:pPr>
        <w:rPr>
          <w:i/>
          <w:szCs w:val="22"/>
        </w:rPr>
      </w:pPr>
      <w:bookmarkStart w:id="113" w:name="_Toc233084087"/>
      <w:r w:rsidRPr="000226CB">
        <w:rPr>
          <w:i/>
          <w:szCs w:val="22"/>
        </w:rPr>
        <w:lastRenderedPageBreak/>
        <w:t xml:space="preserve">Table </w:t>
      </w:r>
      <w:r w:rsidRPr="000226CB">
        <w:rPr>
          <w:i/>
          <w:szCs w:val="22"/>
        </w:rPr>
        <w:fldChar w:fldCharType="begin"/>
      </w:r>
      <w:r w:rsidRPr="000226CB">
        <w:rPr>
          <w:i/>
          <w:szCs w:val="22"/>
        </w:rPr>
        <w:instrText xml:space="preserve"> SEQ Table \* ARABIC </w:instrText>
      </w:r>
      <w:r w:rsidRPr="000226CB">
        <w:rPr>
          <w:i/>
          <w:szCs w:val="22"/>
        </w:rPr>
        <w:fldChar w:fldCharType="separate"/>
      </w:r>
      <w:r w:rsidR="00196462">
        <w:rPr>
          <w:i/>
          <w:noProof/>
          <w:szCs w:val="22"/>
        </w:rPr>
        <w:t>43</w:t>
      </w:r>
      <w:r w:rsidRPr="000226CB">
        <w:rPr>
          <w:i/>
          <w:szCs w:val="22"/>
        </w:rPr>
        <w:fldChar w:fldCharType="end"/>
      </w:r>
      <w:r w:rsidRPr="000226CB">
        <w:rPr>
          <w:i/>
          <w:szCs w:val="22"/>
        </w:rPr>
        <w:t xml:space="preserve">: </w:t>
      </w:r>
      <w:r w:rsidRPr="00092C0F">
        <w:rPr>
          <w:i/>
          <w:szCs w:val="22"/>
        </w:rPr>
        <w:t xml:space="preserve">Occupations employed in the </w:t>
      </w:r>
      <w:r>
        <w:rPr>
          <w:i/>
          <w:szCs w:val="22"/>
        </w:rPr>
        <w:t>a</w:t>
      </w:r>
      <w:r w:rsidRPr="00092C0F">
        <w:rPr>
          <w:i/>
          <w:szCs w:val="22"/>
        </w:rPr>
        <w:t xml:space="preserve">ir conditioning and </w:t>
      </w:r>
      <w:r>
        <w:rPr>
          <w:i/>
          <w:szCs w:val="22"/>
        </w:rPr>
        <w:t>h</w:t>
      </w:r>
      <w:r w:rsidRPr="00092C0F">
        <w:rPr>
          <w:i/>
          <w:szCs w:val="22"/>
        </w:rPr>
        <w:t xml:space="preserve">eating </w:t>
      </w:r>
      <w:r>
        <w:rPr>
          <w:i/>
          <w:szCs w:val="22"/>
        </w:rPr>
        <w:t>s</w:t>
      </w:r>
      <w:r w:rsidRPr="00092C0F">
        <w:rPr>
          <w:i/>
          <w:szCs w:val="22"/>
        </w:rPr>
        <w:t>ervices industry class</w:t>
      </w:r>
      <w:bookmarkEnd w:id="113"/>
    </w:p>
    <w:tbl>
      <w:tblPr>
        <w:tblW w:w="7088" w:type="dxa"/>
        <w:tblInd w:w="108" w:type="dxa"/>
        <w:tblBorders>
          <w:top w:val="single" w:sz="8" w:space="0" w:color="auto"/>
          <w:left w:val="single" w:sz="8" w:space="0" w:color="auto"/>
          <w:bottom w:val="single" w:sz="8" w:space="0" w:color="auto"/>
          <w:right w:val="single" w:sz="8" w:space="0" w:color="auto"/>
          <w:insideH w:val="single" w:sz="8" w:space="0" w:color="FFFFFF"/>
          <w:insideV w:val="single" w:sz="4" w:space="0" w:color="FFFFFF"/>
        </w:tblBorders>
        <w:tblLayout w:type="fixed"/>
        <w:tblLook w:val="00A0" w:firstRow="1" w:lastRow="0" w:firstColumn="1" w:lastColumn="0" w:noHBand="0" w:noVBand="0"/>
      </w:tblPr>
      <w:tblGrid>
        <w:gridCol w:w="5812"/>
        <w:gridCol w:w="1276"/>
      </w:tblGrid>
      <w:tr w:rsidR="00D77B81" w:rsidRPr="00923150" w14:paraId="0D9D0757" w14:textId="77777777" w:rsidTr="005F2CFD">
        <w:trPr>
          <w:trHeight w:val="684"/>
        </w:trPr>
        <w:tc>
          <w:tcPr>
            <w:tcW w:w="5812" w:type="dxa"/>
            <w:shd w:val="clear" w:color="auto" w:fill="000000"/>
            <w:vAlign w:val="center"/>
          </w:tcPr>
          <w:p w14:paraId="653EF340" w14:textId="77777777" w:rsidR="00D77B81" w:rsidRPr="00923150" w:rsidRDefault="00D77B81" w:rsidP="00D77B81">
            <w:pPr>
              <w:spacing w:before="60" w:after="60"/>
              <w:ind w:left="34"/>
              <w:jc w:val="left"/>
            </w:pPr>
            <w:r>
              <w:t>ABS employment category (OCCP – Digit Level)</w:t>
            </w:r>
          </w:p>
        </w:tc>
        <w:tc>
          <w:tcPr>
            <w:tcW w:w="1276" w:type="dxa"/>
            <w:shd w:val="clear" w:color="auto" w:fill="000000"/>
            <w:vAlign w:val="center"/>
          </w:tcPr>
          <w:p w14:paraId="3B06C414" w14:textId="77777777" w:rsidR="00D77B81" w:rsidRPr="00923150" w:rsidRDefault="00D77B81" w:rsidP="00D77B81">
            <w:pPr>
              <w:spacing w:before="60" w:after="60"/>
              <w:jc w:val="center"/>
            </w:pPr>
            <w:r>
              <w:t>Number employed</w:t>
            </w:r>
            <w:r w:rsidRPr="00957119">
              <w:t xml:space="preserve"> </w:t>
            </w:r>
          </w:p>
        </w:tc>
      </w:tr>
    </w:tbl>
    <w:tbl>
      <w:tblPr>
        <w:tblStyle w:val="TableGrid"/>
        <w:tblW w:w="0" w:type="auto"/>
        <w:tblInd w:w="108" w:type="dxa"/>
        <w:tblLook w:val="04A0" w:firstRow="1" w:lastRow="0" w:firstColumn="1" w:lastColumn="0" w:noHBand="0" w:noVBand="1"/>
      </w:tblPr>
      <w:tblGrid>
        <w:gridCol w:w="5812"/>
        <w:gridCol w:w="1276"/>
      </w:tblGrid>
      <w:tr w:rsidR="00082CAF" w:rsidRPr="00D77B81" w14:paraId="19EFFA9D" w14:textId="77777777" w:rsidTr="00082CAF">
        <w:tc>
          <w:tcPr>
            <w:tcW w:w="5812" w:type="dxa"/>
            <w:vAlign w:val="center"/>
          </w:tcPr>
          <w:p w14:paraId="26F03ECC" w14:textId="3A4EE55E" w:rsidR="00D77B81" w:rsidRPr="00D77B81" w:rsidRDefault="00D77B81" w:rsidP="00D77B81">
            <w:pPr>
              <w:spacing w:before="0"/>
              <w:contextualSpacing/>
              <w:rPr>
                <w:sz w:val="20"/>
              </w:rPr>
            </w:pPr>
            <w:r w:rsidRPr="00D77B81">
              <w:rPr>
                <w:sz w:val="20"/>
              </w:rPr>
              <w:t>Air conditioning and Refrigeration Mechanics</w:t>
            </w:r>
          </w:p>
        </w:tc>
        <w:tc>
          <w:tcPr>
            <w:tcW w:w="1276" w:type="dxa"/>
            <w:vAlign w:val="center"/>
          </w:tcPr>
          <w:p w14:paraId="69A5D52C" w14:textId="61897E03" w:rsidR="00D77B81" w:rsidRPr="00D77B81" w:rsidRDefault="00D77B81" w:rsidP="00D77B81">
            <w:pPr>
              <w:spacing w:before="0"/>
              <w:contextualSpacing/>
              <w:jc w:val="center"/>
              <w:rPr>
                <w:sz w:val="20"/>
              </w:rPr>
            </w:pPr>
            <w:r w:rsidRPr="00D77B81">
              <w:rPr>
                <w:sz w:val="20"/>
              </w:rPr>
              <w:t>5</w:t>
            </w:r>
            <w:r w:rsidR="00082CAF">
              <w:rPr>
                <w:sz w:val="20"/>
              </w:rPr>
              <w:t>,</w:t>
            </w:r>
            <w:r w:rsidRPr="00D77B81">
              <w:rPr>
                <w:sz w:val="20"/>
              </w:rPr>
              <w:t>512</w:t>
            </w:r>
          </w:p>
        </w:tc>
      </w:tr>
      <w:tr w:rsidR="00082CAF" w:rsidRPr="00D77B81" w14:paraId="33C48D64" w14:textId="77777777" w:rsidTr="00082CAF">
        <w:tc>
          <w:tcPr>
            <w:tcW w:w="5812" w:type="dxa"/>
            <w:vAlign w:val="center"/>
          </w:tcPr>
          <w:p w14:paraId="266E15A7" w14:textId="55615C9E" w:rsidR="00D77B81" w:rsidRPr="00D77B81" w:rsidRDefault="00D77B81" w:rsidP="00D77B81">
            <w:pPr>
              <w:spacing w:before="0"/>
              <w:contextualSpacing/>
              <w:rPr>
                <w:sz w:val="20"/>
              </w:rPr>
            </w:pPr>
            <w:r w:rsidRPr="00D77B81">
              <w:rPr>
                <w:sz w:val="20"/>
              </w:rPr>
              <w:t>Plumbers</w:t>
            </w:r>
          </w:p>
        </w:tc>
        <w:tc>
          <w:tcPr>
            <w:tcW w:w="1276" w:type="dxa"/>
            <w:vAlign w:val="center"/>
          </w:tcPr>
          <w:p w14:paraId="68417F7B" w14:textId="72B42DFA" w:rsidR="00D77B81" w:rsidRPr="00D77B81" w:rsidRDefault="00D77B81" w:rsidP="00D77B81">
            <w:pPr>
              <w:spacing w:before="0"/>
              <w:contextualSpacing/>
              <w:jc w:val="center"/>
              <w:rPr>
                <w:sz w:val="20"/>
              </w:rPr>
            </w:pPr>
            <w:r w:rsidRPr="00D77B81">
              <w:rPr>
                <w:sz w:val="20"/>
              </w:rPr>
              <w:t>1</w:t>
            </w:r>
            <w:r w:rsidR="00082CAF">
              <w:rPr>
                <w:sz w:val="20"/>
              </w:rPr>
              <w:t>,</w:t>
            </w:r>
            <w:r w:rsidRPr="00D77B81">
              <w:rPr>
                <w:sz w:val="20"/>
              </w:rPr>
              <w:t>324</w:t>
            </w:r>
          </w:p>
        </w:tc>
      </w:tr>
      <w:tr w:rsidR="00082CAF" w:rsidRPr="00D77B81" w14:paraId="0733A0DF" w14:textId="77777777" w:rsidTr="00082CAF">
        <w:tc>
          <w:tcPr>
            <w:tcW w:w="5812" w:type="dxa"/>
            <w:vAlign w:val="center"/>
          </w:tcPr>
          <w:p w14:paraId="16710AE6" w14:textId="70E7C6A8" w:rsidR="00D77B81" w:rsidRPr="00D77B81" w:rsidRDefault="00D77B81" w:rsidP="00D77B81">
            <w:pPr>
              <w:spacing w:before="0"/>
              <w:contextualSpacing/>
              <w:rPr>
                <w:sz w:val="20"/>
              </w:rPr>
            </w:pPr>
            <w:r w:rsidRPr="00D77B81">
              <w:rPr>
                <w:sz w:val="20"/>
              </w:rPr>
              <w:t>Electricians</w:t>
            </w:r>
          </w:p>
        </w:tc>
        <w:tc>
          <w:tcPr>
            <w:tcW w:w="1276" w:type="dxa"/>
            <w:vAlign w:val="center"/>
          </w:tcPr>
          <w:p w14:paraId="09BBDDAB" w14:textId="06BD2115" w:rsidR="00D77B81" w:rsidRPr="00D77B81" w:rsidRDefault="00D77B81" w:rsidP="00D77B81">
            <w:pPr>
              <w:spacing w:before="0"/>
              <w:contextualSpacing/>
              <w:jc w:val="center"/>
              <w:rPr>
                <w:sz w:val="20"/>
              </w:rPr>
            </w:pPr>
            <w:r w:rsidRPr="00D77B81">
              <w:rPr>
                <w:sz w:val="20"/>
              </w:rPr>
              <w:t>815</w:t>
            </w:r>
          </w:p>
        </w:tc>
      </w:tr>
      <w:tr w:rsidR="00082CAF" w:rsidRPr="00D77B81" w14:paraId="469FAE25" w14:textId="77777777" w:rsidTr="00082CAF">
        <w:tc>
          <w:tcPr>
            <w:tcW w:w="5812" w:type="dxa"/>
            <w:vAlign w:val="center"/>
          </w:tcPr>
          <w:p w14:paraId="62AF43E1" w14:textId="20AAD475" w:rsidR="00D77B81" w:rsidRPr="00D77B81" w:rsidRDefault="00D77B81" w:rsidP="00D77B81">
            <w:pPr>
              <w:spacing w:before="0"/>
              <w:contextualSpacing/>
              <w:rPr>
                <w:sz w:val="20"/>
              </w:rPr>
            </w:pPr>
            <w:r w:rsidRPr="00D77B81">
              <w:rPr>
                <w:sz w:val="20"/>
              </w:rPr>
              <w:t>Engineering Production Workers</w:t>
            </w:r>
          </w:p>
        </w:tc>
        <w:tc>
          <w:tcPr>
            <w:tcW w:w="1276" w:type="dxa"/>
            <w:vAlign w:val="center"/>
          </w:tcPr>
          <w:p w14:paraId="78CC09C4" w14:textId="54A55E53" w:rsidR="00D77B81" w:rsidRPr="00D77B81" w:rsidRDefault="00D77B81" w:rsidP="00D77B81">
            <w:pPr>
              <w:spacing w:before="0"/>
              <w:contextualSpacing/>
              <w:jc w:val="center"/>
              <w:rPr>
                <w:sz w:val="20"/>
              </w:rPr>
            </w:pPr>
            <w:r w:rsidRPr="00D77B81">
              <w:rPr>
                <w:sz w:val="20"/>
              </w:rPr>
              <w:t>790</w:t>
            </w:r>
          </w:p>
        </w:tc>
      </w:tr>
      <w:tr w:rsidR="00082CAF" w:rsidRPr="00D77B81" w14:paraId="6C7BD5E1" w14:textId="77777777" w:rsidTr="00082CAF">
        <w:tc>
          <w:tcPr>
            <w:tcW w:w="5812" w:type="dxa"/>
            <w:vAlign w:val="center"/>
          </w:tcPr>
          <w:p w14:paraId="76E8AAB6" w14:textId="67207D7A" w:rsidR="00D77B81" w:rsidRPr="00D77B81" w:rsidRDefault="00D77B81" w:rsidP="00D77B81">
            <w:pPr>
              <w:spacing w:before="0"/>
              <w:contextualSpacing/>
              <w:rPr>
                <w:sz w:val="20"/>
              </w:rPr>
            </w:pPr>
            <w:r w:rsidRPr="00D77B81">
              <w:rPr>
                <w:sz w:val="20"/>
              </w:rPr>
              <w:t>Office Managers</w:t>
            </w:r>
          </w:p>
        </w:tc>
        <w:tc>
          <w:tcPr>
            <w:tcW w:w="1276" w:type="dxa"/>
            <w:vAlign w:val="center"/>
          </w:tcPr>
          <w:p w14:paraId="56EA1030" w14:textId="647A9DAA" w:rsidR="00D77B81" w:rsidRPr="00D77B81" w:rsidRDefault="00D77B81" w:rsidP="00D77B81">
            <w:pPr>
              <w:spacing w:before="0"/>
              <w:contextualSpacing/>
              <w:jc w:val="center"/>
              <w:rPr>
                <w:sz w:val="20"/>
              </w:rPr>
            </w:pPr>
            <w:r w:rsidRPr="00D77B81">
              <w:rPr>
                <w:sz w:val="20"/>
              </w:rPr>
              <w:t>414</w:t>
            </w:r>
          </w:p>
        </w:tc>
      </w:tr>
      <w:tr w:rsidR="00082CAF" w:rsidRPr="00D77B81" w14:paraId="59FC2D21" w14:textId="77777777" w:rsidTr="00082CAF">
        <w:tc>
          <w:tcPr>
            <w:tcW w:w="5812" w:type="dxa"/>
            <w:vAlign w:val="center"/>
          </w:tcPr>
          <w:p w14:paraId="65C90DC6" w14:textId="4EFF759F" w:rsidR="00D77B81" w:rsidRPr="00D77B81" w:rsidRDefault="00D77B81" w:rsidP="00D77B81">
            <w:pPr>
              <w:spacing w:before="0"/>
              <w:contextualSpacing/>
              <w:rPr>
                <w:sz w:val="20"/>
              </w:rPr>
            </w:pPr>
            <w:r w:rsidRPr="00D77B81">
              <w:rPr>
                <w:sz w:val="20"/>
              </w:rPr>
              <w:t>General Clerks</w:t>
            </w:r>
          </w:p>
        </w:tc>
        <w:tc>
          <w:tcPr>
            <w:tcW w:w="1276" w:type="dxa"/>
            <w:vAlign w:val="center"/>
          </w:tcPr>
          <w:p w14:paraId="6D225AA4" w14:textId="3950400F" w:rsidR="00D77B81" w:rsidRPr="00D77B81" w:rsidRDefault="00D77B81" w:rsidP="00D77B81">
            <w:pPr>
              <w:spacing w:before="0"/>
              <w:contextualSpacing/>
              <w:jc w:val="center"/>
              <w:rPr>
                <w:sz w:val="20"/>
              </w:rPr>
            </w:pPr>
            <w:r w:rsidRPr="00D77B81">
              <w:rPr>
                <w:sz w:val="20"/>
              </w:rPr>
              <w:t>410</w:t>
            </w:r>
          </w:p>
        </w:tc>
      </w:tr>
      <w:tr w:rsidR="00082CAF" w:rsidRPr="00D77B81" w14:paraId="0D47E6F7" w14:textId="77777777" w:rsidTr="00082CAF">
        <w:tc>
          <w:tcPr>
            <w:tcW w:w="5812" w:type="dxa"/>
            <w:vAlign w:val="center"/>
          </w:tcPr>
          <w:p w14:paraId="61226D8E" w14:textId="56B65D7C" w:rsidR="00D77B81" w:rsidRPr="00D77B81" w:rsidRDefault="00D77B81" w:rsidP="00D77B81">
            <w:pPr>
              <w:spacing w:before="0"/>
              <w:contextualSpacing/>
              <w:rPr>
                <w:sz w:val="20"/>
              </w:rPr>
            </w:pPr>
            <w:r w:rsidRPr="00D77B81">
              <w:rPr>
                <w:sz w:val="20"/>
              </w:rPr>
              <w:t>Accounting Clerks</w:t>
            </w:r>
          </w:p>
        </w:tc>
        <w:tc>
          <w:tcPr>
            <w:tcW w:w="1276" w:type="dxa"/>
            <w:vAlign w:val="center"/>
          </w:tcPr>
          <w:p w14:paraId="00D1D794" w14:textId="2D2D3650" w:rsidR="00D77B81" w:rsidRPr="00D77B81" w:rsidRDefault="00D77B81" w:rsidP="00D77B81">
            <w:pPr>
              <w:spacing w:before="0"/>
              <w:contextualSpacing/>
              <w:jc w:val="center"/>
              <w:rPr>
                <w:sz w:val="20"/>
              </w:rPr>
            </w:pPr>
            <w:r w:rsidRPr="00D77B81">
              <w:rPr>
                <w:sz w:val="20"/>
              </w:rPr>
              <w:t>326</w:t>
            </w:r>
          </w:p>
        </w:tc>
      </w:tr>
      <w:tr w:rsidR="00082CAF" w:rsidRPr="00D77B81" w14:paraId="7DCFDB5F" w14:textId="77777777" w:rsidTr="00082CAF">
        <w:tc>
          <w:tcPr>
            <w:tcW w:w="5812" w:type="dxa"/>
            <w:vAlign w:val="center"/>
          </w:tcPr>
          <w:p w14:paraId="1A744CED" w14:textId="3A8973DA" w:rsidR="00D77B81" w:rsidRPr="00D77B81" w:rsidRDefault="00D77B81" w:rsidP="00D77B81">
            <w:pPr>
              <w:spacing w:before="0"/>
              <w:contextualSpacing/>
              <w:rPr>
                <w:sz w:val="20"/>
              </w:rPr>
            </w:pPr>
            <w:r w:rsidRPr="00D77B81">
              <w:rPr>
                <w:sz w:val="20"/>
              </w:rPr>
              <w:t>Construction Managers</w:t>
            </w:r>
          </w:p>
        </w:tc>
        <w:tc>
          <w:tcPr>
            <w:tcW w:w="1276" w:type="dxa"/>
            <w:vAlign w:val="center"/>
          </w:tcPr>
          <w:p w14:paraId="7AB7F21A" w14:textId="462E5566" w:rsidR="00D77B81" w:rsidRPr="00D77B81" w:rsidRDefault="00D77B81" w:rsidP="00D77B81">
            <w:pPr>
              <w:spacing w:before="0"/>
              <w:contextualSpacing/>
              <w:jc w:val="center"/>
              <w:rPr>
                <w:sz w:val="20"/>
              </w:rPr>
            </w:pPr>
            <w:r w:rsidRPr="00D77B81">
              <w:rPr>
                <w:sz w:val="20"/>
              </w:rPr>
              <w:t>311</w:t>
            </w:r>
          </w:p>
        </w:tc>
      </w:tr>
      <w:tr w:rsidR="00082CAF" w:rsidRPr="00D77B81" w14:paraId="0E951665" w14:textId="77777777" w:rsidTr="00082CAF">
        <w:tc>
          <w:tcPr>
            <w:tcW w:w="5812" w:type="dxa"/>
            <w:vAlign w:val="center"/>
          </w:tcPr>
          <w:p w14:paraId="2A1FC0C7" w14:textId="7A8F16C6" w:rsidR="00D77B81" w:rsidRPr="00D77B81" w:rsidRDefault="00D77B81" w:rsidP="00D77B81">
            <w:pPr>
              <w:spacing w:before="0"/>
              <w:contextualSpacing/>
              <w:rPr>
                <w:sz w:val="20"/>
              </w:rPr>
            </w:pPr>
            <w:r w:rsidRPr="00D77B81">
              <w:rPr>
                <w:sz w:val="20"/>
              </w:rPr>
              <w:t>Bookkeepers</w:t>
            </w:r>
          </w:p>
        </w:tc>
        <w:tc>
          <w:tcPr>
            <w:tcW w:w="1276" w:type="dxa"/>
            <w:vAlign w:val="center"/>
          </w:tcPr>
          <w:p w14:paraId="1F33501C" w14:textId="5E699946" w:rsidR="00D77B81" w:rsidRPr="00D77B81" w:rsidRDefault="00D77B81" w:rsidP="00D77B81">
            <w:pPr>
              <w:spacing w:before="0"/>
              <w:contextualSpacing/>
              <w:jc w:val="center"/>
              <w:rPr>
                <w:sz w:val="20"/>
              </w:rPr>
            </w:pPr>
            <w:r w:rsidRPr="00D77B81">
              <w:rPr>
                <w:sz w:val="20"/>
              </w:rPr>
              <w:t>226</w:t>
            </w:r>
          </w:p>
        </w:tc>
      </w:tr>
      <w:tr w:rsidR="00082CAF" w:rsidRPr="00D77B81" w14:paraId="6016A073" w14:textId="77777777" w:rsidTr="00082CAF">
        <w:tc>
          <w:tcPr>
            <w:tcW w:w="5812" w:type="dxa"/>
            <w:vAlign w:val="center"/>
          </w:tcPr>
          <w:p w14:paraId="0888DA77" w14:textId="1429E946" w:rsidR="00D77B81" w:rsidRPr="00D77B81" w:rsidRDefault="00D77B81" w:rsidP="00D77B81">
            <w:pPr>
              <w:spacing w:before="0"/>
              <w:contextualSpacing/>
              <w:rPr>
                <w:sz w:val="20"/>
              </w:rPr>
            </w:pPr>
            <w:r w:rsidRPr="00D77B81">
              <w:rPr>
                <w:sz w:val="20"/>
              </w:rPr>
              <w:t>Contract, Program and Project Administrators</w:t>
            </w:r>
          </w:p>
        </w:tc>
        <w:tc>
          <w:tcPr>
            <w:tcW w:w="1276" w:type="dxa"/>
            <w:vAlign w:val="center"/>
          </w:tcPr>
          <w:p w14:paraId="0531BC6F" w14:textId="26E6E9EA" w:rsidR="00D77B81" w:rsidRPr="00D77B81" w:rsidRDefault="00D77B81" w:rsidP="00D77B81">
            <w:pPr>
              <w:spacing w:before="0"/>
              <w:contextualSpacing/>
              <w:jc w:val="center"/>
              <w:rPr>
                <w:sz w:val="20"/>
              </w:rPr>
            </w:pPr>
            <w:r w:rsidRPr="00D77B81">
              <w:rPr>
                <w:sz w:val="20"/>
              </w:rPr>
              <w:t>220</w:t>
            </w:r>
          </w:p>
        </w:tc>
      </w:tr>
      <w:tr w:rsidR="00082CAF" w:rsidRPr="00D77B81" w14:paraId="219FE8F5" w14:textId="77777777" w:rsidTr="00082CAF">
        <w:tc>
          <w:tcPr>
            <w:tcW w:w="5812" w:type="dxa"/>
            <w:vAlign w:val="center"/>
          </w:tcPr>
          <w:p w14:paraId="5F164979" w14:textId="03A8746D" w:rsidR="00D77B81" w:rsidRPr="00D77B81" w:rsidRDefault="00D77B81" w:rsidP="00D77B81">
            <w:pPr>
              <w:spacing w:before="0"/>
              <w:contextualSpacing/>
              <w:rPr>
                <w:sz w:val="20"/>
              </w:rPr>
            </w:pPr>
            <w:r w:rsidRPr="00D77B81">
              <w:rPr>
                <w:sz w:val="20"/>
              </w:rPr>
              <w:t>Industrial, Mechanical and Production Engineers</w:t>
            </w:r>
          </w:p>
        </w:tc>
        <w:tc>
          <w:tcPr>
            <w:tcW w:w="1276" w:type="dxa"/>
            <w:vAlign w:val="center"/>
          </w:tcPr>
          <w:p w14:paraId="750D7DCC" w14:textId="708738D6" w:rsidR="00D77B81" w:rsidRPr="00D77B81" w:rsidRDefault="00D77B81" w:rsidP="00D77B81">
            <w:pPr>
              <w:spacing w:before="0"/>
              <w:contextualSpacing/>
              <w:jc w:val="center"/>
              <w:rPr>
                <w:sz w:val="20"/>
              </w:rPr>
            </w:pPr>
            <w:r w:rsidRPr="00D77B81">
              <w:rPr>
                <w:sz w:val="20"/>
              </w:rPr>
              <w:t>193</w:t>
            </w:r>
          </w:p>
        </w:tc>
      </w:tr>
      <w:tr w:rsidR="00082CAF" w:rsidRPr="00D77B81" w14:paraId="1217B645" w14:textId="77777777" w:rsidTr="00082CAF">
        <w:tc>
          <w:tcPr>
            <w:tcW w:w="5812" w:type="dxa"/>
            <w:vAlign w:val="center"/>
          </w:tcPr>
          <w:p w14:paraId="0EB8BD93" w14:textId="0E9C4F46" w:rsidR="00D77B81" w:rsidRPr="00D77B81" w:rsidRDefault="00D77B81" w:rsidP="00D77B81">
            <w:pPr>
              <w:spacing w:before="0"/>
              <w:contextualSpacing/>
              <w:rPr>
                <w:sz w:val="20"/>
              </w:rPr>
            </w:pPr>
            <w:r w:rsidRPr="00D77B81">
              <w:rPr>
                <w:sz w:val="20"/>
              </w:rPr>
              <w:t>Other Miscellaneous Labourers</w:t>
            </w:r>
          </w:p>
        </w:tc>
        <w:tc>
          <w:tcPr>
            <w:tcW w:w="1276" w:type="dxa"/>
            <w:vAlign w:val="center"/>
          </w:tcPr>
          <w:p w14:paraId="604D5737" w14:textId="1D99E8B4" w:rsidR="00D77B81" w:rsidRPr="00D77B81" w:rsidRDefault="00D77B81" w:rsidP="00D77B81">
            <w:pPr>
              <w:spacing w:before="0"/>
              <w:contextualSpacing/>
              <w:jc w:val="center"/>
              <w:rPr>
                <w:sz w:val="20"/>
              </w:rPr>
            </w:pPr>
            <w:r w:rsidRPr="00D77B81">
              <w:rPr>
                <w:sz w:val="20"/>
              </w:rPr>
              <w:t>190</w:t>
            </w:r>
          </w:p>
        </w:tc>
      </w:tr>
      <w:tr w:rsidR="00082CAF" w:rsidRPr="00D77B81" w14:paraId="07243308" w14:textId="77777777" w:rsidTr="00082CAF">
        <w:tc>
          <w:tcPr>
            <w:tcW w:w="5812" w:type="dxa"/>
            <w:vAlign w:val="center"/>
          </w:tcPr>
          <w:p w14:paraId="32B82E03" w14:textId="348104AD" w:rsidR="00D77B81" w:rsidRPr="00D77B81" w:rsidRDefault="00D77B81" w:rsidP="00D77B81">
            <w:pPr>
              <w:spacing w:before="0"/>
              <w:contextualSpacing/>
              <w:rPr>
                <w:sz w:val="20"/>
              </w:rPr>
            </w:pPr>
            <w:r w:rsidRPr="00D77B81">
              <w:rPr>
                <w:sz w:val="20"/>
              </w:rPr>
              <w:t>Call or Contact Centre and Customer Service Managers</w:t>
            </w:r>
          </w:p>
        </w:tc>
        <w:tc>
          <w:tcPr>
            <w:tcW w:w="1276" w:type="dxa"/>
            <w:vAlign w:val="center"/>
          </w:tcPr>
          <w:p w14:paraId="5ECA04BA" w14:textId="549D3F08" w:rsidR="00D77B81" w:rsidRPr="00D77B81" w:rsidRDefault="00D77B81" w:rsidP="00D77B81">
            <w:pPr>
              <w:spacing w:before="0"/>
              <w:contextualSpacing/>
              <w:jc w:val="center"/>
              <w:rPr>
                <w:sz w:val="20"/>
              </w:rPr>
            </w:pPr>
            <w:r w:rsidRPr="00D77B81">
              <w:rPr>
                <w:sz w:val="20"/>
              </w:rPr>
              <w:t>188</w:t>
            </w:r>
          </w:p>
        </w:tc>
      </w:tr>
      <w:tr w:rsidR="00082CAF" w:rsidRPr="00D77B81" w14:paraId="0E42A5DD" w14:textId="77777777" w:rsidTr="00082CAF">
        <w:tc>
          <w:tcPr>
            <w:tcW w:w="5812" w:type="dxa"/>
            <w:vAlign w:val="center"/>
          </w:tcPr>
          <w:p w14:paraId="12C67D1F" w14:textId="2F87FC1C" w:rsidR="00D77B81" w:rsidRPr="00D77B81" w:rsidRDefault="00D77B81" w:rsidP="00D77B81">
            <w:pPr>
              <w:spacing w:before="0"/>
              <w:contextualSpacing/>
              <w:rPr>
                <w:sz w:val="20"/>
              </w:rPr>
            </w:pPr>
            <w:r w:rsidRPr="00D77B81">
              <w:rPr>
                <w:sz w:val="20"/>
              </w:rPr>
              <w:t>Receptionists</w:t>
            </w:r>
          </w:p>
        </w:tc>
        <w:tc>
          <w:tcPr>
            <w:tcW w:w="1276" w:type="dxa"/>
            <w:vAlign w:val="center"/>
          </w:tcPr>
          <w:p w14:paraId="63BABF1D" w14:textId="0EDF8EB9" w:rsidR="00D77B81" w:rsidRPr="00D77B81" w:rsidRDefault="00D77B81" w:rsidP="00D77B81">
            <w:pPr>
              <w:spacing w:before="0"/>
              <w:contextualSpacing/>
              <w:jc w:val="center"/>
              <w:rPr>
                <w:sz w:val="20"/>
              </w:rPr>
            </w:pPr>
            <w:r w:rsidRPr="00D77B81">
              <w:rPr>
                <w:sz w:val="20"/>
              </w:rPr>
              <w:t>175</w:t>
            </w:r>
          </w:p>
        </w:tc>
      </w:tr>
      <w:tr w:rsidR="00082CAF" w:rsidRPr="00D77B81" w14:paraId="15E21316" w14:textId="77777777" w:rsidTr="00082CAF">
        <w:tc>
          <w:tcPr>
            <w:tcW w:w="5812" w:type="dxa"/>
            <w:vAlign w:val="center"/>
          </w:tcPr>
          <w:p w14:paraId="2DE1B919" w14:textId="31730CCD" w:rsidR="00D77B81" w:rsidRPr="00D77B81" w:rsidRDefault="00D77B81" w:rsidP="00D77B81">
            <w:pPr>
              <w:spacing w:before="0"/>
              <w:contextualSpacing/>
              <w:rPr>
                <w:sz w:val="20"/>
              </w:rPr>
            </w:pPr>
            <w:r w:rsidRPr="00D77B81">
              <w:rPr>
                <w:sz w:val="20"/>
              </w:rPr>
              <w:t>Architectural, Building and Surveying Technicians</w:t>
            </w:r>
          </w:p>
        </w:tc>
        <w:tc>
          <w:tcPr>
            <w:tcW w:w="1276" w:type="dxa"/>
            <w:vAlign w:val="center"/>
          </w:tcPr>
          <w:p w14:paraId="4786B532" w14:textId="25BED3CA" w:rsidR="00D77B81" w:rsidRPr="00D77B81" w:rsidRDefault="00D77B81" w:rsidP="00D77B81">
            <w:pPr>
              <w:spacing w:before="0"/>
              <w:contextualSpacing/>
              <w:jc w:val="center"/>
              <w:rPr>
                <w:sz w:val="20"/>
              </w:rPr>
            </w:pPr>
            <w:r w:rsidRPr="00D77B81">
              <w:rPr>
                <w:sz w:val="20"/>
              </w:rPr>
              <w:t>166</w:t>
            </w:r>
          </w:p>
        </w:tc>
      </w:tr>
      <w:tr w:rsidR="00082CAF" w:rsidRPr="00D77B81" w14:paraId="0A66C09B" w14:textId="77777777" w:rsidTr="00082CAF">
        <w:tc>
          <w:tcPr>
            <w:tcW w:w="5812" w:type="dxa"/>
            <w:vAlign w:val="center"/>
          </w:tcPr>
          <w:p w14:paraId="1D02F741" w14:textId="24CFB285" w:rsidR="00D77B81" w:rsidRPr="00D77B81" w:rsidRDefault="00D77B81" w:rsidP="00D77B81">
            <w:pPr>
              <w:spacing w:before="0"/>
              <w:contextualSpacing/>
              <w:rPr>
                <w:sz w:val="20"/>
              </w:rPr>
            </w:pPr>
            <w:r w:rsidRPr="00D77B81">
              <w:rPr>
                <w:sz w:val="20"/>
              </w:rPr>
              <w:t>Secretaries</w:t>
            </w:r>
          </w:p>
        </w:tc>
        <w:tc>
          <w:tcPr>
            <w:tcW w:w="1276" w:type="dxa"/>
            <w:vAlign w:val="center"/>
          </w:tcPr>
          <w:p w14:paraId="15D43E4D" w14:textId="4F004C64" w:rsidR="00D77B81" w:rsidRPr="00D77B81" w:rsidRDefault="00D77B81" w:rsidP="00D77B81">
            <w:pPr>
              <w:spacing w:before="0"/>
              <w:contextualSpacing/>
              <w:jc w:val="center"/>
              <w:rPr>
                <w:sz w:val="20"/>
              </w:rPr>
            </w:pPr>
            <w:r w:rsidRPr="00D77B81">
              <w:rPr>
                <w:sz w:val="20"/>
              </w:rPr>
              <w:t>154</w:t>
            </w:r>
          </w:p>
        </w:tc>
      </w:tr>
      <w:tr w:rsidR="00082CAF" w:rsidRPr="00D77B81" w14:paraId="7FB6AEBD" w14:textId="77777777" w:rsidTr="00082CAF">
        <w:tc>
          <w:tcPr>
            <w:tcW w:w="5812" w:type="dxa"/>
            <w:vAlign w:val="center"/>
          </w:tcPr>
          <w:p w14:paraId="2934202B" w14:textId="597F7B62" w:rsidR="00D77B81" w:rsidRPr="00D77B81" w:rsidRDefault="00D77B81" w:rsidP="00D77B81">
            <w:pPr>
              <w:spacing w:before="0"/>
              <w:contextualSpacing/>
              <w:rPr>
                <w:sz w:val="20"/>
              </w:rPr>
            </w:pPr>
            <w:r w:rsidRPr="00D77B81">
              <w:rPr>
                <w:sz w:val="20"/>
              </w:rPr>
              <w:t>Chief Executives and Managing Directors</w:t>
            </w:r>
          </w:p>
        </w:tc>
        <w:tc>
          <w:tcPr>
            <w:tcW w:w="1276" w:type="dxa"/>
            <w:vAlign w:val="center"/>
          </w:tcPr>
          <w:p w14:paraId="4FC2D01C" w14:textId="0AAD3D64" w:rsidR="00D77B81" w:rsidRPr="00D77B81" w:rsidRDefault="00D77B81" w:rsidP="00D77B81">
            <w:pPr>
              <w:spacing w:before="0"/>
              <w:contextualSpacing/>
              <w:jc w:val="center"/>
              <w:rPr>
                <w:sz w:val="20"/>
              </w:rPr>
            </w:pPr>
            <w:r w:rsidRPr="00D77B81">
              <w:rPr>
                <w:sz w:val="20"/>
              </w:rPr>
              <w:t>151</w:t>
            </w:r>
          </w:p>
        </w:tc>
      </w:tr>
      <w:tr w:rsidR="00082CAF" w:rsidRPr="00D77B81" w14:paraId="719FF259" w14:textId="77777777" w:rsidTr="00082CAF">
        <w:tc>
          <w:tcPr>
            <w:tcW w:w="5812" w:type="dxa"/>
            <w:vAlign w:val="center"/>
          </w:tcPr>
          <w:p w14:paraId="1E5A906F" w14:textId="3318D030" w:rsidR="00D77B81" w:rsidRPr="00D77B81" w:rsidRDefault="00D77B81" w:rsidP="00D77B81">
            <w:pPr>
              <w:spacing w:before="0"/>
              <w:contextualSpacing/>
              <w:rPr>
                <w:sz w:val="20"/>
              </w:rPr>
            </w:pPr>
            <w:r w:rsidRPr="00D77B81">
              <w:rPr>
                <w:sz w:val="20"/>
              </w:rPr>
              <w:t>Sales Representatives</w:t>
            </w:r>
          </w:p>
        </w:tc>
        <w:tc>
          <w:tcPr>
            <w:tcW w:w="1276" w:type="dxa"/>
            <w:vAlign w:val="center"/>
          </w:tcPr>
          <w:p w14:paraId="1363AAE6" w14:textId="59F79761" w:rsidR="00D77B81" w:rsidRPr="00D77B81" w:rsidRDefault="00D77B81" w:rsidP="00D77B81">
            <w:pPr>
              <w:spacing w:before="0"/>
              <w:contextualSpacing/>
              <w:jc w:val="center"/>
              <w:rPr>
                <w:sz w:val="20"/>
              </w:rPr>
            </w:pPr>
            <w:r w:rsidRPr="00D77B81">
              <w:rPr>
                <w:sz w:val="20"/>
              </w:rPr>
              <w:t>146</w:t>
            </w:r>
          </w:p>
        </w:tc>
      </w:tr>
      <w:tr w:rsidR="00082CAF" w:rsidRPr="00D77B81" w14:paraId="27403B06" w14:textId="77777777" w:rsidTr="00082CAF">
        <w:tc>
          <w:tcPr>
            <w:tcW w:w="5812" w:type="dxa"/>
            <w:vAlign w:val="center"/>
          </w:tcPr>
          <w:p w14:paraId="20213466" w14:textId="0A774B31" w:rsidR="00D77B81" w:rsidRPr="00D77B81" w:rsidRDefault="00D77B81" w:rsidP="00D77B81">
            <w:pPr>
              <w:spacing w:before="0"/>
              <w:contextualSpacing/>
              <w:rPr>
                <w:sz w:val="20"/>
              </w:rPr>
            </w:pPr>
            <w:r w:rsidRPr="00D77B81">
              <w:rPr>
                <w:sz w:val="20"/>
              </w:rPr>
              <w:t>Mechanical Engineering Draftspersons and Technicians</w:t>
            </w:r>
          </w:p>
        </w:tc>
        <w:tc>
          <w:tcPr>
            <w:tcW w:w="1276" w:type="dxa"/>
            <w:vAlign w:val="center"/>
          </w:tcPr>
          <w:p w14:paraId="34E3EE78" w14:textId="1D8C604F" w:rsidR="00D77B81" w:rsidRPr="00D77B81" w:rsidRDefault="00D77B81" w:rsidP="00D77B81">
            <w:pPr>
              <w:spacing w:before="0"/>
              <w:contextualSpacing/>
              <w:jc w:val="center"/>
              <w:rPr>
                <w:sz w:val="20"/>
              </w:rPr>
            </w:pPr>
            <w:r w:rsidRPr="00D77B81">
              <w:rPr>
                <w:sz w:val="20"/>
              </w:rPr>
              <w:t>120</w:t>
            </w:r>
          </w:p>
        </w:tc>
      </w:tr>
      <w:tr w:rsidR="00082CAF" w:rsidRPr="00D77B81" w14:paraId="6391D05C" w14:textId="77777777" w:rsidTr="00082CAF">
        <w:tc>
          <w:tcPr>
            <w:tcW w:w="5812" w:type="dxa"/>
            <w:vAlign w:val="center"/>
          </w:tcPr>
          <w:p w14:paraId="66252F51" w14:textId="2D577172" w:rsidR="00D77B81" w:rsidRPr="00D77B81" w:rsidRDefault="00D77B81" w:rsidP="00D77B81">
            <w:pPr>
              <w:spacing w:before="0"/>
              <w:contextualSpacing/>
              <w:rPr>
                <w:sz w:val="20"/>
              </w:rPr>
            </w:pPr>
            <w:r w:rsidRPr="00D77B81">
              <w:rPr>
                <w:sz w:val="20"/>
              </w:rPr>
              <w:t>Sheetmetal Trades Workers</w:t>
            </w:r>
          </w:p>
        </w:tc>
        <w:tc>
          <w:tcPr>
            <w:tcW w:w="1276" w:type="dxa"/>
            <w:vAlign w:val="center"/>
          </w:tcPr>
          <w:p w14:paraId="3B9523F9" w14:textId="0EA7E57A" w:rsidR="00D77B81" w:rsidRPr="00D77B81" w:rsidRDefault="00D77B81" w:rsidP="00D77B81">
            <w:pPr>
              <w:spacing w:before="0"/>
              <w:contextualSpacing/>
              <w:jc w:val="center"/>
              <w:rPr>
                <w:sz w:val="20"/>
              </w:rPr>
            </w:pPr>
            <w:r w:rsidRPr="00D77B81">
              <w:rPr>
                <w:sz w:val="20"/>
              </w:rPr>
              <w:t>114</w:t>
            </w:r>
          </w:p>
        </w:tc>
      </w:tr>
      <w:tr w:rsidR="00082CAF" w:rsidRPr="00D77B81" w14:paraId="184F3456" w14:textId="77777777" w:rsidTr="00082CAF">
        <w:tc>
          <w:tcPr>
            <w:tcW w:w="5812" w:type="dxa"/>
            <w:vAlign w:val="center"/>
          </w:tcPr>
          <w:p w14:paraId="6BF34F82" w14:textId="5A1B4299" w:rsidR="00D77B81" w:rsidRPr="00D77B81" w:rsidRDefault="00D77B81" w:rsidP="00D77B81">
            <w:pPr>
              <w:spacing w:before="0"/>
              <w:contextualSpacing/>
              <w:rPr>
                <w:sz w:val="20"/>
              </w:rPr>
            </w:pPr>
            <w:r w:rsidRPr="00D77B81">
              <w:rPr>
                <w:sz w:val="20"/>
              </w:rPr>
              <w:t>Inadequately described</w:t>
            </w:r>
          </w:p>
        </w:tc>
        <w:tc>
          <w:tcPr>
            <w:tcW w:w="1276" w:type="dxa"/>
            <w:vAlign w:val="center"/>
          </w:tcPr>
          <w:p w14:paraId="703E1241" w14:textId="62D6DA25" w:rsidR="00D77B81" w:rsidRPr="00D77B81" w:rsidRDefault="00D77B81" w:rsidP="00D77B81">
            <w:pPr>
              <w:spacing w:before="0"/>
              <w:contextualSpacing/>
              <w:jc w:val="center"/>
              <w:rPr>
                <w:sz w:val="20"/>
              </w:rPr>
            </w:pPr>
            <w:r w:rsidRPr="00D77B81">
              <w:rPr>
                <w:sz w:val="20"/>
              </w:rPr>
              <w:t>108</w:t>
            </w:r>
          </w:p>
        </w:tc>
      </w:tr>
      <w:tr w:rsidR="00082CAF" w:rsidRPr="00D77B81" w14:paraId="51DCDFDA" w14:textId="77777777" w:rsidTr="00082CAF">
        <w:tc>
          <w:tcPr>
            <w:tcW w:w="5812" w:type="dxa"/>
            <w:vAlign w:val="center"/>
          </w:tcPr>
          <w:p w14:paraId="3197904C" w14:textId="102ADF20" w:rsidR="00D77B81" w:rsidRPr="00D77B81" w:rsidRDefault="00D77B81" w:rsidP="00D77B81">
            <w:pPr>
              <w:spacing w:before="0"/>
              <w:contextualSpacing/>
              <w:rPr>
                <w:sz w:val="20"/>
              </w:rPr>
            </w:pPr>
            <w:r w:rsidRPr="00D77B81">
              <w:rPr>
                <w:sz w:val="20"/>
              </w:rPr>
              <w:t>Managers</w:t>
            </w:r>
          </w:p>
        </w:tc>
        <w:tc>
          <w:tcPr>
            <w:tcW w:w="1276" w:type="dxa"/>
            <w:vAlign w:val="center"/>
          </w:tcPr>
          <w:p w14:paraId="1E879146" w14:textId="0F97A698" w:rsidR="00D77B81" w:rsidRPr="00D77B81" w:rsidRDefault="00D77B81" w:rsidP="00D77B81">
            <w:pPr>
              <w:spacing w:before="0"/>
              <w:contextualSpacing/>
              <w:jc w:val="center"/>
              <w:rPr>
                <w:sz w:val="20"/>
              </w:rPr>
            </w:pPr>
            <w:r w:rsidRPr="00D77B81">
              <w:rPr>
                <w:sz w:val="20"/>
              </w:rPr>
              <w:t>98</w:t>
            </w:r>
          </w:p>
        </w:tc>
      </w:tr>
      <w:tr w:rsidR="00082CAF" w:rsidRPr="00D77B81" w14:paraId="18D2F668" w14:textId="77777777" w:rsidTr="00082CAF">
        <w:tc>
          <w:tcPr>
            <w:tcW w:w="5812" w:type="dxa"/>
            <w:vAlign w:val="center"/>
          </w:tcPr>
          <w:p w14:paraId="21849B98" w14:textId="47DEC59F" w:rsidR="00D77B81" w:rsidRPr="00D77B81" w:rsidRDefault="00D77B81" w:rsidP="00D77B81">
            <w:pPr>
              <w:spacing w:before="0"/>
              <w:contextualSpacing/>
              <w:rPr>
                <w:sz w:val="20"/>
              </w:rPr>
            </w:pPr>
            <w:r w:rsidRPr="00D77B81">
              <w:rPr>
                <w:sz w:val="20"/>
              </w:rPr>
              <w:t>Accountants</w:t>
            </w:r>
          </w:p>
        </w:tc>
        <w:tc>
          <w:tcPr>
            <w:tcW w:w="1276" w:type="dxa"/>
            <w:vAlign w:val="center"/>
          </w:tcPr>
          <w:p w14:paraId="7751D12F" w14:textId="48504BA3" w:rsidR="00D77B81" w:rsidRPr="00D77B81" w:rsidRDefault="00D77B81" w:rsidP="00D77B81">
            <w:pPr>
              <w:spacing w:before="0"/>
              <w:contextualSpacing/>
              <w:jc w:val="center"/>
              <w:rPr>
                <w:sz w:val="20"/>
              </w:rPr>
            </w:pPr>
            <w:r w:rsidRPr="00D77B81">
              <w:rPr>
                <w:sz w:val="20"/>
              </w:rPr>
              <w:t>97</w:t>
            </w:r>
          </w:p>
        </w:tc>
      </w:tr>
      <w:tr w:rsidR="00082CAF" w:rsidRPr="00D77B81" w14:paraId="24E18BDA" w14:textId="77777777" w:rsidTr="00082CAF">
        <w:tc>
          <w:tcPr>
            <w:tcW w:w="5812" w:type="dxa"/>
            <w:vAlign w:val="center"/>
          </w:tcPr>
          <w:p w14:paraId="7043B0D8" w14:textId="4B72951D" w:rsidR="00D77B81" w:rsidRPr="00D77B81" w:rsidRDefault="00D77B81" w:rsidP="00D77B81">
            <w:pPr>
              <w:spacing w:before="0"/>
              <w:contextualSpacing/>
              <w:rPr>
                <w:sz w:val="20"/>
              </w:rPr>
            </w:pPr>
            <w:r w:rsidRPr="00D77B81">
              <w:rPr>
                <w:sz w:val="20"/>
              </w:rPr>
              <w:t>Building and Plumbing Labourers</w:t>
            </w:r>
          </w:p>
        </w:tc>
        <w:tc>
          <w:tcPr>
            <w:tcW w:w="1276" w:type="dxa"/>
            <w:vAlign w:val="center"/>
          </w:tcPr>
          <w:p w14:paraId="6FE45018" w14:textId="05CF5EC4" w:rsidR="00D77B81" w:rsidRPr="00D77B81" w:rsidRDefault="00D77B81" w:rsidP="00D77B81">
            <w:pPr>
              <w:spacing w:before="0"/>
              <w:contextualSpacing/>
              <w:jc w:val="center"/>
              <w:rPr>
                <w:sz w:val="20"/>
              </w:rPr>
            </w:pPr>
            <w:r w:rsidRPr="00D77B81">
              <w:rPr>
                <w:sz w:val="20"/>
              </w:rPr>
              <w:t>95</w:t>
            </w:r>
          </w:p>
        </w:tc>
      </w:tr>
      <w:tr w:rsidR="00082CAF" w:rsidRPr="00D77B81" w14:paraId="13AEC394" w14:textId="77777777" w:rsidTr="00082CAF">
        <w:tc>
          <w:tcPr>
            <w:tcW w:w="5812" w:type="dxa"/>
            <w:vAlign w:val="center"/>
          </w:tcPr>
          <w:p w14:paraId="7BBEE9A8" w14:textId="65C132E9" w:rsidR="00D77B81" w:rsidRPr="00D77B81" w:rsidRDefault="00D77B81" w:rsidP="00D77B81">
            <w:pPr>
              <w:spacing w:before="0"/>
              <w:contextualSpacing/>
              <w:rPr>
                <w:sz w:val="20"/>
              </w:rPr>
            </w:pPr>
            <w:r w:rsidRPr="00D77B81">
              <w:rPr>
                <w:sz w:val="20"/>
              </w:rPr>
              <w:t>Technicians and Trades Workers</w:t>
            </w:r>
          </w:p>
        </w:tc>
        <w:tc>
          <w:tcPr>
            <w:tcW w:w="1276" w:type="dxa"/>
            <w:vAlign w:val="center"/>
          </w:tcPr>
          <w:p w14:paraId="6616CC76" w14:textId="0499C2A2" w:rsidR="00D77B81" w:rsidRPr="00D77B81" w:rsidRDefault="00D77B81" w:rsidP="00D77B81">
            <w:pPr>
              <w:spacing w:before="0"/>
              <w:contextualSpacing/>
              <w:jc w:val="center"/>
              <w:rPr>
                <w:sz w:val="20"/>
              </w:rPr>
            </w:pPr>
            <w:r w:rsidRPr="00D77B81">
              <w:rPr>
                <w:sz w:val="20"/>
              </w:rPr>
              <w:t>94</w:t>
            </w:r>
          </w:p>
        </w:tc>
      </w:tr>
      <w:tr w:rsidR="00082CAF" w:rsidRPr="00D77B81" w14:paraId="3543EEAD" w14:textId="77777777" w:rsidTr="00082CAF">
        <w:tc>
          <w:tcPr>
            <w:tcW w:w="5812" w:type="dxa"/>
            <w:vAlign w:val="center"/>
          </w:tcPr>
          <w:p w14:paraId="3291D025" w14:textId="19CC7B60" w:rsidR="00D77B81" w:rsidRPr="00D77B81" w:rsidRDefault="00D77B81" w:rsidP="00D77B81">
            <w:pPr>
              <w:spacing w:before="0"/>
              <w:contextualSpacing/>
              <w:rPr>
                <w:sz w:val="20"/>
              </w:rPr>
            </w:pPr>
            <w:r w:rsidRPr="00D77B81">
              <w:rPr>
                <w:sz w:val="20"/>
              </w:rPr>
              <w:t>Advertising, Public Relations and Sales Managers</w:t>
            </w:r>
          </w:p>
        </w:tc>
        <w:tc>
          <w:tcPr>
            <w:tcW w:w="1276" w:type="dxa"/>
            <w:vAlign w:val="center"/>
          </w:tcPr>
          <w:p w14:paraId="1EEAEAF1" w14:textId="54A5C008" w:rsidR="00D77B81" w:rsidRPr="00D77B81" w:rsidRDefault="00D77B81" w:rsidP="00D77B81">
            <w:pPr>
              <w:spacing w:before="0"/>
              <w:contextualSpacing/>
              <w:jc w:val="center"/>
              <w:rPr>
                <w:sz w:val="20"/>
              </w:rPr>
            </w:pPr>
            <w:r w:rsidRPr="00D77B81">
              <w:rPr>
                <w:sz w:val="20"/>
              </w:rPr>
              <w:t>93</w:t>
            </w:r>
          </w:p>
        </w:tc>
      </w:tr>
      <w:tr w:rsidR="00082CAF" w:rsidRPr="00D77B81" w14:paraId="31F09994" w14:textId="77777777" w:rsidTr="00082CAF">
        <w:tc>
          <w:tcPr>
            <w:tcW w:w="5812" w:type="dxa"/>
            <w:vAlign w:val="center"/>
          </w:tcPr>
          <w:p w14:paraId="3A5C2607" w14:textId="664AE6CB" w:rsidR="00D77B81" w:rsidRPr="00D77B81" w:rsidRDefault="00D77B81" w:rsidP="00D77B81">
            <w:pPr>
              <w:spacing w:before="0"/>
              <w:contextualSpacing/>
              <w:rPr>
                <w:sz w:val="20"/>
              </w:rPr>
            </w:pPr>
            <w:r w:rsidRPr="00D77B81">
              <w:rPr>
                <w:sz w:val="20"/>
              </w:rPr>
              <w:t>Electrotechnology and Telecommunications Trades Workers</w:t>
            </w:r>
          </w:p>
        </w:tc>
        <w:tc>
          <w:tcPr>
            <w:tcW w:w="1276" w:type="dxa"/>
            <w:vAlign w:val="center"/>
          </w:tcPr>
          <w:p w14:paraId="7C2BA89D" w14:textId="194E944E" w:rsidR="00D77B81" w:rsidRPr="00D77B81" w:rsidRDefault="00D77B81" w:rsidP="00D77B81">
            <w:pPr>
              <w:spacing w:before="0"/>
              <w:contextualSpacing/>
              <w:jc w:val="center"/>
              <w:rPr>
                <w:sz w:val="20"/>
              </w:rPr>
            </w:pPr>
            <w:r w:rsidRPr="00D77B81">
              <w:rPr>
                <w:sz w:val="20"/>
              </w:rPr>
              <w:t>92</w:t>
            </w:r>
          </w:p>
        </w:tc>
      </w:tr>
      <w:tr w:rsidR="00082CAF" w:rsidRPr="00D77B81" w14:paraId="607855AA" w14:textId="77777777" w:rsidTr="00082CAF">
        <w:tc>
          <w:tcPr>
            <w:tcW w:w="5812" w:type="dxa"/>
            <w:vAlign w:val="center"/>
          </w:tcPr>
          <w:p w14:paraId="7640970F" w14:textId="769C281C" w:rsidR="00D77B81" w:rsidRPr="00D77B81" w:rsidRDefault="00D77B81" w:rsidP="00D77B81">
            <w:pPr>
              <w:spacing w:before="0"/>
              <w:contextualSpacing/>
              <w:rPr>
                <w:sz w:val="20"/>
              </w:rPr>
            </w:pPr>
            <w:r w:rsidRPr="00D77B81">
              <w:rPr>
                <w:sz w:val="20"/>
              </w:rPr>
              <w:t>Engineering Managers</w:t>
            </w:r>
          </w:p>
        </w:tc>
        <w:tc>
          <w:tcPr>
            <w:tcW w:w="1276" w:type="dxa"/>
            <w:vAlign w:val="center"/>
          </w:tcPr>
          <w:p w14:paraId="26F0018D" w14:textId="5FBBA7B7" w:rsidR="00D77B81" w:rsidRPr="00D77B81" w:rsidRDefault="00D77B81" w:rsidP="00D77B81">
            <w:pPr>
              <w:spacing w:before="0"/>
              <w:contextualSpacing/>
              <w:jc w:val="center"/>
              <w:rPr>
                <w:sz w:val="20"/>
              </w:rPr>
            </w:pPr>
            <w:r w:rsidRPr="00D77B81">
              <w:rPr>
                <w:sz w:val="20"/>
              </w:rPr>
              <w:t>80</w:t>
            </w:r>
          </w:p>
        </w:tc>
      </w:tr>
      <w:tr w:rsidR="00082CAF" w:rsidRPr="00D77B81" w14:paraId="28F96D6D" w14:textId="77777777" w:rsidTr="00082CAF">
        <w:tc>
          <w:tcPr>
            <w:tcW w:w="5812" w:type="dxa"/>
            <w:vAlign w:val="center"/>
          </w:tcPr>
          <w:p w14:paraId="037B33A0" w14:textId="3D1E06E6" w:rsidR="00D77B81" w:rsidRPr="00D77B81" w:rsidRDefault="00D77B81" w:rsidP="00D77B81">
            <w:pPr>
              <w:spacing w:before="0"/>
              <w:contextualSpacing/>
              <w:rPr>
                <w:sz w:val="20"/>
              </w:rPr>
            </w:pPr>
            <w:r w:rsidRPr="00D77B81">
              <w:rPr>
                <w:sz w:val="20"/>
              </w:rPr>
              <w:t>General Managers</w:t>
            </w:r>
          </w:p>
        </w:tc>
        <w:tc>
          <w:tcPr>
            <w:tcW w:w="1276" w:type="dxa"/>
            <w:vAlign w:val="center"/>
          </w:tcPr>
          <w:p w14:paraId="287844F0" w14:textId="43FB8337" w:rsidR="00D77B81" w:rsidRPr="00D77B81" w:rsidRDefault="00D77B81" w:rsidP="00D77B81">
            <w:pPr>
              <w:spacing w:before="0"/>
              <w:contextualSpacing/>
              <w:jc w:val="center"/>
              <w:rPr>
                <w:sz w:val="20"/>
              </w:rPr>
            </w:pPr>
            <w:r w:rsidRPr="00D77B81">
              <w:rPr>
                <w:sz w:val="20"/>
              </w:rPr>
              <w:t>76</w:t>
            </w:r>
          </w:p>
        </w:tc>
      </w:tr>
      <w:tr w:rsidR="00082CAF" w:rsidRPr="00D77B81" w14:paraId="7CD89CDD" w14:textId="77777777" w:rsidTr="00082CAF">
        <w:tc>
          <w:tcPr>
            <w:tcW w:w="5812" w:type="dxa"/>
            <w:vAlign w:val="center"/>
          </w:tcPr>
          <w:p w14:paraId="03E7B7F5" w14:textId="22E5B0C5" w:rsidR="00D77B81" w:rsidRPr="00D77B81" w:rsidRDefault="00D77B81" w:rsidP="00D77B81">
            <w:pPr>
              <w:spacing w:before="0"/>
              <w:contextualSpacing/>
              <w:rPr>
                <w:sz w:val="20"/>
              </w:rPr>
            </w:pPr>
            <w:r w:rsidRPr="00D77B81">
              <w:rPr>
                <w:sz w:val="20"/>
              </w:rPr>
              <w:t>Insulation and Home Improvement Installers</w:t>
            </w:r>
          </w:p>
        </w:tc>
        <w:tc>
          <w:tcPr>
            <w:tcW w:w="1276" w:type="dxa"/>
            <w:vAlign w:val="center"/>
          </w:tcPr>
          <w:p w14:paraId="6B88DECF" w14:textId="60BB3C99" w:rsidR="00D77B81" w:rsidRPr="00D77B81" w:rsidRDefault="00D77B81" w:rsidP="00D77B81">
            <w:pPr>
              <w:spacing w:before="0"/>
              <w:contextualSpacing/>
              <w:jc w:val="center"/>
              <w:rPr>
                <w:sz w:val="20"/>
              </w:rPr>
            </w:pPr>
            <w:r w:rsidRPr="00D77B81">
              <w:rPr>
                <w:sz w:val="20"/>
              </w:rPr>
              <w:t>76</w:t>
            </w:r>
          </w:p>
        </w:tc>
      </w:tr>
      <w:tr w:rsidR="00082CAF" w:rsidRPr="00D77B81" w14:paraId="14AA8F0A" w14:textId="77777777" w:rsidTr="00082CAF">
        <w:tc>
          <w:tcPr>
            <w:tcW w:w="5812" w:type="dxa"/>
            <w:vAlign w:val="center"/>
          </w:tcPr>
          <w:p w14:paraId="1D06B942" w14:textId="0A109AEB" w:rsidR="00D77B81" w:rsidRPr="00D77B81" w:rsidRDefault="00D77B81" w:rsidP="00D77B81">
            <w:pPr>
              <w:spacing w:before="0"/>
              <w:contextualSpacing/>
              <w:rPr>
                <w:sz w:val="20"/>
              </w:rPr>
            </w:pPr>
            <w:r w:rsidRPr="00D77B81">
              <w:rPr>
                <w:sz w:val="20"/>
              </w:rPr>
              <w:t>Storepersons</w:t>
            </w:r>
          </w:p>
        </w:tc>
        <w:tc>
          <w:tcPr>
            <w:tcW w:w="1276" w:type="dxa"/>
            <w:vAlign w:val="center"/>
          </w:tcPr>
          <w:p w14:paraId="25FDCCE7" w14:textId="3A13DAF9" w:rsidR="00D77B81" w:rsidRPr="00D77B81" w:rsidRDefault="00D77B81" w:rsidP="00D77B81">
            <w:pPr>
              <w:spacing w:before="0"/>
              <w:contextualSpacing/>
              <w:jc w:val="center"/>
              <w:rPr>
                <w:sz w:val="20"/>
              </w:rPr>
            </w:pPr>
            <w:r w:rsidRPr="00D77B81">
              <w:rPr>
                <w:sz w:val="20"/>
              </w:rPr>
              <w:t>71</w:t>
            </w:r>
          </w:p>
        </w:tc>
      </w:tr>
      <w:tr w:rsidR="00082CAF" w:rsidRPr="00D77B81" w14:paraId="120FF1C5" w14:textId="77777777" w:rsidTr="00082CAF">
        <w:tc>
          <w:tcPr>
            <w:tcW w:w="5812" w:type="dxa"/>
            <w:vAlign w:val="center"/>
          </w:tcPr>
          <w:p w14:paraId="6E3E334B" w14:textId="26C465BD" w:rsidR="00D77B81" w:rsidRPr="00D77B81" w:rsidRDefault="00D77B81" w:rsidP="00D77B81">
            <w:pPr>
              <w:spacing w:before="0"/>
              <w:contextualSpacing/>
              <w:rPr>
                <w:sz w:val="20"/>
              </w:rPr>
            </w:pPr>
            <w:r w:rsidRPr="00D77B81">
              <w:rPr>
                <w:sz w:val="20"/>
              </w:rPr>
              <w:t>Product Assemblers</w:t>
            </w:r>
          </w:p>
        </w:tc>
        <w:tc>
          <w:tcPr>
            <w:tcW w:w="1276" w:type="dxa"/>
            <w:vAlign w:val="center"/>
          </w:tcPr>
          <w:p w14:paraId="6342BB15" w14:textId="577FD0FC" w:rsidR="00D77B81" w:rsidRPr="00D77B81" w:rsidRDefault="00D77B81" w:rsidP="00D77B81">
            <w:pPr>
              <w:spacing w:before="0"/>
              <w:contextualSpacing/>
              <w:jc w:val="center"/>
              <w:rPr>
                <w:sz w:val="20"/>
              </w:rPr>
            </w:pPr>
            <w:r w:rsidRPr="00D77B81">
              <w:rPr>
                <w:sz w:val="20"/>
              </w:rPr>
              <w:t>65</w:t>
            </w:r>
          </w:p>
        </w:tc>
      </w:tr>
      <w:tr w:rsidR="00082CAF" w:rsidRPr="00D77B81" w14:paraId="60D06CDD" w14:textId="77777777" w:rsidTr="00082CAF">
        <w:tc>
          <w:tcPr>
            <w:tcW w:w="5812" w:type="dxa"/>
            <w:vAlign w:val="center"/>
          </w:tcPr>
          <w:p w14:paraId="08BABD94" w14:textId="5D813EC5" w:rsidR="00D77B81" w:rsidRPr="00D77B81" w:rsidRDefault="00D77B81" w:rsidP="00D77B81">
            <w:pPr>
              <w:spacing w:before="0"/>
              <w:contextualSpacing/>
              <w:rPr>
                <w:sz w:val="20"/>
              </w:rPr>
            </w:pPr>
            <w:r w:rsidRPr="00D77B81">
              <w:rPr>
                <w:sz w:val="20"/>
              </w:rPr>
              <w:t>Purchasing and Supply Logistics Clerks</w:t>
            </w:r>
          </w:p>
        </w:tc>
        <w:tc>
          <w:tcPr>
            <w:tcW w:w="1276" w:type="dxa"/>
            <w:vAlign w:val="center"/>
          </w:tcPr>
          <w:p w14:paraId="7F079447" w14:textId="4251E2A2" w:rsidR="00D77B81" w:rsidRPr="00D77B81" w:rsidRDefault="00D77B81" w:rsidP="00D77B81">
            <w:pPr>
              <w:spacing w:before="0"/>
              <w:contextualSpacing/>
              <w:jc w:val="center"/>
              <w:rPr>
                <w:sz w:val="20"/>
              </w:rPr>
            </w:pPr>
            <w:r w:rsidRPr="00D77B81">
              <w:rPr>
                <w:sz w:val="20"/>
              </w:rPr>
              <w:t>63</w:t>
            </w:r>
          </w:p>
        </w:tc>
      </w:tr>
      <w:tr w:rsidR="00082CAF" w:rsidRPr="00D77B81" w14:paraId="0D0BD8C4" w14:textId="77777777" w:rsidTr="00082CAF">
        <w:tc>
          <w:tcPr>
            <w:tcW w:w="5812" w:type="dxa"/>
            <w:vAlign w:val="center"/>
          </w:tcPr>
          <w:p w14:paraId="36ED4AE7" w14:textId="5A703D3D" w:rsidR="00D77B81" w:rsidRPr="00D77B81" w:rsidRDefault="00D77B81" w:rsidP="00D77B81">
            <w:pPr>
              <w:spacing w:before="0"/>
              <w:contextualSpacing/>
              <w:rPr>
                <w:sz w:val="20"/>
              </w:rPr>
            </w:pPr>
            <w:r w:rsidRPr="00D77B81">
              <w:rPr>
                <w:sz w:val="20"/>
              </w:rPr>
              <w:t>Sales Assistants (General)</w:t>
            </w:r>
          </w:p>
        </w:tc>
        <w:tc>
          <w:tcPr>
            <w:tcW w:w="1276" w:type="dxa"/>
            <w:vAlign w:val="center"/>
          </w:tcPr>
          <w:p w14:paraId="485F59FB" w14:textId="1EEA2594" w:rsidR="00D77B81" w:rsidRPr="00D77B81" w:rsidRDefault="00D77B81" w:rsidP="00D77B81">
            <w:pPr>
              <w:spacing w:before="0"/>
              <w:contextualSpacing/>
              <w:jc w:val="center"/>
              <w:rPr>
                <w:sz w:val="20"/>
              </w:rPr>
            </w:pPr>
            <w:r w:rsidRPr="00D77B81">
              <w:rPr>
                <w:sz w:val="20"/>
              </w:rPr>
              <w:t>63</w:t>
            </w:r>
          </w:p>
        </w:tc>
      </w:tr>
      <w:tr w:rsidR="00082CAF" w:rsidRPr="00D77B81" w14:paraId="706C2A2F" w14:textId="77777777" w:rsidTr="00082CAF">
        <w:tc>
          <w:tcPr>
            <w:tcW w:w="5812" w:type="dxa"/>
            <w:vAlign w:val="center"/>
          </w:tcPr>
          <w:p w14:paraId="1A877DDE" w14:textId="17B05F22" w:rsidR="00D77B81" w:rsidRPr="00D77B81" w:rsidRDefault="00D77B81" w:rsidP="00D77B81">
            <w:pPr>
              <w:spacing w:before="0"/>
              <w:contextualSpacing/>
              <w:rPr>
                <w:sz w:val="20"/>
              </w:rPr>
            </w:pPr>
            <w:r w:rsidRPr="00D77B81">
              <w:rPr>
                <w:sz w:val="20"/>
              </w:rPr>
              <w:t>Structural Steel and Welding Trades Workers</w:t>
            </w:r>
          </w:p>
        </w:tc>
        <w:tc>
          <w:tcPr>
            <w:tcW w:w="1276" w:type="dxa"/>
            <w:vAlign w:val="center"/>
          </w:tcPr>
          <w:p w14:paraId="5AF47CFF" w14:textId="643E4FF3" w:rsidR="00D77B81" w:rsidRPr="00D77B81" w:rsidRDefault="00D77B81" w:rsidP="00D77B81">
            <w:pPr>
              <w:spacing w:before="0"/>
              <w:contextualSpacing/>
              <w:jc w:val="center"/>
              <w:rPr>
                <w:sz w:val="20"/>
              </w:rPr>
            </w:pPr>
            <w:r w:rsidRPr="00D77B81">
              <w:rPr>
                <w:sz w:val="20"/>
              </w:rPr>
              <w:t>62</w:t>
            </w:r>
          </w:p>
        </w:tc>
      </w:tr>
      <w:tr w:rsidR="00082CAF" w:rsidRPr="00D77B81" w14:paraId="0AA74EF7" w14:textId="77777777" w:rsidTr="00082CAF">
        <w:tc>
          <w:tcPr>
            <w:tcW w:w="5812" w:type="dxa"/>
            <w:vAlign w:val="center"/>
          </w:tcPr>
          <w:p w14:paraId="009B4E54" w14:textId="458E0ABF" w:rsidR="00D77B81" w:rsidRPr="00D77B81" w:rsidRDefault="00D77B81" w:rsidP="00D77B81">
            <w:pPr>
              <w:spacing w:before="0"/>
              <w:contextualSpacing/>
              <w:rPr>
                <w:sz w:val="20"/>
              </w:rPr>
            </w:pPr>
            <w:r w:rsidRPr="00D77B81">
              <w:rPr>
                <w:sz w:val="20"/>
              </w:rPr>
              <w:t>Finance Managers</w:t>
            </w:r>
          </w:p>
        </w:tc>
        <w:tc>
          <w:tcPr>
            <w:tcW w:w="1276" w:type="dxa"/>
            <w:vAlign w:val="center"/>
          </w:tcPr>
          <w:p w14:paraId="6118ACBA" w14:textId="753F29AF" w:rsidR="00D77B81" w:rsidRPr="00D77B81" w:rsidRDefault="00D77B81" w:rsidP="00D77B81">
            <w:pPr>
              <w:spacing w:before="0"/>
              <w:contextualSpacing/>
              <w:jc w:val="center"/>
              <w:rPr>
                <w:sz w:val="20"/>
              </w:rPr>
            </w:pPr>
            <w:r w:rsidRPr="00D77B81">
              <w:rPr>
                <w:sz w:val="20"/>
              </w:rPr>
              <w:t>59</w:t>
            </w:r>
          </w:p>
        </w:tc>
      </w:tr>
      <w:tr w:rsidR="00082CAF" w:rsidRPr="00D77B81" w14:paraId="6B726D10" w14:textId="77777777" w:rsidTr="00082CAF">
        <w:tc>
          <w:tcPr>
            <w:tcW w:w="5812" w:type="dxa"/>
            <w:vAlign w:val="center"/>
          </w:tcPr>
          <w:p w14:paraId="4F8D0E2E" w14:textId="132F18C9" w:rsidR="00D77B81" w:rsidRPr="00D77B81" w:rsidRDefault="00D77B81" w:rsidP="00D77B81">
            <w:pPr>
              <w:spacing w:before="0"/>
              <w:contextualSpacing/>
              <w:rPr>
                <w:sz w:val="20"/>
              </w:rPr>
            </w:pPr>
            <w:r w:rsidRPr="00D77B81">
              <w:rPr>
                <w:sz w:val="20"/>
              </w:rPr>
              <w:t>Specialist Managers</w:t>
            </w:r>
          </w:p>
        </w:tc>
        <w:tc>
          <w:tcPr>
            <w:tcW w:w="1276" w:type="dxa"/>
            <w:vAlign w:val="center"/>
          </w:tcPr>
          <w:p w14:paraId="7165DA3E" w14:textId="10D69464" w:rsidR="00D77B81" w:rsidRPr="00D77B81" w:rsidRDefault="00D77B81" w:rsidP="00D77B81">
            <w:pPr>
              <w:spacing w:before="0"/>
              <w:contextualSpacing/>
              <w:jc w:val="center"/>
              <w:rPr>
                <w:sz w:val="20"/>
              </w:rPr>
            </w:pPr>
            <w:r w:rsidRPr="00D77B81">
              <w:rPr>
                <w:sz w:val="20"/>
              </w:rPr>
              <w:t>55</w:t>
            </w:r>
          </w:p>
        </w:tc>
      </w:tr>
      <w:tr w:rsidR="00082CAF" w:rsidRPr="00D77B81" w14:paraId="116B3483" w14:textId="77777777" w:rsidTr="00082CAF">
        <w:tc>
          <w:tcPr>
            <w:tcW w:w="5812" w:type="dxa"/>
            <w:vAlign w:val="center"/>
          </w:tcPr>
          <w:p w14:paraId="1FCEF86C" w14:textId="13076ABE" w:rsidR="00D77B81" w:rsidRPr="00D77B81" w:rsidRDefault="00D77B81" w:rsidP="00D77B81">
            <w:pPr>
              <w:spacing w:before="0"/>
              <w:contextualSpacing/>
              <w:rPr>
                <w:sz w:val="20"/>
              </w:rPr>
            </w:pPr>
            <w:r w:rsidRPr="00D77B81">
              <w:rPr>
                <w:sz w:val="20"/>
              </w:rPr>
              <w:t>Retail Managers</w:t>
            </w:r>
          </w:p>
        </w:tc>
        <w:tc>
          <w:tcPr>
            <w:tcW w:w="1276" w:type="dxa"/>
            <w:vAlign w:val="center"/>
          </w:tcPr>
          <w:p w14:paraId="621D1994" w14:textId="1E96A729" w:rsidR="00D77B81" w:rsidRPr="00D77B81" w:rsidRDefault="00D77B81" w:rsidP="00D77B81">
            <w:pPr>
              <w:spacing w:before="0"/>
              <w:contextualSpacing/>
              <w:jc w:val="center"/>
              <w:rPr>
                <w:sz w:val="20"/>
              </w:rPr>
            </w:pPr>
            <w:r w:rsidRPr="00D77B81">
              <w:rPr>
                <w:sz w:val="20"/>
              </w:rPr>
              <w:t>55</w:t>
            </w:r>
          </w:p>
        </w:tc>
      </w:tr>
      <w:tr w:rsidR="00082CAF" w:rsidRPr="00D77B81" w14:paraId="4F76D34F" w14:textId="77777777" w:rsidTr="00082CAF">
        <w:tc>
          <w:tcPr>
            <w:tcW w:w="5812" w:type="dxa"/>
            <w:vAlign w:val="center"/>
          </w:tcPr>
          <w:p w14:paraId="58CA2EB9" w14:textId="149782D9" w:rsidR="00D77B81" w:rsidRPr="00D77B81" w:rsidRDefault="00D77B81" w:rsidP="00D77B81">
            <w:pPr>
              <w:spacing w:before="0"/>
              <w:contextualSpacing/>
              <w:rPr>
                <w:sz w:val="20"/>
              </w:rPr>
            </w:pPr>
            <w:r w:rsidRPr="00D77B81">
              <w:rPr>
                <w:sz w:val="20"/>
              </w:rPr>
              <w:t>Keyboard Operators</w:t>
            </w:r>
          </w:p>
        </w:tc>
        <w:tc>
          <w:tcPr>
            <w:tcW w:w="1276" w:type="dxa"/>
            <w:vAlign w:val="center"/>
          </w:tcPr>
          <w:p w14:paraId="5F6F64B1" w14:textId="13838618" w:rsidR="00D77B81" w:rsidRPr="00D77B81" w:rsidRDefault="00D77B81" w:rsidP="00D77B81">
            <w:pPr>
              <w:spacing w:before="0"/>
              <w:contextualSpacing/>
              <w:jc w:val="center"/>
              <w:rPr>
                <w:sz w:val="20"/>
              </w:rPr>
            </w:pPr>
            <w:r w:rsidRPr="00D77B81">
              <w:rPr>
                <w:sz w:val="20"/>
              </w:rPr>
              <w:t>55</w:t>
            </w:r>
          </w:p>
        </w:tc>
      </w:tr>
      <w:tr w:rsidR="00082CAF" w:rsidRPr="00D77B81" w14:paraId="7FF1B04B" w14:textId="77777777" w:rsidTr="00082CAF">
        <w:tc>
          <w:tcPr>
            <w:tcW w:w="5812" w:type="dxa"/>
            <w:vAlign w:val="center"/>
          </w:tcPr>
          <w:p w14:paraId="03813E91" w14:textId="47DB5C66" w:rsidR="00D77B81" w:rsidRPr="00D77B81" w:rsidRDefault="00D77B81" w:rsidP="00D77B81">
            <w:pPr>
              <w:spacing w:before="0"/>
              <w:contextualSpacing/>
              <w:rPr>
                <w:sz w:val="20"/>
              </w:rPr>
            </w:pPr>
            <w:r w:rsidRPr="00D77B81">
              <w:rPr>
                <w:sz w:val="20"/>
              </w:rPr>
              <w:t>Labourers</w:t>
            </w:r>
          </w:p>
        </w:tc>
        <w:tc>
          <w:tcPr>
            <w:tcW w:w="1276" w:type="dxa"/>
            <w:vAlign w:val="center"/>
          </w:tcPr>
          <w:p w14:paraId="1049F2BB" w14:textId="234C0A50" w:rsidR="00D77B81" w:rsidRPr="00D77B81" w:rsidRDefault="00D77B81" w:rsidP="00D77B81">
            <w:pPr>
              <w:spacing w:before="0"/>
              <w:contextualSpacing/>
              <w:jc w:val="center"/>
              <w:rPr>
                <w:sz w:val="20"/>
              </w:rPr>
            </w:pPr>
            <w:r w:rsidRPr="00D77B81">
              <w:rPr>
                <w:sz w:val="20"/>
              </w:rPr>
              <w:t>54</w:t>
            </w:r>
          </w:p>
        </w:tc>
      </w:tr>
      <w:tr w:rsidR="00082CAF" w:rsidRPr="00D77B81" w14:paraId="70661757" w14:textId="77777777" w:rsidTr="00082CAF">
        <w:tc>
          <w:tcPr>
            <w:tcW w:w="5812" w:type="dxa"/>
            <w:vAlign w:val="center"/>
          </w:tcPr>
          <w:p w14:paraId="76052E92" w14:textId="37346EB6" w:rsidR="00D77B81" w:rsidRPr="00D77B81" w:rsidRDefault="00D77B81" w:rsidP="00D77B81">
            <w:pPr>
              <w:spacing w:before="0"/>
              <w:contextualSpacing/>
              <w:rPr>
                <w:sz w:val="20"/>
              </w:rPr>
            </w:pPr>
            <w:r w:rsidRPr="00D77B81">
              <w:rPr>
                <w:sz w:val="20"/>
              </w:rPr>
              <w:t>Structural Steel Construction Workers</w:t>
            </w:r>
          </w:p>
        </w:tc>
        <w:tc>
          <w:tcPr>
            <w:tcW w:w="1276" w:type="dxa"/>
            <w:vAlign w:val="center"/>
          </w:tcPr>
          <w:p w14:paraId="3FD884A9" w14:textId="7188192D" w:rsidR="00D77B81" w:rsidRPr="00D77B81" w:rsidRDefault="00D77B81" w:rsidP="00D77B81">
            <w:pPr>
              <w:spacing w:before="0"/>
              <w:contextualSpacing/>
              <w:jc w:val="center"/>
              <w:rPr>
                <w:sz w:val="20"/>
              </w:rPr>
            </w:pPr>
            <w:r w:rsidRPr="00D77B81">
              <w:rPr>
                <w:sz w:val="20"/>
              </w:rPr>
              <w:t>54</w:t>
            </w:r>
          </w:p>
        </w:tc>
      </w:tr>
      <w:tr w:rsidR="00082CAF" w:rsidRPr="00D77B81" w14:paraId="534326BF" w14:textId="77777777" w:rsidTr="00082CAF">
        <w:tc>
          <w:tcPr>
            <w:tcW w:w="5812" w:type="dxa"/>
            <w:vAlign w:val="center"/>
          </w:tcPr>
          <w:p w14:paraId="179A5D8B" w14:textId="0D3AC41E" w:rsidR="00D77B81" w:rsidRPr="00D77B81" w:rsidRDefault="00D77B81" w:rsidP="00D77B81">
            <w:pPr>
              <w:spacing w:before="0"/>
              <w:contextualSpacing/>
              <w:rPr>
                <w:sz w:val="20"/>
              </w:rPr>
            </w:pPr>
            <w:r w:rsidRPr="00D77B81">
              <w:rPr>
                <w:sz w:val="20"/>
              </w:rPr>
              <w:t>Production Managers</w:t>
            </w:r>
          </w:p>
        </w:tc>
        <w:tc>
          <w:tcPr>
            <w:tcW w:w="1276" w:type="dxa"/>
            <w:vAlign w:val="center"/>
          </w:tcPr>
          <w:p w14:paraId="18035791" w14:textId="2282749D" w:rsidR="00D77B81" w:rsidRPr="00D77B81" w:rsidRDefault="00D77B81" w:rsidP="00D77B81">
            <w:pPr>
              <w:spacing w:before="0"/>
              <w:contextualSpacing/>
              <w:jc w:val="center"/>
              <w:rPr>
                <w:sz w:val="20"/>
              </w:rPr>
            </w:pPr>
            <w:r w:rsidRPr="00D77B81">
              <w:rPr>
                <w:sz w:val="20"/>
              </w:rPr>
              <w:t>47</w:t>
            </w:r>
          </w:p>
        </w:tc>
      </w:tr>
      <w:tr w:rsidR="00082CAF" w:rsidRPr="00D77B81" w14:paraId="4B87A174" w14:textId="77777777" w:rsidTr="00082CAF">
        <w:tc>
          <w:tcPr>
            <w:tcW w:w="5812" w:type="dxa"/>
            <w:vAlign w:val="center"/>
          </w:tcPr>
          <w:p w14:paraId="52325BC1" w14:textId="489B9CA2" w:rsidR="00D77B81" w:rsidRPr="00D77B81" w:rsidRDefault="00D77B81" w:rsidP="00D77B81">
            <w:pPr>
              <w:spacing w:before="0"/>
              <w:contextualSpacing/>
              <w:rPr>
                <w:sz w:val="20"/>
              </w:rPr>
            </w:pPr>
            <w:r w:rsidRPr="00D77B81">
              <w:rPr>
                <w:sz w:val="20"/>
              </w:rPr>
              <w:t>Engineering Professionals</w:t>
            </w:r>
          </w:p>
        </w:tc>
        <w:tc>
          <w:tcPr>
            <w:tcW w:w="1276" w:type="dxa"/>
            <w:vAlign w:val="center"/>
          </w:tcPr>
          <w:p w14:paraId="70F6EA4E" w14:textId="4DAE6579" w:rsidR="00D77B81" w:rsidRPr="00D77B81" w:rsidRDefault="00D77B81" w:rsidP="00D77B81">
            <w:pPr>
              <w:spacing w:before="0"/>
              <w:contextualSpacing/>
              <w:jc w:val="center"/>
              <w:rPr>
                <w:sz w:val="20"/>
              </w:rPr>
            </w:pPr>
            <w:r w:rsidRPr="00D77B81">
              <w:rPr>
                <w:sz w:val="20"/>
              </w:rPr>
              <w:t>45</w:t>
            </w:r>
          </w:p>
        </w:tc>
      </w:tr>
      <w:tr w:rsidR="00082CAF" w:rsidRPr="00D77B81" w14:paraId="6752B601" w14:textId="77777777" w:rsidTr="00082CAF">
        <w:tc>
          <w:tcPr>
            <w:tcW w:w="5812" w:type="dxa"/>
            <w:vAlign w:val="center"/>
          </w:tcPr>
          <w:p w14:paraId="512BFA52" w14:textId="3154EE94" w:rsidR="00D77B81" w:rsidRPr="00D77B81" w:rsidRDefault="00D77B81" w:rsidP="00D77B81">
            <w:pPr>
              <w:spacing w:before="0"/>
              <w:contextualSpacing/>
              <w:rPr>
                <w:sz w:val="20"/>
              </w:rPr>
            </w:pPr>
            <w:r w:rsidRPr="00D77B81">
              <w:rPr>
                <w:sz w:val="20"/>
              </w:rPr>
              <w:t>Metal Engineering Process Workers</w:t>
            </w:r>
          </w:p>
        </w:tc>
        <w:tc>
          <w:tcPr>
            <w:tcW w:w="1276" w:type="dxa"/>
            <w:vAlign w:val="center"/>
          </w:tcPr>
          <w:p w14:paraId="1F2EF3FB" w14:textId="225171EB" w:rsidR="00D77B81" w:rsidRPr="00D77B81" w:rsidRDefault="00D77B81" w:rsidP="00D77B81">
            <w:pPr>
              <w:spacing w:before="0"/>
              <w:contextualSpacing/>
              <w:jc w:val="center"/>
              <w:rPr>
                <w:sz w:val="20"/>
              </w:rPr>
            </w:pPr>
            <w:r w:rsidRPr="00D77B81">
              <w:rPr>
                <w:sz w:val="20"/>
              </w:rPr>
              <w:t>45</w:t>
            </w:r>
          </w:p>
        </w:tc>
      </w:tr>
      <w:tr w:rsidR="00082CAF" w:rsidRPr="00D77B81" w14:paraId="054C1C2D" w14:textId="77777777" w:rsidTr="00082CAF">
        <w:tc>
          <w:tcPr>
            <w:tcW w:w="5812" w:type="dxa"/>
            <w:vAlign w:val="center"/>
          </w:tcPr>
          <w:p w14:paraId="6B1D2BB0" w14:textId="298C0928" w:rsidR="00D77B81" w:rsidRPr="00D77B81" w:rsidRDefault="00D77B81" w:rsidP="00D77B81">
            <w:pPr>
              <w:spacing w:before="0"/>
              <w:contextualSpacing/>
              <w:rPr>
                <w:sz w:val="20"/>
              </w:rPr>
            </w:pPr>
            <w:r w:rsidRPr="00D77B81">
              <w:rPr>
                <w:sz w:val="20"/>
              </w:rPr>
              <w:t>Payroll Clerks</w:t>
            </w:r>
          </w:p>
        </w:tc>
        <w:tc>
          <w:tcPr>
            <w:tcW w:w="1276" w:type="dxa"/>
            <w:vAlign w:val="center"/>
          </w:tcPr>
          <w:p w14:paraId="5921EB48" w14:textId="7C4813A0" w:rsidR="00D77B81" w:rsidRPr="00D77B81" w:rsidRDefault="00D77B81" w:rsidP="00D77B81">
            <w:pPr>
              <w:spacing w:before="0"/>
              <w:contextualSpacing/>
              <w:jc w:val="center"/>
              <w:rPr>
                <w:sz w:val="20"/>
              </w:rPr>
            </w:pPr>
            <w:r w:rsidRPr="00D77B81">
              <w:rPr>
                <w:sz w:val="20"/>
              </w:rPr>
              <w:t>43</w:t>
            </w:r>
          </w:p>
        </w:tc>
      </w:tr>
      <w:tr w:rsidR="00082CAF" w:rsidRPr="00D77B81" w14:paraId="1356C6B7" w14:textId="77777777" w:rsidTr="00082CAF">
        <w:tc>
          <w:tcPr>
            <w:tcW w:w="5812" w:type="dxa"/>
            <w:vAlign w:val="center"/>
          </w:tcPr>
          <w:p w14:paraId="53E196DB" w14:textId="7425E7FE" w:rsidR="00D77B81" w:rsidRPr="00D77B81" w:rsidRDefault="00D77B81" w:rsidP="00D77B81">
            <w:pPr>
              <w:spacing w:before="0"/>
              <w:contextualSpacing/>
              <w:rPr>
                <w:sz w:val="20"/>
              </w:rPr>
            </w:pPr>
            <w:r w:rsidRPr="00D77B81">
              <w:rPr>
                <w:sz w:val="20"/>
              </w:rPr>
              <w:t>Metal Fitters and Machinists</w:t>
            </w:r>
          </w:p>
        </w:tc>
        <w:tc>
          <w:tcPr>
            <w:tcW w:w="1276" w:type="dxa"/>
            <w:vAlign w:val="center"/>
          </w:tcPr>
          <w:p w14:paraId="1065255B" w14:textId="6D41F9AD" w:rsidR="00D77B81" w:rsidRPr="00D77B81" w:rsidRDefault="00D77B81" w:rsidP="00D77B81">
            <w:pPr>
              <w:spacing w:before="0"/>
              <w:contextualSpacing/>
              <w:jc w:val="center"/>
              <w:rPr>
                <w:sz w:val="20"/>
              </w:rPr>
            </w:pPr>
            <w:r w:rsidRPr="00D77B81">
              <w:rPr>
                <w:sz w:val="20"/>
              </w:rPr>
              <w:t>40</w:t>
            </w:r>
          </w:p>
        </w:tc>
      </w:tr>
      <w:tr w:rsidR="00082CAF" w:rsidRPr="00D77B81" w14:paraId="4065B70C" w14:textId="77777777" w:rsidTr="00082CAF">
        <w:tc>
          <w:tcPr>
            <w:tcW w:w="5812" w:type="dxa"/>
            <w:vAlign w:val="center"/>
          </w:tcPr>
          <w:p w14:paraId="031205DE" w14:textId="17144C2C" w:rsidR="00D77B81" w:rsidRPr="00D77B81" w:rsidRDefault="00D77B81" w:rsidP="00D77B81">
            <w:pPr>
              <w:spacing w:before="0"/>
              <w:contextualSpacing/>
              <w:rPr>
                <w:sz w:val="20"/>
              </w:rPr>
            </w:pPr>
            <w:r w:rsidRPr="00D77B81">
              <w:rPr>
                <w:sz w:val="20"/>
              </w:rPr>
              <w:t>Human Resource Managers</w:t>
            </w:r>
          </w:p>
        </w:tc>
        <w:tc>
          <w:tcPr>
            <w:tcW w:w="1276" w:type="dxa"/>
            <w:vAlign w:val="center"/>
          </w:tcPr>
          <w:p w14:paraId="6577CFA4" w14:textId="00BB043D" w:rsidR="00D77B81" w:rsidRPr="00D77B81" w:rsidRDefault="00D77B81" w:rsidP="00D77B81">
            <w:pPr>
              <w:spacing w:before="0"/>
              <w:contextualSpacing/>
              <w:jc w:val="center"/>
              <w:rPr>
                <w:sz w:val="20"/>
              </w:rPr>
            </w:pPr>
            <w:r w:rsidRPr="00D77B81">
              <w:rPr>
                <w:sz w:val="20"/>
              </w:rPr>
              <w:t>36</w:t>
            </w:r>
          </w:p>
        </w:tc>
      </w:tr>
      <w:tr w:rsidR="00082CAF" w:rsidRPr="00D77B81" w14:paraId="5C258F5C" w14:textId="77777777" w:rsidTr="00082CAF">
        <w:tc>
          <w:tcPr>
            <w:tcW w:w="5812" w:type="dxa"/>
            <w:vAlign w:val="center"/>
          </w:tcPr>
          <w:p w14:paraId="192C2A7E" w14:textId="219E39E1" w:rsidR="00D77B81" w:rsidRPr="00D77B81" w:rsidRDefault="00D77B81" w:rsidP="00D77B81">
            <w:pPr>
              <w:spacing w:before="0"/>
              <w:contextualSpacing/>
              <w:rPr>
                <w:sz w:val="20"/>
              </w:rPr>
            </w:pPr>
            <w:r w:rsidRPr="00D77B81">
              <w:rPr>
                <w:sz w:val="20"/>
              </w:rPr>
              <w:t>Manufacturers</w:t>
            </w:r>
          </w:p>
        </w:tc>
        <w:tc>
          <w:tcPr>
            <w:tcW w:w="1276" w:type="dxa"/>
            <w:vAlign w:val="center"/>
          </w:tcPr>
          <w:p w14:paraId="4E66E32A" w14:textId="4E1F3C8A" w:rsidR="00D77B81" w:rsidRPr="00D77B81" w:rsidRDefault="00D77B81" w:rsidP="00D77B81">
            <w:pPr>
              <w:spacing w:before="0"/>
              <w:contextualSpacing/>
              <w:jc w:val="center"/>
              <w:rPr>
                <w:sz w:val="20"/>
              </w:rPr>
            </w:pPr>
            <w:r w:rsidRPr="00D77B81">
              <w:rPr>
                <w:sz w:val="20"/>
              </w:rPr>
              <w:t>35</w:t>
            </w:r>
          </w:p>
        </w:tc>
      </w:tr>
      <w:tr w:rsidR="00082CAF" w:rsidRPr="00D77B81" w14:paraId="28CA8D9F" w14:textId="77777777" w:rsidTr="00082CAF">
        <w:tc>
          <w:tcPr>
            <w:tcW w:w="5812" w:type="dxa"/>
            <w:vAlign w:val="center"/>
          </w:tcPr>
          <w:p w14:paraId="27F992BE" w14:textId="1F624A45" w:rsidR="00D77B81" w:rsidRPr="00D77B81" w:rsidRDefault="00D77B81" w:rsidP="00D77B81">
            <w:pPr>
              <w:spacing w:before="0"/>
              <w:contextualSpacing/>
              <w:rPr>
                <w:sz w:val="20"/>
              </w:rPr>
            </w:pPr>
            <w:r w:rsidRPr="00D77B81">
              <w:rPr>
                <w:sz w:val="20"/>
              </w:rPr>
              <w:t>Other Hospitality, Retail and Service Managers</w:t>
            </w:r>
          </w:p>
        </w:tc>
        <w:tc>
          <w:tcPr>
            <w:tcW w:w="1276" w:type="dxa"/>
            <w:vAlign w:val="center"/>
          </w:tcPr>
          <w:p w14:paraId="2C7F4017" w14:textId="18C809D8" w:rsidR="00D77B81" w:rsidRPr="00D77B81" w:rsidRDefault="00D77B81" w:rsidP="00D77B81">
            <w:pPr>
              <w:spacing w:before="0"/>
              <w:contextualSpacing/>
              <w:jc w:val="center"/>
              <w:rPr>
                <w:sz w:val="20"/>
              </w:rPr>
            </w:pPr>
            <w:r w:rsidRPr="00D77B81">
              <w:rPr>
                <w:sz w:val="20"/>
              </w:rPr>
              <w:t>35</w:t>
            </w:r>
          </w:p>
        </w:tc>
      </w:tr>
      <w:tr w:rsidR="00082CAF" w:rsidRPr="00D77B81" w14:paraId="0388FC6F" w14:textId="77777777" w:rsidTr="00082CAF">
        <w:tc>
          <w:tcPr>
            <w:tcW w:w="5812" w:type="dxa"/>
            <w:vAlign w:val="center"/>
          </w:tcPr>
          <w:p w14:paraId="7DA7C960" w14:textId="4D2E4F9A" w:rsidR="00D77B81" w:rsidRPr="00D77B81" w:rsidRDefault="00D77B81" w:rsidP="00D77B81">
            <w:pPr>
              <w:spacing w:before="0"/>
              <w:contextualSpacing/>
              <w:rPr>
                <w:sz w:val="20"/>
              </w:rPr>
            </w:pPr>
            <w:r w:rsidRPr="00D77B81">
              <w:rPr>
                <w:sz w:val="20"/>
              </w:rPr>
              <w:t>Carpenters and Joiners</w:t>
            </w:r>
          </w:p>
        </w:tc>
        <w:tc>
          <w:tcPr>
            <w:tcW w:w="1276" w:type="dxa"/>
            <w:vAlign w:val="center"/>
          </w:tcPr>
          <w:p w14:paraId="28E5660E" w14:textId="04B0A044" w:rsidR="00D77B81" w:rsidRPr="00D77B81" w:rsidRDefault="00D77B81" w:rsidP="00D77B81">
            <w:pPr>
              <w:spacing w:before="0"/>
              <w:contextualSpacing/>
              <w:jc w:val="center"/>
              <w:rPr>
                <w:sz w:val="20"/>
              </w:rPr>
            </w:pPr>
            <w:r w:rsidRPr="00D77B81">
              <w:rPr>
                <w:sz w:val="20"/>
              </w:rPr>
              <w:t>35</w:t>
            </w:r>
          </w:p>
        </w:tc>
      </w:tr>
      <w:tr w:rsidR="00082CAF" w:rsidRPr="00D77B81" w14:paraId="0A079C11" w14:textId="77777777" w:rsidTr="00082CAF">
        <w:tc>
          <w:tcPr>
            <w:tcW w:w="5812" w:type="dxa"/>
            <w:vAlign w:val="center"/>
          </w:tcPr>
          <w:p w14:paraId="3948DD88" w14:textId="0700F19A" w:rsidR="00D77B81" w:rsidRPr="00D77B81" w:rsidRDefault="00D77B81" w:rsidP="00D77B81">
            <w:pPr>
              <w:spacing w:before="0"/>
              <w:contextualSpacing/>
              <w:rPr>
                <w:sz w:val="20"/>
              </w:rPr>
            </w:pPr>
            <w:r w:rsidRPr="00D77B81">
              <w:rPr>
                <w:sz w:val="20"/>
              </w:rPr>
              <w:t>Technical Sales Representatives</w:t>
            </w:r>
          </w:p>
        </w:tc>
        <w:tc>
          <w:tcPr>
            <w:tcW w:w="1276" w:type="dxa"/>
            <w:vAlign w:val="center"/>
          </w:tcPr>
          <w:p w14:paraId="3B676E84" w14:textId="4A414A75" w:rsidR="00D77B81" w:rsidRPr="00D77B81" w:rsidRDefault="00D77B81" w:rsidP="00D77B81">
            <w:pPr>
              <w:spacing w:before="0"/>
              <w:contextualSpacing/>
              <w:jc w:val="center"/>
              <w:rPr>
                <w:sz w:val="20"/>
              </w:rPr>
            </w:pPr>
            <w:r w:rsidRPr="00D77B81">
              <w:rPr>
                <w:sz w:val="20"/>
              </w:rPr>
              <w:t>31</w:t>
            </w:r>
          </w:p>
        </w:tc>
      </w:tr>
      <w:tr w:rsidR="00082CAF" w:rsidRPr="00D77B81" w14:paraId="5338A61F" w14:textId="77777777" w:rsidTr="00082CAF">
        <w:tc>
          <w:tcPr>
            <w:tcW w:w="5812" w:type="dxa"/>
            <w:vAlign w:val="center"/>
          </w:tcPr>
          <w:p w14:paraId="60FAF10B" w14:textId="45D2361B" w:rsidR="00D77B81" w:rsidRPr="00D77B81" w:rsidRDefault="00D77B81" w:rsidP="00D77B81">
            <w:pPr>
              <w:spacing w:before="0"/>
              <w:contextualSpacing/>
              <w:rPr>
                <w:sz w:val="20"/>
              </w:rPr>
            </w:pPr>
            <w:r w:rsidRPr="00D77B81">
              <w:rPr>
                <w:sz w:val="20"/>
              </w:rPr>
              <w:t>Other Specialist Managers</w:t>
            </w:r>
          </w:p>
        </w:tc>
        <w:tc>
          <w:tcPr>
            <w:tcW w:w="1276" w:type="dxa"/>
            <w:vAlign w:val="center"/>
          </w:tcPr>
          <w:p w14:paraId="15FE2E08" w14:textId="2C728E37" w:rsidR="00D77B81" w:rsidRPr="00D77B81" w:rsidRDefault="00D77B81" w:rsidP="00D77B81">
            <w:pPr>
              <w:spacing w:before="0"/>
              <w:contextualSpacing/>
              <w:jc w:val="center"/>
              <w:rPr>
                <w:sz w:val="20"/>
              </w:rPr>
            </w:pPr>
            <w:r w:rsidRPr="00D77B81">
              <w:rPr>
                <w:sz w:val="20"/>
              </w:rPr>
              <w:t>29</w:t>
            </w:r>
          </w:p>
        </w:tc>
      </w:tr>
      <w:tr w:rsidR="00082CAF" w:rsidRPr="00D77B81" w14:paraId="59FB93DF" w14:textId="77777777" w:rsidTr="00082CAF">
        <w:tc>
          <w:tcPr>
            <w:tcW w:w="5812" w:type="dxa"/>
            <w:vAlign w:val="center"/>
          </w:tcPr>
          <w:p w14:paraId="3F49DC76" w14:textId="41C696BE" w:rsidR="00D77B81" w:rsidRPr="00D77B81" w:rsidRDefault="00D77B81" w:rsidP="00D77B81">
            <w:pPr>
              <w:spacing w:before="0"/>
              <w:contextualSpacing/>
              <w:rPr>
                <w:sz w:val="20"/>
              </w:rPr>
            </w:pPr>
            <w:r w:rsidRPr="00D77B81">
              <w:rPr>
                <w:sz w:val="20"/>
              </w:rPr>
              <w:t>Inquiry Clerks</w:t>
            </w:r>
          </w:p>
        </w:tc>
        <w:tc>
          <w:tcPr>
            <w:tcW w:w="1276" w:type="dxa"/>
            <w:vAlign w:val="center"/>
          </w:tcPr>
          <w:p w14:paraId="0F9B759C" w14:textId="7A91CACA" w:rsidR="00D77B81" w:rsidRPr="00D77B81" w:rsidRDefault="00D77B81" w:rsidP="00D77B81">
            <w:pPr>
              <w:spacing w:before="0"/>
              <w:contextualSpacing/>
              <w:jc w:val="center"/>
              <w:rPr>
                <w:sz w:val="20"/>
              </w:rPr>
            </w:pPr>
            <w:r w:rsidRPr="00D77B81">
              <w:rPr>
                <w:sz w:val="20"/>
              </w:rPr>
              <w:t>25</w:t>
            </w:r>
          </w:p>
        </w:tc>
      </w:tr>
      <w:tr w:rsidR="00082CAF" w:rsidRPr="00D77B81" w14:paraId="22DD81E6" w14:textId="77777777" w:rsidTr="00082CAF">
        <w:tc>
          <w:tcPr>
            <w:tcW w:w="5812" w:type="dxa"/>
            <w:vAlign w:val="center"/>
          </w:tcPr>
          <w:p w14:paraId="2364C6AD" w14:textId="461DAA6F" w:rsidR="00D77B81" w:rsidRPr="00D77B81" w:rsidRDefault="00D77B81" w:rsidP="00D77B81">
            <w:pPr>
              <w:spacing w:before="0"/>
              <w:contextualSpacing/>
              <w:rPr>
                <w:sz w:val="20"/>
              </w:rPr>
            </w:pPr>
            <w:r w:rsidRPr="00D77B81">
              <w:rPr>
                <w:sz w:val="20"/>
              </w:rPr>
              <w:lastRenderedPageBreak/>
              <w:t>Personal Assistants</w:t>
            </w:r>
          </w:p>
        </w:tc>
        <w:tc>
          <w:tcPr>
            <w:tcW w:w="1276" w:type="dxa"/>
            <w:vAlign w:val="center"/>
          </w:tcPr>
          <w:p w14:paraId="6C26AD91" w14:textId="7B203252" w:rsidR="00D77B81" w:rsidRPr="00D77B81" w:rsidRDefault="00D77B81" w:rsidP="00D77B81">
            <w:pPr>
              <w:spacing w:before="0"/>
              <w:contextualSpacing/>
              <w:jc w:val="center"/>
              <w:rPr>
                <w:sz w:val="20"/>
              </w:rPr>
            </w:pPr>
            <w:r w:rsidRPr="00D77B81">
              <w:rPr>
                <w:sz w:val="20"/>
              </w:rPr>
              <w:t>24</w:t>
            </w:r>
          </w:p>
        </w:tc>
      </w:tr>
      <w:tr w:rsidR="00082CAF" w:rsidRPr="00D77B81" w14:paraId="65372038" w14:textId="77777777" w:rsidTr="00082CAF">
        <w:tc>
          <w:tcPr>
            <w:tcW w:w="5812" w:type="dxa"/>
            <w:vAlign w:val="center"/>
          </w:tcPr>
          <w:p w14:paraId="26CD0F86" w14:textId="1D37775E" w:rsidR="00D77B81" w:rsidRPr="00D77B81" w:rsidRDefault="00D77B81" w:rsidP="00D77B81">
            <w:pPr>
              <w:spacing w:before="0"/>
              <w:contextualSpacing/>
              <w:rPr>
                <w:sz w:val="20"/>
              </w:rPr>
            </w:pPr>
            <w:r w:rsidRPr="00D77B81">
              <w:rPr>
                <w:sz w:val="20"/>
              </w:rPr>
              <w:t>Other Construction and Mining Labourers</w:t>
            </w:r>
          </w:p>
        </w:tc>
        <w:tc>
          <w:tcPr>
            <w:tcW w:w="1276" w:type="dxa"/>
            <w:vAlign w:val="center"/>
          </w:tcPr>
          <w:p w14:paraId="23D95FA6" w14:textId="73EB031F" w:rsidR="00D77B81" w:rsidRPr="00D77B81" w:rsidRDefault="00D77B81" w:rsidP="00D77B81">
            <w:pPr>
              <w:spacing w:before="0"/>
              <w:contextualSpacing/>
              <w:jc w:val="center"/>
              <w:rPr>
                <w:sz w:val="20"/>
              </w:rPr>
            </w:pPr>
            <w:r w:rsidRPr="00D77B81">
              <w:rPr>
                <w:sz w:val="20"/>
              </w:rPr>
              <w:t>24</w:t>
            </w:r>
          </w:p>
        </w:tc>
      </w:tr>
      <w:tr w:rsidR="00082CAF" w:rsidRPr="00D77B81" w14:paraId="2074670F" w14:textId="77777777" w:rsidTr="00082CAF">
        <w:tc>
          <w:tcPr>
            <w:tcW w:w="5812" w:type="dxa"/>
            <w:vAlign w:val="center"/>
          </w:tcPr>
          <w:p w14:paraId="0EDBF809" w14:textId="19E3C263" w:rsidR="00D77B81" w:rsidRPr="00D77B81" w:rsidRDefault="00D77B81" w:rsidP="00D77B81">
            <w:pPr>
              <w:spacing w:before="0"/>
              <w:contextualSpacing/>
              <w:rPr>
                <w:sz w:val="20"/>
              </w:rPr>
            </w:pPr>
            <w:r w:rsidRPr="00D77B81">
              <w:rPr>
                <w:sz w:val="20"/>
              </w:rPr>
              <w:t>Advertising and Marketing Professionals</w:t>
            </w:r>
          </w:p>
        </w:tc>
        <w:tc>
          <w:tcPr>
            <w:tcW w:w="1276" w:type="dxa"/>
            <w:vAlign w:val="center"/>
          </w:tcPr>
          <w:p w14:paraId="27C73621" w14:textId="51A508D6" w:rsidR="00D77B81" w:rsidRPr="00D77B81" w:rsidRDefault="00D77B81" w:rsidP="00D77B81">
            <w:pPr>
              <w:spacing w:before="0"/>
              <w:contextualSpacing/>
              <w:jc w:val="center"/>
              <w:rPr>
                <w:sz w:val="20"/>
              </w:rPr>
            </w:pPr>
            <w:r w:rsidRPr="00D77B81">
              <w:rPr>
                <w:sz w:val="20"/>
              </w:rPr>
              <w:t>22</w:t>
            </w:r>
          </w:p>
        </w:tc>
      </w:tr>
      <w:tr w:rsidR="00082CAF" w:rsidRPr="00D77B81" w14:paraId="1AD5553E" w14:textId="77777777" w:rsidTr="00082CAF">
        <w:tc>
          <w:tcPr>
            <w:tcW w:w="5812" w:type="dxa"/>
            <w:vAlign w:val="center"/>
          </w:tcPr>
          <w:p w14:paraId="2CA26079" w14:textId="4350CE69" w:rsidR="00D77B81" w:rsidRPr="00D77B81" w:rsidRDefault="00D77B81" w:rsidP="00D77B81">
            <w:pPr>
              <w:spacing w:before="0"/>
              <w:contextualSpacing/>
              <w:rPr>
                <w:sz w:val="20"/>
              </w:rPr>
            </w:pPr>
            <w:r w:rsidRPr="00D77B81">
              <w:rPr>
                <w:sz w:val="20"/>
              </w:rPr>
              <w:t>Occupational and Environmental Health Professionals</w:t>
            </w:r>
          </w:p>
        </w:tc>
        <w:tc>
          <w:tcPr>
            <w:tcW w:w="1276" w:type="dxa"/>
            <w:vAlign w:val="center"/>
          </w:tcPr>
          <w:p w14:paraId="6C5BDA5F" w14:textId="0E0B75BA" w:rsidR="00D77B81" w:rsidRPr="00D77B81" w:rsidRDefault="00D77B81" w:rsidP="00D77B81">
            <w:pPr>
              <w:spacing w:before="0"/>
              <w:contextualSpacing/>
              <w:jc w:val="center"/>
              <w:rPr>
                <w:sz w:val="20"/>
              </w:rPr>
            </w:pPr>
            <w:r w:rsidRPr="00D77B81">
              <w:rPr>
                <w:sz w:val="20"/>
              </w:rPr>
              <w:t>22</w:t>
            </w:r>
          </w:p>
        </w:tc>
      </w:tr>
      <w:tr w:rsidR="00082CAF" w:rsidRPr="00D77B81" w14:paraId="7C98421F" w14:textId="77777777" w:rsidTr="00082CAF">
        <w:tc>
          <w:tcPr>
            <w:tcW w:w="5812" w:type="dxa"/>
            <w:vAlign w:val="center"/>
          </w:tcPr>
          <w:p w14:paraId="0533E034" w14:textId="68B02367" w:rsidR="00D77B81" w:rsidRPr="00D77B81" w:rsidRDefault="00D77B81" w:rsidP="00D77B81">
            <w:pPr>
              <w:spacing w:before="0"/>
              <w:contextualSpacing/>
              <w:rPr>
                <w:sz w:val="20"/>
              </w:rPr>
            </w:pPr>
            <w:r w:rsidRPr="00D77B81">
              <w:rPr>
                <w:sz w:val="20"/>
              </w:rPr>
              <w:t>Civil Engineering Professionals</w:t>
            </w:r>
          </w:p>
        </w:tc>
        <w:tc>
          <w:tcPr>
            <w:tcW w:w="1276" w:type="dxa"/>
            <w:vAlign w:val="center"/>
          </w:tcPr>
          <w:p w14:paraId="322CD29B" w14:textId="484B2785" w:rsidR="00D77B81" w:rsidRPr="00D77B81" w:rsidRDefault="00D77B81" w:rsidP="00D77B81">
            <w:pPr>
              <w:spacing w:before="0"/>
              <w:contextualSpacing/>
              <w:jc w:val="center"/>
              <w:rPr>
                <w:sz w:val="20"/>
              </w:rPr>
            </w:pPr>
            <w:r w:rsidRPr="00D77B81">
              <w:rPr>
                <w:sz w:val="20"/>
              </w:rPr>
              <w:t>21</w:t>
            </w:r>
          </w:p>
        </w:tc>
      </w:tr>
      <w:tr w:rsidR="00082CAF" w:rsidRPr="00D77B81" w14:paraId="5E899695" w14:textId="77777777" w:rsidTr="00082CAF">
        <w:tc>
          <w:tcPr>
            <w:tcW w:w="5812" w:type="dxa"/>
            <w:vAlign w:val="center"/>
          </w:tcPr>
          <w:p w14:paraId="782D99D7" w14:textId="0637F1E3" w:rsidR="00D77B81" w:rsidRPr="00D77B81" w:rsidRDefault="00D77B81" w:rsidP="00D77B81">
            <w:pPr>
              <w:spacing w:before="0"/>
              <w:contextualSpacing/>
              <w:rPr>
                <w:sz w:val="20"/>
              </w:rPr>
            </w:pPr>
            <w:r w:rsidRPr="00D77B81">
              <w:rPr>
                <w:sz w:val="20"/>
              </w:rPr>
              <w:t>Filing and Registry Clerks</w:t>
            </w:r>
          </w:p>
        </w:tc>
        <w:tc>
          <w:tcPr>
            <w:tcW w:w="1276" w:type="dxa"/>
            <w:vAlign w:val="center"/>
          </w:tcPr>
          <w:p w14:paraId="0873D39B" w14:textId="2B473967" w:rsidR="00D77B81" w:rsidRPr="00D77B81" w:rsidRDefault="00D77B81" w:rsidP="00D77B81">
            <w:pPr>
              <w:spacing w:before="0"/>
              <w:contextualSpacing/>
              <w:jc w:val="center"/>
              <w:rPr>
                <w:sz w:val="20"/>
              </w:rPr>
            </w:pPr>
            <w:r w:rsidRPr="00D77B81">
              <w:rPr>
                <w:sz w:val="20"/>
              </w:rPr>
              <w:t>21</w:t>
            </w:r>
          </w:p>
        </w:tc>
      </w:tr>
      <w:tr w:rsidR="00082CAF" w:rsidRPr="00D77B81" w14:paraId="07ECB065" w14:textId="77777777" w:rsidTr="00082CAF">
        <w:tc>
          <w:tcPr>
            <w:tcW w:w="5812" w:type="dxa"/>
            <w:vAlign w:val="center"/>
          </w:tcPr>
          <w:p w14:paraId="5F62B196" w14:textId="6671F723" w:rsidR="00D77B81" w:rsidRPr="00D77B81" w:rsidRDefault="00D77B81" w:rsidP="00D77B81">
            <w:pPr>
              <w:spacing w:before="0"/>
              <w:contextualSpacing/>
              <w:rPr>
                <w:sz w:val="20"/>
              </w:rPr>
            </w:pPr>
            <w:r w:rsidRPr="00D77B81">
              <w:rPr>
                <w:sz w:val="20"/>
              </w:rPr>
              <w:t>Not stated</w:t>
            </w:r>
          </w:p>
        </w:tc>
        <w:tc>
          <w:tcPr>
            <w:tcW w:w="1276" w:type="dxa"/>
            <w:vAlign w:val="center"/>
          </w:tcPr>
          <w:p w14:paraId="6843B110" w14:textId="3D22E7EF" w:rsidR="00D77B81" w:rsidRPr="00D77B81" w:rsidRDefault="00D77B81" w:rsidP="00D77B81">
            <w:pPr>
              <w:spacing w:before="0"/>
              <w:contextualSpacing/>
              <w:jc w:val="center"/>
              <w:rPr>
                <w:sz w:val="20"/>
              </w:rPr>
            </w:pPr>
            <w:r w:rsidRPr="00D77B81">
              <w:rPr>
                <w:sz w:val="20"/>
              </w:rPr>
              <w:t>21</w:t>
            </w:r>
          </w:p>
        </w:tc>
      </w:tr>
      <w:tr w:rsidR="00082CAF" w:rsidRPr="00D77B81" w14:paraId="3284E395" w14:textId="77777777" w:rsidTr="00082CAF">
        <w:tc>
          <w:tcPr>
            <w:tcW w:w="5812" w:type="dxa"/>
            <w:vAlign w:val="center"/>
          </w:tcPr>
          <w:p w14:paraId="1E37D6A7" w14:textId="7F289D14" w:rsidR="00D77B81" w:rsidRPr="00D77B81" w:rsidRDefault="00D77B81" w:rsidP="00D77B81">
            <w:pPr>
              <w:spacing w:before="0"/>
              <w:contextualSpacing/>
              <w:rPr>
                <w:sz w:val="20"/>
              </w:rPr>
            </w:pPr>
            <w:r w:rsidRPr="00D77B81">
              <w:rPr>
                <w:sz w:val="20"/>
              </w:rPr>
              <w:t>Electronics Trades Workers</w:t>
            </w:r>
          </w:p>
        </w:tc>
        <w:tc>
          <w:tcPr>
            <w:tcW w:w="1276" w:type="dxa"/>
            <w:vAlign w:val="center"/>
          </w:tcPr>
          <w:p w14:paraId="5F3294D7" w14:textId="541EFFA0" w:rsidR="00D77B81" w:rsidRPr="00D77B81" w:rsidRDefault="00D77B81" w:rsidP="00D77B81">
            <w:pPr>
              <w:spacing w:before="0"/>
              <w:contextualSpacing/>
              <w:jc w:val="center"/>
              <w:rPr>
                <w:sz w:val="20"/>
              </w:rPr>
            </w:pPr>
            <w:r w:rsidRPr="00D77B81">
              <w:rPr>
                <w:sz w:val="20"/>
              </w:rPr>
              <w:t>20</w:t>
            </w:r>
          </w:p>
        </w:tc>
      </w:tr>
      <w:tr w:rsidR="00082CAF" w:rsidRPr="00D77B81" w14:paraId="20A17E3C" w14:textId="77777777" w:rsidTr="00082CAF">
        <w:tc>
          <w:tcPr>
            <w:tcW w:w="5812" w:type="dxa"/>
            <w:vAlign w:val="center"/>
          </w:tcPr>
          <w:p w14:paraId="2F1B9F0D" w14:textId="3CEE293D" w:rsidR="00D77B81" w:rsidRPr="00D77B81" w:rsidRDefault="00D77B81" w:rsidP="00D77B81">
            <w:pPr>
              <w:spacing w:before="0"/>
              <w:contextualSpacing/>
              <w:rPr>
                <w:sz w:val="20"/>
              </w:rPr>
            </w:pPr>
            <w:r w:rsidRPr="00D77B81">
              <w:rPr>
                <w:sz w:val="20"/>
              </w:rPr>
              <w:t xml:space="preserve">Machine Operators </w:t>
            </w:r>
          </w:p>
        </w:tc>
        <w:tc>
          <w:tcPr>
            <w:tcW w:w="1276" w:type="dxa"/>
            <w:vAlign w:val="center"/>
          </w:tcPr>
          <w:p w14:paraId="51B179FB" w14:textId="2088DBDE" w:rsidR="00D77B81" w:rsidRPr="00D77B81" w:rsidRDefault="00D77B81" w:rsidP="00D77B81">
            <w:pPr>
              <w:spacing w:before="0"/>
              <w:contextualSpacing/>
              <w:jc w:val="center"/>
              <w:rPr>
                <w:sz w:val="20"/>
              </w:rPr>
            </w:pPr>
            <w:r w:rsidRPr="00D77B81">
              <w:rPr>
                <w:sz w:val="20"/>
              </w:rPr>
              <w:t>19</w:t>
            </w:r>
          </w:p>
        </w:tc>
      </w:tr>
      <w:tr w:rsidR="00082CAF" w:rsidRPr="00D77B81" w14:paraId="081B28FE" w14:textId="77777777" w:rsidTr="00082CAF">
        <w:tc>
          <w:tcPr>
            <w:tcW w:w="5812" w:type="dxa"/>
            <w:vAlign w:val="center"/>
          </w:tcPr>
          <w:p w14:paraId="6E74746C" w14:textId="3D6797E9" w:rsidR="00D77B81" w:rsidRPr="00D77B81" w:rsidRDefault="00D77B81" w:rsidP="00D77B81">
            <w:pPr>
              <w:spacing w:before="0"/>
              <w:contextualSpacing/>
              <w:rPr>
                <w:sz w:val="20"/>
              </w:rPr>
            </w:pPr>
            <w:r w:rsidRPr="00D77B81">
              <w:rPr>
                <w:sz w:val="20"/>
              </w:rPr>
              <w:t>Truck Drivers</w:t>
            </w:r>
          </w:p>
        </w:tc>
        <w:tc>
          <w:tcPr>
            <w:tcW w:w="1276" w:type="dxa"/>
            <w:vAlign w:val="center"/>
          </w:tcPr>
          <w:p w14:paraId="04A34F05" w14:textId="4A3B8B54" w:rsidR="00D77B81" w:rsidRPr="00D77B81" w:rsidRDefault="00D77B81" w:rsidP="00D77B81">
            <w:pPr>
              <w:spacing w:before="0"/>
              <w:contextualSpacing/>
              <w:jc w:val="center"/>
              <w:rPr>
                <w:sz w:val="20"/>
              </w:rPr>
            </w:pPr>
            <w:r w:rsidRPr="00D77B81">
              <w:rPr>
                <w:sz w:val="20"/>
              </w:rPr>
              <w:t>19</w:t>
            </w:r>
          </w:p>
        </w:tc>
      </w:tr>
      <w:tr w:rsidR="00082CAF" w:rsidRPr="00D77B81" w14:paraId="18E5EE43" w14:textId="77777777" w:rsidTr="00082CAF">
        <w:tc>
          <w:tcPr>
            <w:tcW w:w="5812" w:type="dxa"/>
            <w:vAlign w:val="center"/>
          </w:tcPr>
          <w:p w14:paraId="0B53A44F" w14:textId="695CEC81" w:rsidR="00D77B81" w:rsidRPr="00D77B81" w:rsidRDefault="00D77B81" w:rsidP="00D77B81">
            <w:pPr>
              <w:spacing w:before="0"/>
              <w:contextualSpacing/>
              <w:rPr>
                <w:sz w:val="20"/>
              </w:rPr>
            </w:pPr>
            <w:r w:rsidRPr="00D77B81">
              <w:rPr>
                <w:sz w:val="20"/>
              </w:rPr>
              <w:t>Supply and Distribution Managers</w:t>
            </w:r>
          </w:p>
        </w:tc>
        <w:tc>
          <w:tcPr>
            <w:tcW w:w="1276" w:type="dxa"/>
            <w:vAlign w:val="center"/>
          </w:tcPr>
          <w:p w14:paraId="22D322AC" w14:textId="2CEA0CA5" w:rsidR="00D77B81" w:rsidRPr="00D77B81" w:rsidRDefault="00D77B81" w:rsidP="00D77B81">
            <w:pPr>
              <w:spacing w:before="0"/>
              <w:contextualSpacing/>
              <w:jc w:val="center"/>
              <w:rPr>
                <w:sz w:val="20"/>
              </w:rPr>
            </w:pPr>
            <w:r w:rsidRPr="00D77B81">
              <w:rPr>
                <w:sz w:val="20"/>
              </w:rPr>
              <w:t>16</w:t>
            </w:r>
          </w:p>
        </w:tc>
      </w:tr>
      <w:tr w:rsidR="00082CAF" w:rsidRPr="00D77B81" w14:paraId="21A68694" w14:textId="77777777" w:rsidTr="00082CAF">
        <w:tc>
          <w:tcPr>
            <w:tcW w:w="5812" w:type="dxa"/>
            <w:vAlign w:val="center"/>
          </w:tcPr>
          <w:p w14:paraId="47F248A5" w14:textId="17B0DC69" w:rsidR="00D77B81" w:rsidRPr="00D77B81" w:rsidRDefault="00D77B81" w:rsidP="00D77B81">
            <w:pPr>
              <w:spacing w:before="0"/>
              <w:contextualSpacing/>
              <w:rPr>
                <w:sz w:val="20"/>
              </w:rPr>
            </w:pPr>
            <w:r w:rsidRPr="00D77B81">
              <w:rPr>
                <w:sz w:val="20"/>
              </w:rPr>
              <w:t xml:space="preserve">Building and Engineering Technicians </w:t>
            </w:r>
          </w:p>
        </w:tc>
        <w:tc>
          <w:tcPr>
            <w:tcW w:w="1276" w:type="dxa"/>
            <w:vAlign w:val="center"/>
          </w:tcPr>
          <w:p w14:paraId="34D9C6A5" w14:textId="0EAA18AD" w:rsidR="00D77B81" w:rsidRPr="00D77B81" w:rsidRDefault="00D77B81" w:rsidP="00D77B81">
            <w:pPr>
              <w:spacing w:before="0"/>
              <w:contextualSpacing/>
              <w:jc w:val="center"/>
              <w:rPr>
                <w:sz w:val="20"/>
              </w:rPr>
            </w:pPr>
            <w:r w:rsidRPr="00D77B81">
              <w:rPr>
                <w:sz w:val="20"/>
              </w:rPr>
              <w:t>16</w:t>
            </w:r>
          </w:p>
        </w:tc>
      </w:tr>
      <w:tr w:rsidR="00082CAF" w:rsidRPr="00D77B81" w14:paraId="3EBE117C" w14:textId="77777777" w:rsidTr="00082CAF">
        <w:tc>
          <w:tcPr>
            <w:tcW w:w="5812" w:type="dxa"/>
            <w:vAlign w:val="center"/>
          </w:tcPr>
          <w:p w14:paraId="0C859F0E" w14:textId="2E815CF8" w:rsidR="00D77B81" w:rsidRPr="00D77B81" w:rsidRDefault="00D77B81" w:rsidP="00D77B81">
            <w:pPr>
              <w:spacing w:before="0"/>
              <w:contextualSpacing/>
              <w:rPr>
                <w:sz w:val="20"/>
              </w:rPr>
            </w:pPr>
            <w:r w:rsidRPr="00D77B81">
              <w:rPr>
                <w:sz w:val="20"/>
              </w:rPr>
              <w:t>Electrical Engineering Draftspersons and Technicians</w:t>
            </w:r>
          </w:p>
        </w:tc>
        <w:tc>
          <w:tcPr>
            <w:tcW w:w="1276" w:type="dxa"/>
            <w:vAlign w:val="center"/>
          </w:tcPr>
          <w:p w14:paraId="7D3393E7" w14:textId="33D871CF" w:rsidR="00D77B81" w:rsidRPr="00D77B81" w:rsidRDefault="00D77B81" w:rsidP="00D77B81">
            <w:pPr>
              <w:spacing w:before="0"/>
              <w:contextualSpacing/>
              <w:jc w:val="center"/>
              <w:rPr>
                <w:sz w:val="20"/>
              </w:rPr>
            </w:pPr>
            <w:r w:rsidRPr="00D77B81">
              <w:rPr>
                <w:sz w:val="20"/>
              </w:rPr>
              <w:t>16</w:t>
            </w:r>
          </w:p>
        </w:tc>
      </w:tr>
      <w:tr w:rsidR="00082CAF" w:rsidRPr="00D77B81" w14:paraId="50A03EA9" w14:textId="77777777" w:rsidTr="00082CAF">
        <w:tc>
          <w:tcPr>
            <w:tcW w:w="5812" w:type="dxa"/>
            <w:vAlign w:val="center"/>
          </w:tcPr>
          <w:p w14:paraId="1CB19299" w14:textId="1192D244" w:rsidR="00D77B81" w:rsidRPr="00D77B81" w:rsidRDefault="00D77B81" w:rsidP="00D77B81">
            <w:pPr>
              <w:spacing w:before="0"/>
              <w:contextualSpacing/>
              <w:rPr>
                <w:sz w:val="20"/>
              </w:rPr>
            </w:pPr>
            <w:r w:rsidRPr="00D77B81">
              <w:rPr>
                <w:sz w:val="20"/>
              </w:rPr>
              <w:t>Motor Mechanics</w:t>
            </w:r>
          </w:p>
        </w:tc>
        <w:tc>
          <w:tcPr>
            <w:tcW w:w="1276" w:type="dxa"/>
            <w:vAlign w:val="center"/>
          </w:tcPr>
          <w:p w14:paraId="6351B52C" w14:textId="489939CB" w:rsidR="00D77B81" w:rsidRPr="00D77B81" w:rsidRDefault="00D77B81" w:rsidP="00D77B81">
            <w:pPr>
              <w:spacing w:before="0"/>
              <w:contextualSpacing/>
              <w:jc w:val="center"/>
              <w:rPr>
                <w:sz w:val="20"/>
              </w:rPr>
            </w:pPr>
            <w:r w:rsidRPr="00D77B81">
              <w:rPr>
                <w:sz w:val="20"/>
              </w:rPr>
              <w:t>16</w:t>
            </w:r>
          </w:p>
        </w:tc>
      </w:tr>
      <w:tr w:rsidR="00082CAF" w:rsidRPr="00D77B81" w14:paraId="620591C2" w14:textId="77777777" w:rsidTr="00082CAF">
        <w:tc>
          <w:tcPr>
            <w:tcW w:w="5812" w:type="dxa"/>
            <w:vAlign w:val="center"/>
          </w:tcPr>
          <w:p w14:paraId="2E90C5E4" w14:textId="394AF857" w:rsidR="00D77B81" w:rsidRPr="00D77B81" w:rsidRDefault="00D77B81" w:rsidP="00D77B81">
            <w:pPr>
              <w:spacing w:before="0"/>
              <w:contextualSpacing/>
              <w:rPr>
                <w:sz w:val="20"/>
              </w:rPr>
            </w:pPr>
            <w:r w:rsidRPr="00D77B81">
              <w:rPr>
                <w:sz w:val="20"/>
              </w:rPr>
              <w:t>ICT Managers</w:t>
            </w:r>
          </w:p>
        </w:tc>
        <w:tc>
          <w:tcPr>
            <w:tcW w:w="1276" w:type="dxa"/>
            <w:vAlign w:val="center"/>
          </w:tcPr>
          <w:p w14:paraId="03049645" w14:textId="0C25E20C" w:rsidR="00D77B81" w:rsidRPr="00D77B81" w:rsidRDefault="00D77B81" w:rsidP="00D77B81">
            <w:pPr>
              <w:spacing w:before="0"/>
              <w:contextualSpacing/>
              <w:jc w:val="center"/>
              <w:rPr>
                <w:sz w:val="20"/>
              </w:rPr>
            </w:pPr>
            <w:r w:rsidRPr="00D77B81">
              <w:rPr>
                <w:sz w:val="20"/>
              </w:rPr>
              <w:t>15</w:t>
            </w:r>
          </w:p>
        </w:tc>
      </w:tr>
      <w:tr w:rsidR="00082CAF" w:rsidRPr="00D77B81" w14:paraId="3AA37F8E" w14:textId="77777777" w:rsidTr="00082CAF">
        <w:tc>
          <w:tcPr>
            <w:tcW w:w="5812" w:type="dxa"/>
            <w:vAlign w:val="center"/>
          </w:tcPr>
          <w:p w14:paraId="0AB59E44" w14:textId="245DA1EE" w:rsidR="00D77B81" w:rsidRPr="00D77B81" w:rsidRDefault="00D77B81" w:rsidP="00D77B81">
            <w:pPr>
              <w:spacing w:before="0"/>
              <w:contextualSpacing/>
              <w:rPr>
                <w:sz w:val="20"/>
              </w:rPr>
            </w:pPr>
            <w:r w:rsidRPr="00D77B81">
              <w:rPr>
                <w:sz w:val="20"/>
              </w:rPr>
              <w:t>Forklift Drivers</w:t>
            </w:r>
          </w:p>
        </w:tc>
        <w:tc>
          <w:tcPr>
            <w:tcW w:w="1276" w:type="dxa"/>
            <w:vAlign w:val="center"/>
          </w:tcPr>
          <w:p w14:paraId="74855890" w14:textId="3719EA73" w:rsidR="00D77B81" w:rsidRPr="00D77B81" w:rsidRDefault="00D77B81" w:rsidP="00D77B81">
            <w:pPr>
              <w:spacing w:before="0"/>
              <w:contextualSpacing/>
              <w:jc w:val="center"/>
              <w:rPr>
                <w:sz w:val="20"/>
              </w:rPr>
            </w:pPr>
            <w:r w:rsidRPr="00D77B81">
              <w:rPr>
                <w:sz w:val="20"/>
              </w:rPr>
              <w:t>15</w:t>
            </w:r>
          </w:p>
        </w:tc>
      </w:tr>
      <w:tr w:rsidR="00082CAF" w:rsidRPr="00D77B81" w14:paraId="63ECBAE1" w14:textId="77777777" w:rsidTr="00082CAF">
        <w:tc>
          <w:tcPr>
            <w:tcW w:w="5812" w:type="dxa"/>
            <w:vAlign w:val="center"/>
          </w:tcPr>
          <w:p w14:paraId="2D612C26" w14:textId="78440016" w:rsidR="00D77B81" w:rsidRPr="00D77B81" w:rsidRDefault="00D77B81" w:rsidP="00D77B81">
            <w:pPr>
              <w:spacing w:before="0"/>
              <w:contextualSpacing/>
              <w:rPr>
                <w:sz w:val="20"/>
              </w:rPr>
            </w:pPr>
            <w:r w:rsidRPr="00D77B81">
              <w:rPr>
                <w:sz w:val="20"/>
              </w:rPr>
              <w:t>Commercial Cleaners</w:t>
            </w:r>
          </w:p>
        </w:tc>
        <w:tc>
          <w:tcPr>
            <w:tcW w:w="1276" w:type="dxa"/>
            <w:vAlign w:val="center"/>
          </w:tcPr>
          <w:p w14:paraId="03E7852D" w14:textId="63C442AD" w:rsidR="00D77B81" w:rsidRPr="00D77B81" w:rsidRDefault="00D77B81" w:rsidP="00D77B81">
            <w:pPr>
              <w:spacing w:before="0"/>
              <w:contextualSpacing/>
              <w:jc w:val="center"/>
              <w:rPr>
                <w:sz w:val="20"/>
              </w:rPr>
            </w:pPr>
            <w:r w:rsidRPr="00D77B81">
              <w:rPr>
                <w:sz w:val="20"/>
              </w:rPr>
              <w:t>15</w:t>
            </w:r>
          </w:p>
        </w:tc>
      </w:tr>
      <w:tr w:rsidR="00082CAF" w:rsidRPr="00D77B81" w14:paraId="5C51AC3A" w14:textId="77777777" w:rsidTr="00082CAF">
        <w:tc>
          <w:tcPr>
            <w:tcW w:w="5812" w:type="dxa"/>
            <w:vAlign w:val="center"/>
          </w:tcPr>
          <w:p w14:paraId="0BCA3809" w14:textId="7704540D" w:rsidR="00D77B81" w:rsidRPr="00D77B81" w:rsidRDefault="00D77B81" w:rsidP="00D77B81">
            <w:pPr>
              <w:spacing w:before="0"/>
              <w:contextualSpacing/>
              <w:rPr>
                <w:sz w:val="20"/>
              </w:rPr>
            </w:pPr>
            <w:r w:rsidRPr="00D77B81">
              <w:rPr>
                <w:sz w:val="20"/>
              </w:rPr>
              <w:t xml:space="preserve">Factory Process Workers </w:t>
            </w:r>
          </w:p>
        </w:tc>
        <w:tc>
          <w:tcPr>
            <w:tcW w:w="1276" w:type="dxa"/>
            <w:vAlign w:val="center"/>
          </w:tcPr>
          <w:p w14:paraId="67D47321" w14:textId="3594C205" w:rsidR="00D77B81" w:rsidRPr="00D77B81" w:rsidRDefault="00D77B81" w:rsidP="00D77B81">
            <w:pPr>
              <w:spacing w:before="0"/>
              <w:contextualSpacing/>
              <w:jc w:val="center"/>
              <w:rPr>
                <w:sz w:val="20"/>
              </w:rPr>
            </w:pPr>
            <w:r w:rsidRPr="00D77B81">
              <w:rPr>
                <w:sz w:val="20"/>
              </w:rPr>
              <w:t>15</w:t>
            </w:r>
          </w:p>
        </w:tc>
      </w:tr>
      <w:tr w:rsidR="00082CAF" w:rsidRPr="00D77B81" w14:paraId="3144EE7B" w14:textId="77777777" w:rsidTr="00082CAF">
        <w:tc>
          <w:tcPr>
            <w:tcW w:w="5812" w:type="dxa"/>
            <w:vAlign w:val="center"/>
          </w:tcPr>
          <w:p w14:paraId="444914D9" w14:textId="26E3FEFA" w:rsidR="00D77B81" w:rsidRPr="00D77B81" w:rsidRDefault="00D77B81" w:rsidP="00D77B81">
            <w:pPr>
              <w:spacing w:before="0"/>
              <w:contextualSpacing/>
              <w:rPr>
                <w:sz w:val="20"/>
              </w:rPr>
            </w:pPr>
            <w:r w:rsidRPr="00D77B81">
              <w:rPr>
                <w:sz w:val="20"/>
              </w:rPr>
              <w:t>Human Resource Clerks</w:t>
            </w:r>
          </w:p>
        </w:tc>
        <w:tc>
          <w:tcPr>
            <w:tcW w:w="1276" w:type="dxa"/>
            <w:vAlign w:val="center"/>
          </w:tcPr>
          <w:p w14:paraId="42B19243" w14:textId="13B98966" w:rsidR="00D77B81" w:rsidRPr="00D77B81" w:rsidRDefault="00D77B81" w:rsidP="00D77B81">
            <w:pPr>
              <w:spacing w:before="0"/>
              <w:contextualSpacing/>
              <w:jc w:val="center"/>
              <w:rPr>
                <w:sz w:val="20"/>
              </w:rPr>
            </w:pPr>
            <w:r w:rsidRPr="00D77B81">
              <w:rPr>
                <w:sz w:val="20"/>
              </w:rPr>
              <w:t>13</w:t>
            </w:r>
          </w:p>
        </w:tc>
      </w:tr>
      <w:tr w:rsidR="00082CAF" w:rsidRPr="00D77B81" w14:paraId="2BB51350" w14:textId="77777777" w:rsidTr="00082CAF">
        <w:tc>
          <w:tcPr>
            <w:tcW w:w="5812" w:type="dxa"/>
            <w:vAlign w:val="center"/>
          </w:tcPr>
          <w:p w14:paraId="3C7DABDE" w14:textId="4FD8D9F5" w:rsidR="00D77B81" w:rsidRPr="00D77B81" w:rsidRDefault="00D77B81" w:rsidP="00D77B81">
            <w:pPr>
              <w:spacing w:before="0"/>
              <w:contextualSpacing/>
              <w:rPr>
                <w:sz w:val="20"/>
              </w:rPr>
            </w:pPr>
            <w:r w:rsidRPr="00D77B81">
              <w:rPr>
                <w:sz w:val="20"/>
              </w:rPr>
              <w:t>Corporate Services Managers</w:t>
            </w:r>
          </w:p>
        </w:tc>
        <w:tc>
          <w:tcPr>
            <w:tcW w:w="1276" w:type="dxa"/>
            <w:vAlign w:val="center"/>
          </w:tcPr>
          <w:p w14:paraId="3C372C8E" w14:textId="4D2E65EB" w:rsidR="00D77B81" w:rsidRPr="00D77B81" w:rsidRDefault="00D77B81" w:rsidP="00D77B81">
            <w:pPr>
              <w:spacing w:before="0"/>
              <w:contextualSpacing/>
              <w:jc w:val="center"/>
              <w:rPr>
                <w:sz w:val="20"/>
              </w:rPr>
            </w:pPr>
            <w:r w:rsidRPr="00D77B81">
              <w:rPr>
                <w:sz w:val="20"/>
              </w:rPr>
              <w:t>11</w:t>
            </w:r>
          </w:p>
        </w:tc>
      </w:tr>
      <w:tr w:rsidR="00082CAF" w:rsidRPr="00D77B81" w14:paraId="4F4CAB5B" w14:textId="77777777" w:rsidTr="00082CAF">
        <w:tc>
          <w:tcPr>
            <w:tcW w:w="5812" w:type="dxa"/>
            <w:vAlign w:val="center"/>
          </w:tcPr>
          <w:p w14:paraId="5CB2A1BA" w14:textId="7C19617E" w:rsidR="00D77B81" w:rsidRPr="00D77B81" w:rsidRDefault="00D77B81" w:rsidP="00D77B81">
            <w:pPr>
              <w:spacing w:before="0"/>
              <w:contextualSpacing/>
              <w:rPr>
                <w:sz w:val="20"/>
              </w:rPr>
            </w:pPr>
            <w:r w:rsidRPr="00D77B81">
              <w:rPr>
                <w:sz w:val="20"/>
              </w:rPr>
              <w:t xml:space="preserve">Construction, Distribution and Production Managers </w:t>
            </w:r>
          </w:p>
        </w:tc>
        <w:tc>
          <w:tcPr>
            <w:tcW w:w="1276" w:type="dxa"/>
            <w:vAlign w:val="center"/>
          </w:tcPr>
          <w:p w14:paraId="4BF34937" w14:textId="52E1655B" w:rsidR="00D77B81" w:rsidRPr="00D77B81" w:rsidRDefault="00D77B81" w:rsidP="00D77B81">
            <w:pPr>
              <w:spacing w:before="0"/>
              <w:contextualSpacing/>
              <w:jc w:val="center"/>
              <w:rPr>
                <w:sz w:val="20"/>
              </w:rPr>
            </w:pPr>
            <w:r w:rsidRPr="00D77B81">
              <w:rPr>
                <w:sz w:val="20"/>
              </w:rPr>
              <w:t>11</w:t>
            </w:r>
          </w:p>
        </w:tc>
      </w:tr>
      <w:tr w:rsidR="00082CAF" w:rsidRPr="00D77B81" w14:paraId="561B230A" w14:textId="77777777" w:rsidTr="00082CAF">
        <w:tc>
          <w:tcPr>
            <w:tcW w:w="5812" w:type="dxa"/>
            <w:vAlign w:val="center"/>
          </w:tcPr>
          <w:p w14:paraId="4B569CDF" w14:textId="2BFA4906" w:rsidR="00D77B81" w:rsidRPr="00D77B81" w:rsidRDefault="00D77B81" w:rsidP="00D77B81">
            <w:pPr>
              <w:spacing w:before="0"/>
              <w:contextualSpacing/>
              <w:rPr>
                <w:sz w:val="20"/>
              </w:rPr>
            </w:pPr>
            <w:r w:rsidRPr="00D77B81">
              <w:rPr>
                <w:sz w:val="20"/>
              </w:rPr>
              <w:t>Importers, Exporters and Wholesalers</w:t>
            </w:r>
          </w:p>
        </w:tc>
        <w:tc>
          <w:tcPr>
            <w:tcW w:w="1276" w:type="dxa"/>
            <w:vAlign w:val="center"/>
          </w:tcPr>
          <w:p w14:paraId="54CCF68B" w14:textId="3BD03369" w:rsidR="00D77B81" w:rsidRPr="00D77B81" w:rsidRDefault="00D77B81" w:rsidP="00D77B81">
            <w:pPr>
              <w:spacing w:before="0"/>
              <w:contextualSpacing/>
              <w:jc w:val="center"/>
              <w:rPr>
                <w:sz w:val="20"/>
              </w:rPr>
            </w:pPr>
            <w:r w:rsidRPr="00D77B81">
              <w:rPr>
                <w:sz w:val="20"/>
              </w:rPr>
              <w:t>11</w:t>
            </w:r>
          </w:p>
        </w:tc>
      </w:tr>
      <w:tr w:rsidR="00082CAF" w:rsidRPr="00D77B81" w14:paraId="408C96B8" w14:textId="77777777" w:rsidTr="00082CAF">
        <w:tc>
          <w:tcPr>
            <w:tcW w:w="5812" w:type="dxa"/>
            <w:vAlign w:val="center"/>
          </w:tcPr>
          <w:p w14:paraId="6A1C09BA" w14:textId="74BE18D4" w:rsidR="00D77B81" w:rsidRPr="00D77B81" w:rsidRDefault="00D77B81" w:rsidP="00D77B81">
            <w:pPr>
              <w:spacing w:before="0"/>
              <w:contextualSpacing/>
              <w:rPr>
                <w:sz w:val="20"/>
              </w:rPr>
            </w:pPr>
            <w:r w:rsidRPr="00D77B81">
              <w:rPr>
                <w:sz w:val="20"/>
              </w:rPr>
              <w:t xml:space="preserve">Machine and Stationary Plant Operators </w:t>
            </w:r>
          </w:p>
        </w:tc>
        <w:tc>
          <w:tcPr>
            <w:tcW w:w="1276" w:type="dxa"/>
            <w:vAlign w:val="center"/>
          </w:tcPr>
          <w:p w14:paraId="50AE0F44" w14:textId="6C673A7E" w:rsidR="00D77B81" w:rsidRPr="00D77B81" w:rsidRDefault="00D77B81" w:rsidP="00D77B81">
            <w:pPr>
              <w:spacing w:before="0"/>
              <w:contextualSpacing/>
              <w:jc w:val="center"/>
              <w:rPr>
                <w:sz w:val="20"/>
              </w:rPr>
            </w:pPr>
            <w:r w:rsidRPr="00D77B81">
              <w:rPr>
                <w:sz w:val="20"/>
              </w:rPr>
              <w:t>10</w:t>
            </w:r>
          </w:p>
        </w:tc>
      </w:tr>
      <w:tr w:rsidR="00082CAF" w:rsidRPr="00D77B81" w14:paraId="2CBA8B85" w14:textId="77777777" w:rsidTr="00082CAF">
        <w:tc>
          <w:tcPr>
            <w:tcW w:w="5812" w:type="dxa"/>
            <w:vAlign w:val="center"/>
          </w:tcPr>
          <w:p w14:paraId="6C7EE3B6" w14:textId="3BCB792C" w:rsidR="00D77B81" w:rsidRPr="00D77B81" w:rsidRDefault="00D77B81" w:rsidP="00D77B81">
            <w:pPr>
              <w:spacing w:before="0"/>
              <w:contextualSpacing/>
              <w:rPr>
                <w:sz w:val="20"/>
              </w:rPr>
            </w:pPr>
            <w:r w:rsidRPr="00D77B81">
              <w:rPr>
                <w:sz w:val="20"/>
              </w:rPr>
              <w:t xml:space="preserve">Business Administration Managers </w:t>
            </w:r>
          </w:p>
        </w:tc>
        <w:tc>
          <w:tcPr>
            <w:tcW w:w="1276" w:type="dxa"/>
            <w:vAlign w:val="center"/>
          </w:tcPr>
          <w:p w14:paraId="5AF2B946" w14:textId="469BF724" w:rsidR="00D77B81" w:rsidRPr="00D77B81" w:rsidRDefault="00D77B81" w:rsidP="00D77B81">
            <w:pPr>
              <w:spacing w:before="0"/>
              <w:contextualSpacing/>
              <w:jc w:val="center"/>
              <w:rPr>
                <w:sz w:val="20"/>
              </w:rPr>
            </w:pPr>
            <w:r w:rsidRPr="00D77B81">
              <w:rPr>
                <w:sz w:val="20"/>
              </w:rPr>
              <w:t>9</w:t>
            </w:r>
          </w:p>
        </w:tc>
      </w:tr>
      <w:tr w:rsidR="00082CAF" w:rsidRPr="00D77B81" w14:paraId="2B4BBEEC" w14:textId="77777777" w:rsidTr="00082CAF">
        <w:tc>
          <w:tcPr>
            <w:tcW w:w="5812" w:type="dxa"/>
            <w:vAlign w:val="center"/>
          </w:tcPr>
          <w:p w14:paraId="0B874609" w14:textId="6864FB7D" w:rsidR="00D77B81" w:rsidRPr="00D77B81" w:rsidRDefault="00D77B81" w:rsidP="00D77B81">
            <w:pPr>
              <w:spacing w:before="0"/>
              <w:contextualSpacing/>
              <w:rPr>
                <w:sz w:val="20"/>
              </w:rPr>
            </w:pPr>
            <w:r w:rsidRPr="00D77B81">
              <w:rPr>
                <w:sz w:val="20"/>
              </w:rPr>
              <w:t>Human Resource Professionals</w:t>
            </w:r>
          </w:p>
        </w:tc>
        <w:tc>
          <w:tcPr>
            <w:tcW w:w="1276" w:type="dxa"/>
            <w:vAlign w:val="center"/>
          </w:tcPr>
          <w:p w14:paraId="5F967D24" w14:textId="0510DB55" w:rsidR="00D77B81" w:rsidRPr="00D77B81" w:rsidRDefault="00D77B81" w:rsidP="00D77B81">
            <w:pPr>
              <w:spacing w:before="0"/>
              <w:contextualSpacing/>
              <w:jc w:val="center"/>
              <w:rPr>
                <w:sz w:val="20"/>
              </w:rPr>
            </w:pPr>
            <w:r w:rsidRPr="00D77B81">
              <w:rPr>
                <w:sz w:val="20"/>
              </w:rPr>
              <w:t>9</w:t>
            </w:r>
          </w:p>
        </w:tc>
      </w:tr>
      <w:tr w:rsidR="00082CAF" w:rsidRPr="00D77B81" w14:paraId="290C4971" w14:textId="77777777" w:rsidTr="00082CAF">
        <w:tc>
          <w:tcPr>
            <w:tcW w:w="5812" w:type="dxa"/>
            <w:vAlign w:val="center"/>
          </w:tcPr>
          <w:p w14:paraId="13E82C58" w14:textId="07F46614" w:rsidR="00D77B81" w:rsidRPr="00D77B81" w:rsidRDefault="00D77B81" w:rsidP="00D77B81">
            <w:pPr>
              <w:spacing w:before="0"/>
              <w:contextualSpacing/>
              <w:rPr>
                <w:sz w:val="20"/>
              </w:rPr>
            </w:pPr>
            <w:r w:rsidRPr="00D77B81">
              <w:rPr>
                <w:sz w:val="20"/>
              </w:rPr>
              <w:t xml:space="preserve">Automotive and Engineering Trades Workers </w:t>
            </w:r>
          </w:p>
        </w:tc>
        <w:tc>
          <w:tcPr>
            <w:tcW w:w="1276" w:type="dxa"/>
            <w:vAlign w:val="center"/>
          </w:tcPr>
          <w:p w14:paraId="4CF9DFD2" w14:textId="09594974" w:rsidR="00D77B81" w:rsidRPr="00D77B81" w:rsidRDefault="00D77B81" w:rsidP="00D77B81">
            <w:pPr>
              <w:spacing w:before="0"/>
              <w:contextualSpacing/>
              <w:jc w:val="center"/>
              <w:rPr>
                <w:sz w:val="20"/>
              </w:rPr>
            </w:pPr>
            <w:r w:rsidRPr="00D77B81">
              <w:rPr>
                <w:sz w:val="20"/>
              </w:rPr>
              <w:t>9</w:t>
            </w:r>
          </w:p>
        </w:tc>
      </w:tr>
      <w:tr w:rsidR="00082CAF" w:rsidRPr="00D77B81" w14:paraId="799ECD9C" w14:textId="77777777" w:rsidTr="00082CAF">
        <w:tc>
          <w:tcPr>
            <w:tcW w:w="5812" w:type="dxa"/>
            <w:vAlign w:val="center"/>
          </w:tcPr>
          <w:p w14:paraId="576A38D5" w14:textId="41638F61" w:rsidR="00D77B81" w:rsidRPr="00D77B81" w:rsidRDefault="00D77B81" w:rsidP="00D77B81">
            <w:pPr>
              <w:spacing w:before="0"/>
              <w:contextualSpacing/>
              <w:rPr>
                <w:sz w:val="20"/>
              </w:rPr>
            </w:pPr>
            <w:r w:rsidRPr="00D77B81">
              <w:rPr>
                <w:sz w:val="20"/>
              </w:rPr>
              <w:t>Other Clerical and Office Support Workers</w:t>
            </w:r>
          </w:p>
        </w:tc>
        <w:tc>
          <w:tcPr>
            <w:tcW w:w="1276" w:type="dxa"/>
            <w:vAlign w:val="center"/>
          </w:tcPr>
          <w:p w14:paraId="211339D8" w14:textId="23804479" w:rsidR="00D77B81" w:rsidRPr="00D77B81" w:rsidRDefault="00D77B81" w:rsidP="00D77B81">
            <w:pPr>
              <w:spacing w:before="0"/>
              <w:contextualSpacing/>
              <w:jc w:val="center"/>
              <w:rPr>
                <w:sz w:val="20"/>
              </w:rPr>
            </w:pPr>
            <w:r w:rsidRPr="00D77B81">
              <w:rPr>
                <w:sz w:val="20"/>
              </w:rPr>
              <w:t>9</w:t>
            </w:r>
          </w:p>
        </w:tc>
      </w:tr>
      <w:tr w:rsidR="00082CAF" w:rsidRPr="00D77B81" w14:paraId="38B4F03F" w14:textId="77777777" w:rsidTr="00082CAF">
        <w:tc>
          <w:tcPr>
            <w:tcW w:w="5812" w:type="dxa"/>
            <w:vAlign w:val="center"/>
          </w:tcPr>
          <w:p w14:paraId="5C42D813" w14:textId="0ACF8D55" w:rsidR="00D77B81" w:rsidRPr="00D77B81" w:rsidRDefault="00D77B81" w:rsidP="00D77B81">
            <w:pPr>
              <w:spacing w:before="0"/>
              <w:contextualSpacing/>
              <w:rPr>
                <w:sz w:val="20"/>
              </w:rPr>
            </w:pPr>
            <w:r w:rsidRPr="00D77B81">
              <w:rPr>
                <w:sz w:val="20"/>
              </w:rPr>
              <w:t>Transport and Despatch Clerks</w:t>
            </w:r>
          </w:p>
        </w:tc>
        <w:tc>
          <w:tcPr>
            <w:tcW w:w="1276" w:type="dxa"/>
            <w:vAlign w:val="center"/>
          </w:tcPr>
          <w:p w14:paraId="0B683B3B" w14:textId="576DB245" w:rsidR="00D77B81" w:rsidRPr="00D77B81" w:rsidRDefault="00D77B81" w:rsidP="00D77B81">
            <w:pPr>
              <w:spacing w:before="0"/>
              <w:contextualSpacing/>
              <w:jc w:val="center"/>
              <w:rPr>
                <w:sz w:val="20"/>
              </w:rPr>
            </w:pPr>
            <w:r w:rsidRPr="00D77B81">
              <w:rPr>
                <w:sz w:val="20"/>
              </w:rPr>
              <w:t>9</w:t>
            </w:r>
          </w:p>
        </w:tc>
      </w:tr>
      <w:tr w:rsidR="00082CAF" w:rsidRPr="00D77B81" w14:paraId="128ABAFF" w14:textId="77777777" w:rsidTr="00082CAF">
        <w:tc>
          <w:tcPr>
            <w:tcW w:w="5812" w:type="dxa"/>
            <w:vAlign w:val="center"/>
          </w:tcPr>
          <w:p w14:paraId="10716201" w14:textId="45FCBF9E" w:rsidR="00D77B81" w:rsidRPr="00D77B81" w:rsidRDefault="00D77B81" w:rsidP="00D77B81">
            <w:pPr>
              <w:spacing w:before="0"/>
              <w:contextualSpacing/>
              <w:rPr>
                <w:sz w:val="20"/>
              </w:rPr>
            </w:pPr>
            <w:r w:rsidRPr="00D77B81">
              <w:rPr>
                <w:sz w:val="20"/>
              </w:rPr>
              <w:t xml:space="preserve">Construction and Mining Labourers </w:t>
            </w:r>
          </w:p>
        </w:tc>
        <w:tc>
          <w:tcPr>
            <w:tcW w:w="1276" w:type="dxa"/>
            <w:vAlign w:val="center"/>
          </w:tcPr>
          <w:p w14:paraId="68C96DEB" w14:textId="5596ED50" w:rsidR="00D77B81" w:rsidRPr="00D77B81" w:rsidRDefault="00D77B81" w:rsidP="00D77B81">
            <w:pPr>
              <w:spacing w:before="0"/>
              <w:contextualSpacing/>
              <w:jc w:val="center"/>
              <w:rPr>
                <w:sz w:val="20"/>
              </w:rPr>
            </w:pPr>
            <w:r w:rsidRPr="00D77B81">
              <w:rPr>
                <w:sz w:val="20"/>
              </w:rPr>
              <w:t>9</w:t>
            </w:r>
          </w:p>
        </w:tc>
      </w:tr>
      <w:tr w:rsidR="00082CAF" w:rsidRPr="00D77B81" w14:paraId="3D24EC26" w14:textId="77777777" w:rsidTr="00082CAF">
        <w:tc>
          <w:tcPr>
            <w:tcW w:w="5812" w:type="dxa"/>
            <w:vAlign w:val="center"/>
          </w:tcPr>
          <w:p w14:paraId="6F348E51" w14:textId="1A1AEA82" w:rsidR="00D77B81" w:rsidRPr="00D77B81" w:rsidRDefault="00D77B81" w:rsidP="00D77B81">
            <w:pPr>
              <w:spacing w:before="0"/>
              <w:contextualSpacing/>
              <w:rPr>
                <w:sz w:val="20"/>
              </w:rPr>
            </w:pPr>
            <w:r w:rsidRPr="00D77B81">
              <w:rPr>
                <w:sz w:val="20"/>
              </w:rPr>
              <w:t>Other Information and Organisation Professionals</w:t>
            </w:r>
          </w:p>
        </w:tc>
        <w:tc>
          <w:tcPr>
            <w:tcW w:w="1276" w:type="dxa"/>
            <w:vAlign w:val="center"/>
          </w:tcPr>
          <w:p w14:paraId="4E44B6C8" w14:textId="15A34BE7" w:rsidR="00D77B81" w:rsidRPr="00D77B81" w:rsidRDefault="00D77B81" w:rsidP="00D77B81">
            <w:pPr>
              <w:spacing w:before="0"/>
              <w:contextualSpacing/>
              <w:jc w:val="center"/>
              <w:rPr>
                <w:sz w:val="20"/>
              </w:rPr>
            </w:pPr>
            <w:r w:rsidRPr="00D77B81">
              <w:rPr>
                <w:sz w:val="20"/>
              </w:rPr>
              <w:t>8</w:t>
            </w:r>
          </w:p>
        </w:tc>
      </w:tr>
      <w:tr w:rsidR="00082CAF" w:rsidRPr="00D77B81" w14:paraId="715C83F4" w14:textId="77777777" w:rsidTr="00082CAF">
        <w:tc>
          <w:tcPr>
            <w:tcW w:w="5812" w:type="dxa"/>
            <w:vAlign w:val="center"/>
          </w:tcPr>
          <w:p w14:paraId="2D49C75E" w14:textId="34A3AC1E" w:rsidR="00D77B81" w:rsidRPr="00D77B81" w:rsidRDefault="00D77B81" w:rsidP="00D77B81">
            <w:pPr>
              <w:spacing w:before="0"/>
              <w:contextualSpacing/>
              <w:rPr>
                <w:sz w:val="20"/>
              </w:rPr>
            </w:pPr>
            <w:r w:rsidRPr="00D77B81">
              <w:rPr>
                <w:sz w:val="20"/>
              </w:rPr>
              <w:t>Other Miscellaneous Technicians and Trades Workers</w:t>
            </w:r>
          </w:p>
        </w:tc>
        <w:tc>
          <w:tcPr>
            <w:tcW w:w="1276" w:type="dxa"/>
            <w:vAlign w:val="center"/>
          </w:tcPr>
          <w:p w14:paraId="02722E07" w14:textId="060ED484" w:rsidR="00D77B81" w:rsidRPr="00D77B81" w:rsidRDefault="00D77B81" w:rsidP="00D77B81">
            <w:pPr>
              <w:spacing w:before="0"/>
              <w:contextualSpacing/>
              <w:jc w:val="center"/>
              <w:rPr>
                <w:sz w:val="20"/>
              </w:rPr>
            </w:pPr>
            <w:r w:rsidRPr="00D77B81">
              <w:rPr>
                <w:sz w:val="20"/>
              </w:rPr>
              <w:t>8</w:t>
            </w:r>
          </w:p>
        </w:tc>
      </w:tr>
      <w:tr w:rsidR="00082CAF" w:rsidRPr="00D77B81" w14:paraId="34360F95" w14:textId="77777777" w:rsidTr="00082CAF">
        <w:tc>
          <w:tcPr>
            <w:tcW w:w="5812" w:type="dxa"/>
            <w:vAlign w:val="center"/>
          </w:tcPr>
          <w:p w14:paraId="053F1771" w14:textId="01FB88B9" w:rsidR="00D77B81" w:rsidRPr="00D77B81" w:rsidRDefault="00D77B81" w:rsidP="00D77B81">
            <w:pPr>
              <w:spacing w:before="0"/>
              <w:contextualSpacing/>
              <w:rPr>
                <w:sz w:val="20"/>
              </w:rPr>
            </w:pPr>
            <w:r w:rsidRPr="00D77B81">
              <w:rPr>
                <w:sz w:val="20"/>
              </w:rPr>
              <w:t>Call or Contact Centre Workers</w:t>
            </w:r>
          </w:p>
        </w:tc>
        <w:tc>
          <w:tcPr>
            <w:tcW w:w="1276" w:type="dxa"/>
            <w:vAlign w:val="center"/>
          </w:tcPr>
          <w:p w14:paraId="6072EE8A" w14:textId="29B8E099" w:rsidR="00D77B81" w:rsidRPr="00D77B81" w:rsidRDefault="00D77B81" w:rsidP="00D77B81">
            <w:pPr>
              <w:spacing w:before="0"/>
              <w:contextualSpacing/>
              <w:jc w:val="center"/>
              <w:rPr>
                <w:sz w:val="20"/>
              </w:rPr>
            </w:pPr>
            <w:r w:rsidRPr="00D77B81">
              <w:rPr>
                <w:sz w:val="20"/>
              </w:rPr>
              <w:t>8</w:t>
            </w:r>
          </w:p>
        </w:tc>
      </w:tr>
      <w:tr w:rsidR="00082CAF" w:rsidRPr="00D77B81" w14:paraId="10EE591E" w14:textId="77777777" w:rsidTr="00082CAF">
        <w:tc>
          <w:tcPr>
            <w:tcW w:w="5812" w:type="dxa"/>
            <w:vAlign w:val="center"/>
          </w:tcPr>
          <w:p w14:paraId="19008CBD" w14:textId="348D1AB0" w:rsidR="00D77B81" w:rsidRPr="00D77B81" w:rsidRDefault="00D77B81" w:rsidP="00D77B81">
            <w:pPr>
              <w:spacing w:before="0"/>
              <w:contextualSpacing/>
              <w:rPr>
                <w:sz w:val="20"/>
              </w:rPr>
            </w:pPr>
            <w:r w:rsidRPr="00D77B81">
              <w:rPr>
                <w:sz w:val="20"/>
              </w:rPr>
              <w:t>Product Quality Controllers</w:t>
            </w:r>
          </w:p>
        </w:tc>
        <w:tc>
          <w:tcPr>
            <w:tcW w:w="1276" w:type="dxa"/>
            <w:vAlign w:val="center"/>
          </w:tcPr>
          <w:p w14:paraId="4523FEAF" w14:textId="244598E6" w:rsidR="00D77B81" w:rsidRPr="00D77B81" w:rsidRDefault="00D77B81" w:rsidP="00D77B81">
            <w:pPr>
              <w:spacing w:before="0"/>
              <w:contextualSpacing/>
              <w:jc w:val="center"/>
              <w:rPr>
                <w:sz w:val="20"/>
              </w:rPr>
            </w:pPr>
            <w:r w:rsidRPr="00D77B81">
              <w:rPr>
                <w:sz w:val="20"/>
              </w:rPr>
              <w:t>8</w:t>
            </w:r>
          </w:p>
        </w:tc>
      </w:tr>
      <w:tr w:rsidR="00082CAF" w:rsidRPr="00D77B81" w14:paraId="7DDC89DB" w14:textId="77777777" w:rsidTr="00082CAF">
        <w:tc>
          <w:tcPr>
            <w:tcW w:w="5812" w:type="dxa"/>
            <w:vAlign w:val="center"/>
          </w:tcPr>
          <w:p w14:paraId="22DD89B3" w14:textId="1D07638F" w:rsidR="00D77B81" w:rsidRPr="00D77B81" w:rsidRDefault="00D77B81" w:rsidP="00D77B81">
            <w:pPr>
              <w:spacing w:before="0"/>
              <w:contextualSpacing/>
              <w:rPr>
                <w:sz w:val="20"/>
              </w:rPr>
            </w:pPr>
            <w:r w:rsidRPr="00D77B81">
              <w:rPr>
                <w:sz w:val="20"/>
              </w:rPr>
              <w:t>Handypersons</w:t>
            </w:r>
          </w:p>
        </w:tc>
        <w:tc>
          <w:tcPr>
            <w:tcW w:w="1276" w:type="dxa"/>
            <w:vAlign w:val="center"/>
          </w:tcPr>
          <w:p w14:paraId="27F85B8A" w14:textId="3F831AAC" w:rsidR="00D77B81" w:rsidRPr="00D77B81" w:rsidRDefault="00D77B81" w:rsidP="00D77B81">
            <w:pPr>
              <w:spacing w:before="0"/>
              <w:contextualSpacing/>
              <w:jc w:val="center"/>
              <w:rPr>
                <w:sz w:val="20"/>
              </w:rPr>
            </w:pPr>
            <w:r w:rsidRPr="00D77B81">
              <w:rPr>
                <w:sz w:val="20"/>
              </w:rPr>
              <w:t>8</w:t>
            </w:r>
          </w:p>
        </w:tc>
      </w:tr>
      <w:tr w:rsidR="00082CAF" w:rsidRPr="00D77B81" w14:paraId="7B81C2D9" w14:textId="77777777" w:rsidTr="00082CAF">
        <w:tc>
          <w:tcPr>
            <w:tcW w:w="5812" w:type="dxa"/>
            <w:vAlign w:val="center"/>
          </w:tcPr>
          <w:p w14:paraId="10A196C4" w14:textId="23A31B64" w:rsidR="00D77B81" w:rsidRPr="00D77B81" w:rsidRDefault="00D77B81" w:rsidP="00D77B81">
            <w:pPr>
              <w:spacing w:before="0"/>
              <w:contextualSpacing/>
              <w:rPr>
                <w:sz w:val="20"/>
              </w:rPr>
            </w:pPr>
            <w:r w:rsidRPr="00D77B81">
              <w:rPr>
                <w:sz w:val="20"/>
              </w:rPr>
              <w:t>ICT Support Technicians</w:t>
            </w:r>
          </w:p>
        </w:tc>
        <w:tc>
          <w:tcPr>
            <w:tcW w:w="1276" w:type="dxa"/>
            <w:vAlign w:val="center"/>
          </w:tcPr>
          <w:p w14:paraId="22218897" w14:textId="435E9C2D" w:rsidR="00D77B81" w:rsidRPr="00D77B81" w:rsidRDefault="00D77B81" w:rsidP="00D77B81">
            <w:pPr>
              <w:spacing w:before="0"/>
              <w:contextualSpacing/>
              <w:jc w:val="center"/>
              <w:rPr>
                <w:sz w:val="20"/>
              </w:rPr>
            </w:pPr>
            <w:r w:rsidRPr="00D77B81">
              <w:rPr>
                <w:sz w:val="20"/>
              </w:rPr>
              <w:t>7</w:t>
            </w:r>
          </w:p>
        </w:tc>
      </w:tr>
      <w:tr w:rsidR="00082CAF" w:rsidRPr="00D77B81" w14:paraId="6FD972C5" w14:textId="77777777" w:rsidTr="00082CAF">
        <w:tc>
          <w:tcPr>
            <w:tcW w:w="5812" w:type="dxa"/>
            <w:vAlign w:val="center"/>
          </w:tcPr>
          <w:p w14:paraId="3C1CEF4D" w14:textId="0C4FECA3" w:rsidR="00D77B81" w:rsidRPr="00D77B81" w:rsidRDefault="00D77B81" w:rsidP="00D77B81">
            <w:pPr>
              <w:spacing w:before="0"/>
              <w:contextualSpacing/>
              <w:rPr>
                <w:sz w:val="20"/>
              </w:rPr>
            </w:pPr>
            <w:r w:rsidRPr="00D77B81">
              <w:rPr>
                <w:sz w:val="20"/>
              </w:rPr>
              <w:t xml:space="preserve">Construction Trades Workers </w:t>
            </w:r>
          </w:p>
        </w:tc>
        <w:tc>
          <w:tcPr>
            <w:tcW w:w="1276" w:type="dxa"/>
            <w:vAlign w:val="center"/>
          </w:tcPr>
          <w:p w14:paraId="3D15292D" w14:textId="7C2857C1" w:rsidR="00D77B81" w:rsidRPr="00D77B81" w:rsidRDefault="00D77B81" w:rsidP="00D77B81">
            <w:pPr>
              <w:spacing w:before="0"/>
              <w:contextualSpacing/>
              <w:jc w:val="center"/>
              <w:rPr>
                <w:sz w:val="20"/>
              </w:rPr>
            </w:pPr>
            <w:r w:rsidRPr="00D77B81">
              <w:rPr>
                <w:sz w:val="20"/>
              </w:rPr>
              <w:t>7</w:t>
            </w:r>
          </w:p>
        </w:tc>
      </w:tr>
      <w:tr w:rsidR="00082CAF" w:rsidRPr="00D77B81" w14:paraId="1C678778" w14:textId="77777777" w:rsidTr="00082CAF">
        <w:tc>
          <w:tcPr>
            <w:tcW w:w="5812" w:type="dxa"/>
            <w:vAlign w:val="center"/>
          </w:tcPr>
          <w:p w14:paraId="029956DA" w14:textId="7135F3B1" w:rsidR="00D77B81" w:rsidRPr="00D77B81" w:rsidRDefault="00D77B81" w:rsidP="00D77B81">
            <w:pPr>
              <w:spacing w:before="0"/>
              <w:contextualSpacing/>
              <w:rPr>
                <w:sz w:val="20"/>
              </w:rPr>
            </w:pPr>
            <w:r w:rsidRPr="00D77B81">
              <w:rPr>
                <w:sz w:val="20"/>
              </w:rPr>
              <w:t xml:space="preserve">Sales Assistants and Salespersons </w:t>
            </w:r>
          </w:p>
        </w:tc>
        <w:tc>
          <w:tcPr>
            <w:tcW w:w="1276" w:type="dxa"/>
            <w:vAlign w:val="center"/>
          </w:tcPr>
          <w:p w14:paraId="4FA58837" w14:textId="5C887F86" w:rsidR="00D77B81" w:rsidRPr="00D77B81" w:rsidRDefault="00D77B81" w:rsidP="00D77B81">
            <w:pPr>
              <w:spacing w:before="0"/>
              <w:contextualSpacing/>
              <w:jc w:val="center"/>
              <w:rPr>
                <w:sz w:val="20"/>
              </w:rPr>
            </w:pPr>
            <w:r w:rsidRPr="00D77B81">
              <w:rPr>
                <w:sz w:val="20"/>
              </w:rPr>
              <w:t>7</w:t>
            </w:r>
          </w:p>
        </w:tc>
      </w:tr>
      <w:tr w:rsidR="00082CAF" w:rsidRPr="00D77B81" w14:paraId="00FDBBD2" w14:textId="77777777" w:rsidTr="00082CAF">
        <w:tc>
          <w:tcPr>
            <w:tcW w:w="5812" w:type="dxa"/>
            <w:vAlign w:val="center"/>
          </w:tcPr>
          <w:p w14:paraId="4AC4B6C6" w14:textId="7B911509" w:rsidR="00D77B81" w:rsidRPr="00D77B81" w:rsidRDefault="00D77B81" w:rsidP="00D77B81">
            <w:pPr>
              <w:spacing w:before="0"/>
              <w:contextualSpacing/>
              <w:rPr>
                <w:sz w:val="20"/>
              </w:rPr>
            </w:pPr>
            <w:r w:rsidRPr="00D77B81">
              <w:rPr>
                <w:sz w:val="20"/>
              </w:rPr>
              <w:t>Research and Development Managers</w:t>
            </w:r>
          </w:p>
        </w:tc>
        <w:tc>
          <w:tcPr>
            <w:tcW w:w="1276" w:type="dxa"/>
            <w:vAlign w:val="center"/>
          </w:tcPr>
          <w:p w14:paraId="77A49BE6" w14:textId="07E106EA" w:rsidR="00D77B81" w:rsidRPr="00D77B81" w:rsidRDefault="00D77B81" w:rsidP="00D77B81">
            <w:pPr>
              <w:spacing w:before="0"/>
              <w:contextualSpacing/>
              <w:jc w:val="center"/>
              <w:rPr>
                <w:sz w:val="20"/>
              </w:rPr>
            </w:pPr>
            <w:r w:rsidRPr="00D77B81">
              <w:rPr>
                <w:sz w:val="20"/>
              </w:rPr>
              <w:t>6</w:t>
            </w:r>
          </w:p>
        </w:tc>
      </w:tr>
      <w:tr w:rsidR="00082CAF" w:rsidRPr="00D77B81" w14:paraId="1510652E" w14:textId="77777777" w:rsidTr="00082CAF">
        <w:tc>
          <w:tcPr>
            <w:tcW w:w="5812" w:type="dxa"/>
            <w:vAlign w:val="center"/>
          </w:tcPr>
          <w:p w14:paraId="211B251B" w14:textId="5ED2F03C" w:rsidR="00D77B81" w:rsidRPr="00D77B81" w:rsidRDefault="00D77B81" w:rsidP="00D77B81">
            <w:pPr>
              <w:spacing w:before="0"/>
              <w:contextualSpacing/>
              <w:rPr>
                <w:sz w:val="20"/>
              </w:rPr>
            </w:pPr>
            <w:r w:rsidRPr="00D77B81">
              <w:rPr>
                <w:sz w:val="20"/>
              </w:rPr>
              <w:t>Electrical Engineers</w:t>
            </w:r>
          </w:p>
        </w:tc>
        <w:tc>
          <w:tcPr>
            <w:tcW w:w="1276" w:type="dxa"/>
            <w:vAlign w:val="center"/>
          </w:tcPr>
          <w:p w14:paraId="296B5108" w14:textId="5D571499" w:rsidR="00D77B81" w:rsidRPr="00D77B81" w:rsidRDefault="00D77B81" w:rsidP="00D77B81">
            <w:pPr>
              <w:spacing w:before="0"/>
              <w:contextualSpacing/>
              <w:jc w:val="center"/>
              <w:rPr>
                <w:sz w:val="20"/>
              </w:rPr>
            </w:pPr>
            <w:r w:rsidRPr="00D77B81">
              <w:rPr>
                <w:sz w:val="20"/>
              </w:rPr>
              <w:t>6</w:t>
            </w:r>
          </w:p>
        </w:tc>
      </w:tr>
      <w:tr w:rsidR="00082CAF" w:rsidRPr="00D77B81" w14:paraId="21B5D4AC" w14:textId="77777777" w:rsidTr="00082CAF">
        <w:tc>
          <w:tcPr>
            <w:tcW w:w="5812" w:type="dxa"/>
            <w:vAlign w:val="center"/>
          </w:tcPr>
          <w:p w14:paraId="3106598F" w14:textId="70BE1383" w:rsidR="00D77B81" w:rsidRPr="00D77B81" w:rsidRDefault="00D77B81" w:rsidP="00D77B81">
            <w:pPr>
              <w:spacing w:before="0"/>
              <w:contextualSpacing/>
              <w:rPr>
                <w:sz w:val="20"/>
              </w:rPr>
            </w:pPr>
            <w:r w:rsidRPr="00D77B81">
              <w:rPr>
                <w:sz w:val="20"/>
              </w:rPr>
              <w:t>Software and Applications Programmers</w:t>
            </w:r>
          </w:p>
        </w:tc>
        <w:tc>
          <w:tcPr>
            <w:tcW w:w="1276" w:type="dxa"/>
            <w:vAlign w:val="center"/>
          </w:tcPr>
          <w:p w14:paraId="5BA69BDA" w14:textId="46FF71F0" w:rsidR="00D77B81" w:rsidRPr="00D77B81" w:rsidRDefault="00D77B81" w:rsidP="00D77B81">
            <w:pPr>
              <w:spacing w:before="0"/>
              <w:contextualSpacing/>
              <w:jc w:val="center"/>
              <w:rPr>
                <w:sz w:val="20"/>
              </w:rPr>
            </w:pPr>
            <w:r w:rsidRPr="00D77B81">
              <w:rPr>
                <w:sz w:val="20"/>
              </w:rPr>
              <w:t>6</w:t>
            </w:r>
          </w:p>
        </w:tc>
      </w:tr>
      <w:tr w:rsidR="00082CAF" w:rsidRPr="00D77B81" w14:paraId="60B1DC8D" w14:textId="77777777" w:rsidTr="00082CAF">
        <w:tc>
          <w:tcPr>
            <w:tcW w:w="5812" w:type="dxa"/>
            <w:vAlign w:val="center"/>
          </w:tcPr>
          <w:p w14:paraId="57AC9DCE" w14:textId="3DD2BC45" w:rsidR="00D77B81" w:rsidRPr="00D77B81" w:rsidRDefault="00D77B81" w:rsidP="00D77B81">
            <w:pPr>
              <w:spacing w:before="0"/>
              <w:contextualSpacing/>
              <w:rPr>
                <w:sz w:val="20"/>
              </w:rPr>
            </w:pPr>
            <w:r w:rsidRPr="00D77B81">
              <w:rPr>
                <w:sz w:val="20"/>
              </w:rPr>
              <w:t xml:space="preserve">Electronics and Telecommunications Trades Workers </w:t>
            </w:r>
          </w:p>
        </w:tc>
        <w:tc>
          <w:tcPr>
            <w:tcW w:w="1276" w:type="dxa"/>
            <w:vAlign w:val="center"/>
          </w:tcPr>
          <w:p w14:paraId="142EC114" w14:textId="610B6A59" w:rsidR="00D77B81" w:rsidRPr="00D77B81" w:rsidRDefault="00D77B81" w:rsidP="00D77B81">
            <w:pPr>
              <w:spacing w:before="0"/>
              <w:contextualSpacing/>
              <w:jc w:val="center"/>
              <w:rPr>
                <w:sz w:val="20"/>
              </w:rPr>
            </w:pPr>
            <w:r w:rsidRPr="00D77B81">
              <w:rPr>
                <w:sz w:val="20"/>
              </w:rPr>
              <w:t>5</w:t>
            </w:r>
          </w:p>
        </w:tc>
      </w:tr>
      <w:tr w:rsidR="00082CAF" w:rsidRPr="00D77B81" w14:paraId="79864CFB" w14:textId="77777777" w:rsidTr="00082CAF">
        <w:tc>
          <w:tcPr>
            <w:tcW w:w="5812" w:type="dxa"/>
            <w:vAlign w:val="center"/>
          </w:tcPr>
          <w:p w14:paraId="22670795" w14:textId="0DFBC582" w:rsidR="00D77B81" w:rsidRPr="00D77B81" w:rsidRDefault="00D77B81" w:rsidP="00D77B81">
            <w:pPr>
              <w:spacing w:before="0"/>
              <w:contextualSpacing/>
              <w:rPr>
                <w:sz w:val="20"/>
              </w:rPr>
            </w:pPr>
            <w:r w:rsidRPr="00D77B81">
              <w:rPr>
                <w:sz w:val="20"/>
              </w:rPr>
              <w:t>Debt Collectors</w:t>
            </w:r>
          </w:p>
        </w:tc>
        <w:tc>
          <w:tcPr>
            <w:tcW w:w="1276" w:type="dxa"/>
            <w:vAlign w:val="center"/>
          </w:tcPr>
          <w:p w14:paraId="659AAA5B" w14:textId="0ED4B24B" w:rsidR="00D77B81" w:rsidRPr="00D77B81" w:rsidRDefault="00D77B81" w:rsidP="00D77B81">
            <w:pPr>
              <w:spacing w:before="0"/>
              <w:contextualSpacing/>
              <w:jc w:val="center"/>
              <w:rPr>
                <w:sz w:val="20"/>
              </w:rPr>
            </w:pPr>
            <w:r w:rsidRPr="00D77B81">
              <w:rPr>
                <w:sz w:val="20"/>
              </w:rPr>
              <w:t>5</w:t>
            </w:r>
          </w:p>
        </w:tc>
      </w:tr>
      <w:tr w:rsidR="00082CAF" w:rsidRPr="00D77B81" w14:paraId="2292CBF5" w14:textId="77777777" w:rsidTr="00082CAF">
        <w:tc>
          <w:tcPr>
            <w:tcW w:w="5812" w:type="dxa"/>
            <w:vAlign w:val="center"/>
          </w:tcPr>
          <w:p w14:paraId="304436EA" w14:textId="10C8A537" w:rsidR="00D77B81" w:rsidRPr="00D77B81" w:rsidRDefault="00D77B81" w:rsidP="00D77B81">
            <w:pPr>
              <w:spacing w:before="0"/>
              <w:contextualSpacing/>
              <w:rPr>
                <w:sz w:val="20"/>
              </w:rPr>
            </w:pPr>
            <w:r w:rsidRPr="00D77B81">
              <w:rPr>
                <w:sz w:val="20"/>
              </w:rPr>
              <w:t>Other Miscellaneous Clerical and Administrative Workers</w:t>
            </w:r>
          </w:p>
        </w:tc>
        <w:tc>
          <w:tcPr>
            <w:tcW w:w="1276" w:type="dxa"/>
            <w:vAlign w:val="center"/>
          </w:tcPr>
          <w:p w14:paraId="43FB810E" w14:textId="7C76EAC5" w:rsidR="00D77B81" w:rsidRPr="00D77B81" w:rsidRDefault="00D77B81" w:rsidP="00D77B81">
            <w:pPr>
              <w:spacing w:before="0"/>
              <w:contextualSpacing/>
              <w:jc w:val="center"/>
              <w:rPr>
                <w:sz w:val="20"/>
              </w:rPr>
            </w:pPr>
            <w:r w:rsidRPr="00D77B81">
              <w:rPr>
                <w:sz w:val="20"/>
              </w:rPr>
              <w:t>5</w:t>
            </w:r>
          </w:p>
        </w:tc>
      </w:tr>
      <w:tr w:rsidR="00082CAF" w:rsidRPr="00D77B81" w14:paraId="0306D87D" w14:textId="77777777" w:rsidTr="00082CAF">
        <w:tc>
          <w:tcPr>
            <w:tcW w:w="5812" w:type="dxa"/>
            <w:vAlign w:val="center"/>
          </w:tcPr>
          <w:p w14:paraId="74A72F9F" w14:textId="791985D1" w:rsidR="00D77B81" w:rsidRPr="00D77B81" w:rsidRDefault="00D77B81" w:rsidP="00D77B81">
            <w:pPr>
              <w:spacing w:before="0"/>
              <w:contextualSpacing/>
              <w:rPr>
                <w:sz w:val="20"/>
              </w:rPr>
            </w:pPr>
            <w:r w:rsidRPr="00D77B81">
              <w:rPr>
                <w:sz w:val="20"/>
              </w:rPr>
              <w:t>Delivery Drivers</w:t>
            </w:r>
          </w:p>
        </w:tc>
        <w:tc>
          <w:tcPr>
            <w:tcW w:w="1276" w:type="dxa"/>
            <w:vAlign w:val="center"/>
          </w:tcPr>
          <w:p w14:paraId="4CDADAC0" w14:textId="632FA5AD" w:rsidR="00D77B81" w:rsidRPr="00D77B81" w:rsidRDefault="00D77B81" w:rsidP="00D77B81">
            <w:pPr>
              <w:spacing w:before="0"/>
              <w:contextualSpacing/>
              <w:jc w:val="center"/>
              <w:rPr>
                <w:sz w:val="20"/>
              </w:rPr>
            </w:pPr>
            <w:r w:rsidRPr="00D77B81">
              <w:rPr>
                <w:sz w:val="20"/>
              </w:rPr>
              <w:t>5</w:t>
            </w:r>
          </w:p>
        </w:tc>
      </w:tr>
      <w:tr w:rsidR="00082CAF" w:rsidRPr="00D77B81" w14:paraId="3BEF3535" w14:textId="77777777" w:rsidTr="00082CAF">
        <w:tc>
          <w:tcPr>
            <w:tcW w:w="5812" w:type="dxa"/>
            <w:vAlign w:val="center"/>
          </w:tcPr>
          <w:p w14:paraId="38ABD3A1" w14:textId="35F3B657" w:rsidR="00D77B81" w:rsidRPr="00D77B81" w:rsidRDefault="00D77B81" w:rsidP="00D77B81">
            <w:pPr>
              <w:spacing w:before="0"/>
              <w:contextualSpacing/>
              <w:rPr>
                <w:sz w:val="20"/>
              </w:rPr>
            </w:pPr>
            <w:r w:rsidRPr="00D77B81">
              <w:rPr>
                <w:sz w:val="20"/>
              </w:rPr>
              <w:t>Auditors, Company Secretaries and Corporate Treasurers</w:t>
            </w:r>
          </w:p>
        </w:tc>
        <w:tc>
          <w:tcPr>
            <w:tcW w:w="1276" w:type="dxa"/>
            <w:vAlign w:val="center"/>
          </w:tcPr>
          <w:p w14:paraId="32E2A560" w14:textId="61A6EEEF" w:rsidR="00D77B81" w:rsidRPr="00D77B81" w:rsidRDefault="00D77B81" w:rsidP="00D77B81">
            <w:pPr>
              <w:spacing w:before="0"/>
              <w:contextualSpacing/>
              <w:jc w:val="center"/>
              <w:rPr>
                <w:sz w:val="20"/>
              </w:rPr>
            </w:pPr>
            <w:r w:rsidRPr="00D77B81">
              <w:rPr>
                <w:sz w:val="20"/>
              </w:rPr>
              <w:t>4</w:t>
            </w:r>
          </w:p>
        </w:tc>
      </w:tr>
      <w:tr w:rsidR="00082CAF" w:rsidRPr="00D77B81" w14:paraId="69346C73" w14:textId="77777777" w:rsidTr="00082CAF">
        <w:tc>
          <w:tcPr>
            <w:tcW w:w="5812" w:type="dxa"/>
            <w:vAlign w:val="center"/>
          </w:tcPr>
          <w:p w14:paraId="62D90A38" w14:textId="588D7D5B" w:rsidR="00D77B81" w:rsidRPr="00D77B81" w:rsidRDefault="00D77B81" w:rsidP="00D77B81">
            <w:pPr>
              <w:spacing w:before="0"/>
              <w:contextualSpacing/>
              <w:rPr>
                <w:sz w:val="20"/>
              </w:rPr>
            </w:pPr>
            <w:r w:rsidRPr="00D77B81">
              <w:rPr>
                <w:sz w:val="20"/>
              </w:rPr>
              <w:t xml:space="preserve">Architects, Designers, Planners and Surveyors </w:t>
            </w:r>
          </w:p>
        </w:tc>
        <w:tc>
          <w:tcPr>
            <w:tcW w:w="1276" w:type="dxa"/>
            <w:vAlign w:val="center"/>
          </w:tcPr>
          <w:p w14:paraId="3B69E9A0" w14:textId="3623AE64" w:rsidR="00D77B81" w:rsidRPr="00D77B81" w:rsidRDefault="00D77B81" w:rsidP="00D77B81">
            <w:pPr>
              <w:spacing w:before="0"/>
              <w:contextualSpacing/>
              <w:jc w:val="center"/>
              <w:rPr>
                <w:sz w:val="20"/>
              </w:rPr>
            </w:pPr>
            <w:r w:rsidRPr="00D77B81">
              <w:rPr>
                <w:sz w:val="20"/>
              </w:rPr>
              <w:t>4</w:t>
            </w:r>
          </w:p>
        </w:tc>
      </w:tr>
      <w:tr w:rsidR="00082CAF" w:rsidRPr="00D77B81" w14:paraId="13BE001B" w14:textId="77777777" w:rsidTr="00082CAF">
        <w:tc>
          <w:tcPr>
            <w:tcW w:w="5812" w:type="dxa"/>
            <w:vAlign w:val="center"/>
          </w:tcPr>
          <w:p w14:paraId="2602C475" w14:textId="11E5F0BF" w:rsidR="00D77B81" w:rsidRPr="00D77B81" w:rsidRDefault="00D77B81" w:rsidP="00D77B81">
            <w:pPr>
              <w:spacing w:before="0"/>
              <w:contextualSpacing/>
              <w:rPr>
                <w:sz w:val="20"/>
              </w:rPr>
            </w:pPr>
            <w:r w:rsidRPr="00D77B81">
              <w:rPr>
                <w:sz w:val="20"/>
              </w:rPr>
              <w:t>Other Engineering Professionals</w:t>
            </w:r>
          </w:p>
        </w:tc>
        <w:tc>
          <w:tcPr>
            <w:tcW w:w="1276" w:type="dxa"/>
            <w:vAlign w:val="center"/>
          </w:tcPr>
          <w:p w14:paraId="53378389" w14:textId="3D518EA0" w:rsidR="00D77B81" w:rsidRPr="00D77B81" w:rsidRDefault="00D77B81" w:rsidP="00D77B81">
            <w:pPr>
              <w:spacing w:before="0"/>
              <w:contextualSpacing/>
              <w:jc w:val="center"/>
              <w:rPr>
                <w:sz w:val="20"/>
              </w:rPr>
            </w:pPr>
            <w:r w:rsidRPr="00D77B81">
              <w:rPr>
                <w:sz w:val="20"/>
              </w:rPr>
              <w:t>4</w:t>
            </w:r>
          </w:p>
        </w:tc>
      </w:tr>
      <w:tr w:rsidR="00082CAF" w:rsidRPr="00D77B81" w14:paraId="25804B00" w14:textId="77777777" w:rsidTr="00082CAF">
        <w:tc>
          <w:tcPr>
            <w:tcW w:w="5812" w:type="dxa"/>
            <w:vAlign w:val="center"/>
          </w:tcPr>
          <w:p w14:paraId="7B16BD68" w14:textId="7CD975A6" w:rsidR="00D77B81" w:rsidRPr="00D77B81" w:rsidRDefault="00D77B81" w:rsidP="00D77B81">
            <w:pPr>
              <w:spacing w:before="0"/>
              <w:contextualSpacing/>
              <w:rPr>
                <w:sz w:val="20"/>
              </w:rPr>
            </w:pPr>
            <w:r w:rsidRPr="00D77B81">
              <w:rPr>
                <w:sz w:val="20"/>
              </w:rPr>
              <w:t>ICT Business and Systems Analysts</w:t>
            </w:r>
          </w:p>
        </w:tc>
        <w:tc>
          <w:tcPr>
            <w:tcW w:w="1276" w:type="dxa"/>
            <w:vAlign w:val="center"/>
          </w:tcPr>
          <w:p w14:paraId="326D486D" w14:textId="3D83663A" w:rsidR="00D77B81" w:rsidRPr="00D77B81" w:rsidRDefault="00D77B81" w:rsidP="00D77B81">
            <w:pPr>
              <w:spacing w:before="0"/>
              <w:contextualSpacing/>
              <w:jc w:val="center"/>
              <w:rPr>
                <w:sz w:val="20"/>
              </w:rPr>
            </w:pPr>
            <w:r w:rsidRPr="00D77B81">
              <w:rPr>
                <w:sz w:val="20"/>
              </w:rPr>
              <w:t>4</w:t>
            </w:r>
          </w:p>
        </w:tc>
      </w:tr>
      <w:tr w:rsidR="00082CAF" w:rsidRPr="00D77B81" w14:paraId="03D26F22" w14:textId="77777777" w:rsidTr="00082CAF">
        <w:tc>
          <w:tcPr>
            <w:tcW w:w="5812" w:type="dxa"/>
            <w:vAlign w:val="center"/>
          </w:tcPr>
          <w:p w14:paraId="45CA0AD4" w14:textId="74F5A1E6" w:rsidR="00D77B81" w:rsidRPr="00D77B81" w:rsidRDefault="00D77B81" w:rsidP="00D77B81">
            <w:pPr>
              <w:spacing w:before="0"/>
              <w:contextualSpacing/>
              <w:rPr>
                <w:sz w:val="20"/>
              </w:rPr>
            </w:pPr>
            <w:r w:rsidRPr="00D77B81">
              <w:rPr>
                <w:sz w:val="20"/>
              </w:rPr>
              <w:t>Computer Network Professionals</w:t>
            </w:r>
          </w:p>
        </w:tc>
        <w:tc>
          <w:tcPr>
            <w:tcW w:w="1276" w:type="dxa"/>
            <w:vAlign w:val="center"/>
          </w:tcPr>
          <w:p w14:paraId="730E39F5" w14:textId="0E50E4CD" w:rsidR="00D77B81" w:rsidRPr="00D77B81" w:rsidRDefault="00D77B81" w:rsidP="00D77B81">
            <w:pPr>
              <w:spacing w:before="0"/>
              <w:contextualSpacing/>
              <w:jc w:val="center"/>
              <w:rPr>
                <w:sz w:val="20"/>
              </w:rPr>
            </w:pPr>
            <w:r w:rsidRPr="00D77B81">
              <w:rPr>
                <w:sz w:val="20"/>
              </w:rPr>
              <w:t>4</w:t>
            </w:r>
          </w:p>
        </w:tc>
      </w:tr>
      <w:tr w:rsidR="00082CAF" w:rsidRPr="00D77B81" w14:paraId="56AECC53" w14:textId="77777777" w:rsidTr="00082CAF">
        <w:tc>
          <w:tcPr>
            <w:tcW w:w="5812" w:type="dxa"/>
            <w:vAlign w:val="center"/>
          </w:tcPr>
          <w:p w14:paraId="3AFE1A08" w14:textId="470EE12D" w:rsidR="00D77B81" w:rsidRPr="00D77B81" w:rsidRDefault="00D77B81" w:rsidP="00D77B81">
            <w:pPr>
              <w:spacing w:before="0"/>
              <w:contextualSpacing/>
              <w:rPr>
                <w:sz w:val="20"/>
              </w:rPr>
            </w:pPr>
            <w:r w:rsidRPr="00D77B81">
              <w:rPr>
                <w:sz w:val="20"/>
              </w:rPr>
              <w:t xml:space="preserve">Clerical and Administrative Workers </w:t>
            </w:r>
          </w:p>
        </w:tc>
        <w:tc>
          <w:tcPr>
            <w:tcW w:w="1276" w:type="dxa"/>
            <w:vAlign w:val="center"/>
          </w:tcPr>
          <w:p w14:paraId="413984F7" w14:textId="7E459839" w:rsidR="00D77B81" w:rsidRPr="00D77B81" w:rsidRDefault="00D77B81" w:rsidP="00D77B81">
            <w:pPr>
              <w:spacing w:before="0"/>
              <w:contextualSpacing/>
              <w:jc w:val="center"/>
              <w:rPr>
                <w:sz w:val="20"/>
              </w:rPr>
            </w:pPr>
            <w:r w:rsidRPr="00D77B81">
              <w:rPr>
                <w:sz w:val="20"/>
              </w:rPr>
              <w:t>4</w:t>
            </w:r>
          </w:p>
        </w:tc>
      </w:tr>
      <w:tr w:rsidR="00082CAF" w:rsidRPr="00D77B81" w14:paraId="47C97542" w14:textId="77777777" w:rsidTr="00082CAF">
        <w:tc>
          <w:tcPr>
            <w:tcW w:w="5812" w:type="dxa"/>
            <w:vAlign w:val="center"/>
          </w:tcPr>
          <w:p w14:paraId="0AE168C4" w14:textId="20E16260" w:rsidR="00D77B81" w:rsidRPr="00D77B81" w:rsidRDefault="00D77B81" w:rsidP="00D77B81">
            <w:pPr>
              <w:spacing w:before="0"/>
              <w:contextualSpacing/>
              <w:rPr>
                <w:sz w:val="20"/>
              </w:rPr>
            </w:pPr>
            <w:r w:rsidRPr="00D77B81">
              <w:rPr>
                <w:sz w:val="20"/>
              </w:rPr>
              <w:t xml:space="preserve">Logistics Clerks </w:t>
            </w:r>
          </w:p>
        </w:tc>
        <w:tc>
          <w:tcPr>
            <w:tcW w:w="1276" w:type="dxa"/>
            <w:vAlign w:val="center"/>
          </w:tcPr>
          <w:p w14:paraId="047CEE2A" w14:textId="0EEB9DF8" w:rsidR="00D77B81" w:rsidRPr="00D77B81" w:rsidRDefault="00D77B81" w:rsidP="00D77B81">
            <w:pPr>
              <w:spacing w:before="0"/>
              <w:contextualSpacing/>
              <w:jc w:val="center"/>
              <w:rPr>
                <w:sz w:val="20"/>
              </w:rPr>
            </w:pPr>
            <w:r w:rsidRPr="00D77B81">
              <w:rPr>
                <w:sz w:val="20"/>
              </w:rPr>
              <w:t>4</w:t>
            </w:r>
          </w:p>
        </w:tc>
      </w:tr>
      <w:tr w:rsidR="00082CAF" w:rsidRPr="00D77B81" w14:paraId="3E5994B1" w14:textId="77777777" w:rsidTr="00082CAF">
        <w:tc>
          <w:tcPr>
            <w:tcW w:w="5812" w:type="dxa"/>
            <w:vAlign w:val="center"/>
          </w:tcPr>
          <w:p w14:paraId="16A44111" w14:textId="0187CD5A" w:rsidR="00D77B81" w:rsidRPr="00D77B81" w:rsidRDefault="00D77B81" w:rsidP="00D77B81">
            <w:pPr>
              <w:spacing w:before="0"/>
              <w:contextualSpacing/>
              <w:rPr>
                <w:sz w:val="20"/>
              </w:rPr>
            </w:pPr>
            <w:r w:rsidRPr="00D77B81">
              <w:rPr>
                <w:sz w:val="20"/>
              </w:rPr>
              <w:t xml:space="preserve">Sales Workers </w:t>
            </w:r>
          </w:p>
        </w:tc>
        <w:tc>
          <w:tcPr>
            <w:tcW w:w="1276" w:type="dxa"/>
            <w:vAlign w:val="center"/>
          </w:tcPr>
          <w:p w14:paraId="3660E5B8" w14:textId="30319DFF" w:rsidR="00D77B81" w:rsidRPr="00D77B81" w:rsidRDefault="00D77B81" w:rsidP="00D77B81">
            <w:pPr>
              <w:spacing w:before="0"/>
              <w:contextualSpacing/>
              <w:jc w:val="center"/>
              <w:rPr>
                <w:sz w:val="20"/>
              </w:rPr>
            </w:pPr>
            <w:r w:rsidRPr="00D77B81">
              <w:rPr>
                <w:sz w:val="20"/>
              </w:rPr>
              <w:t>4</w:t>
            </w:r>
          </w:p>
        </w:tc>
      </w:tr>
      <w:tr w:rsidR="00082CAF" w:rsidRPr="00D77B81" w14:paraId="30956FB0" w14:textId="77777777" w:rsidTr="00082CAF">
        <w:tc>
          <w:tcPr>
            <w:tcW w:w="5812" w:type="dxa"/>
            <w:vAlign w:val="center"/>
          </w:tcPr>
          <w:p w14:paraId="0DAA23C5" w14:textId="7A870F35" w:rsidR="00D77B81" w:rsidRPr="00D77B81" w:rsidRDefault="00D77B81" w:rsidP="00D77B81">
            <w:pPr>
              <w:spacing w:before="0"/>
              <w:contextualSpacing/>
              <w:rPr>
                <w:sz w:val="20"/>
              </w:rPr>
            </w:pPr>
            <w:r w:rsidRPr="00D77B81">
              <w:rPr>
                <w:sz w:val="20"/>
              </w:rPr>
              <w:t>Motor Vehicle and Vehicle Parts Salespersons</w:t>
            </w:r>
          </w:p>
        </w:tc>
        <w:tc>
          <w:tcPr>
            <w:tcW w:w="1276" w:type="dxa"/>
            <w:vAlign w:val="center"/>
          </w:tcPr>
          <w:p w14:paraId="532AEB65" w14:textId="2A5F6E59" w:rsidR="00D77B81" w:rsidRPr="00D77B81" w:rsidRDefault="00D77B81" w:rsidP="00D77B81">
            <w:pPr>
              <w:spacing w:before="0"/>
              <w:contextualSpacing/>
              <w:jc w:val="center"/>
              <w:rPr>
                <w:sz w:val="20"/>
              </w:rPr>
            </w:pPr>
            <w:r w:rsidRPr="00D77B81">
              <w:rPr>
                <w:sz w:val="20"/>
              </w:rPr>
              <w:t>4</w:t>
            </w:r>
          </w:p>
        </w:tc>
      </w:tr>
      <w:tr w:rsidR="00082CAF" w:rsidRPr="00D77B81" w14:paraId="40E28BF3" w14:textId="77777777" w:rsidTr="00082CAF">
        <w:tc>
          <w:tcPr>
            <w:tcW w:w="5812" w:type="dxa"/>
            <w:vAlign w:val="center"/>
          </w:tcPr>
          <w:p w14:paraId="6FEA7F49" w14:textId="2A191D2E" w:rsidR="00D77B81" w:rsidRPr="00D77B81" w:rsidRDefault="00D77B81" w:rsidP="00D77B81">
            <w:pPr>
              <w:spacing w:before="0"/>
              <w:contextualSpacing/>
              <w:rPr>
                <w:sz w:val="20"/>
              </w:rPr>
            </w:pPr>
            <w:r w:rsidRPr="00D77B81">
              <w:rPr>
                <w:sz w:val="20"/>
              </w:rPr>
              <w:t>Retail Supervisors</w:t>
            </w:r>
          </w:p>
        </w:tc>
        <w:tc>
          <w:tcPr>
            <w:tcW w:w="1276" w:type="dxa"/>
            <w:vAlign w:val="center"/>
          </w:tcPr>
          <w:p w14:paraId="1222173F" w14:textId="2081472D" w:rsidR="00D77B81" w:rsidRPr="00D77B81" w:rsidRDefault="00D77B81" w:rsidP="00D77B81">
            <w:pPr>
              <w:spacing w:before="0"/>
              <w:contextualSpacing/>
              <w:jc w:val="center"/>
              <w:rPr>
                <w:sz w:val="20"/>
              </w:rPr>
            </w:pPr>
            <w:r w:rsidRPr="00D77B81">
              <w:rPr>
                <w:sz w:val="20"/>
              </w:rPr>
              <w:t>4</w:t>
            </w:r>
          </w:p>
        </w:tc>
      </w:tr>
      <w:tr w:rsidR="00082CAF" w:rsidRPr="00D77B81" w14:paraId="0DD6027C" w14:textId="77777777" w:rsidTr="00082CAF">
        <w:tc>
          <w:tcPr>
            <w:tcW w:w="5812" w:type="dxa"/>
            <w:vAlign w:val="center"/>
          </w:tcPr>
          <w:p w14:paraId="4E1FCEBB" w14:textId="1A945E8B" w:rsidR="00D77B81" w:rsidRPr="00D77B81" w:rsidRDefault="00D77B81" w:rsidP="00D77B81">
            <w:pPr>
              <w:spacing w:before="0"/>
              <w:contextualSpacing/>
              <w:rPr>
                <w:sz w:val="20"/>
              </w:rPr>
            </w:pPr>
            <w:r w:rsidRPr="00D77B81">
              <w:rPr>
                <w:sz w:val="20"/>
              </w:rPr>
              <w:t>Other Sales Assistants and Salespersons</w:t>
            </w:r>
          </w:p>
        </w:tc>
        <w:tc>
          <w:tcPr>
            <w:tcW w:w="1276" w:type="dxa"/>
            <w:vAlign w:val="center"/>
          </w:tcPr>
          <w:p w14:paraId="354AB387" w14:textId="48FBC221" w:rsidR="00D77B81" w:rsidRPr="00D77B81" w:rsidRDefault="00D77B81" w:rsidP="00D77B81">
            <w:pPr>
              <w:spacing w:before="0"/>
              <w:contextualSpacing/>
              <w:jc w:val="center"/>
              <w:rPr>
                <w:sz w:val="20"/>
              </w:rPr>
            </w:pPr>
            <w:r w:rsidRPr="00D77B81">
              <w:rPr>
                <w:sz w:val="20"/>
              </w:rPr>
              <w:t>4</w:t>
            </w:r>
          </w:p>
        </w:tc>
      </w:tr>
      <w:tr w:rsidR="00082CAF" w:rsidRPr="00D77B81" w14:paraId="165C2247" w14:textId="77777777" w:rsidTr="00082CAF">
        <w:tc>
          <w:tcPr>
            <w:tcW w:w="5812" w:type="dxa"/>
            <w:vAlign w:val="center"/>
          </w:tcPr>
          <w:p w14:paraId="662A0A9D" w14:textId="7D533856" w:rsidR="00D77B81" w:rsidRPr="00D77B81" w:rsidRDefault="00D77B81" w:rsidP="00D77B81">
            <w:pPr>
              <w:spacing w:before="0"/>
              <w:contextualSpacing/>
              <w:rPr>
                <w:sz w:val="20"/>
              </w:rPr>
            </w:pPr>
            <w:r w:rsidRPr="00D77B81">
              <w:rPr>
                <w:sz w:val="20"/>
              </w:rPr>
              <w:t>Telemarketers</w:t>
            </w:r>
          </w:p>
        </w:tc>
        <w:tc>
          <w:tcPr>
            <w:tcW w:w="1276" w:type="dxa"/>
            <w:vAlign w:val="center"/>
          </w:tcPr>
          <w:p w14:paraId="75E61262" w14:textId="7CA53EF6" w:rsidR="00D77B81" w:rsidRPr="00D77B81" w:rsidRDefault="00D77B81" w:rsidP="00D77B81">
            <w:pPr>
              <w:spacing w:before="0"/>
              <w:contextualSpacing/>
              <w:jc w:val="center"/>
              <w:rPr>
                <w:sz w:val="20"/>
              </w:rPr>
            </w:pPr>
            <w:r w:rsidRPr="00D77B81">
              <w:rPr>
                <w:sz w:val="20"/>
              </w:rPr>
              <w:t>4</w:t>
            </w:r>
          </w:p>
        </w:tc>
      </w:tr>
      <w:tr w:rsidR="00082CAF" w:rsidRPr="00D77B81" w14:paraId="47F0FF5B" w14:textId="77777777" w:rsidTr="00082CAF">
        <w:tc>
          <w:tcPr>
            <w:tcW w:w="5812" w:type="dxa"/>
            <w:vAlign w:val="center"/>
          </w:tcPr>
          <w:p w14:paraId="1D4ED7C1" w14:textId="6A6D7028" w:rsidR="00D77B81" w:rsidRPr="00D77B81" w:rsidRDefault="00D77B81" w:rsidP="00D77B81">
            <w:pPr>
              <w:spacing w:before="0"/>
              <w:contextualSpacing/>
              <w:rPr>
                <w:sz w:val="20"/>
              </w:rPr>
            </w:pPr>
            <w:r w:rsidRPr="00D77B81">
              <w:rPr>
                <w:sz w:val="20"/>
              </w:rPr>
              <w:t>Textile and Footwear Production Machine Operators</w:t>
            </w:r>
          </w:p>
        </w:tc>
        <w:tc>
          <w:tcPr>
            <w:tcW w:w="1276" w:type="dxa"/>
            <w:vAlign w:val="center"/>
          </w:tcPr>
          <w:p w14:paraId="74B7BD95" w14:textId="03749410" w:rsidR="00D77B81" w:rsidRPr="00D77B81" w:rsidRDefault="00D77B81" w:rsidP="00D77B81">
            <w:pPr>
              <w:spacing w:before="0"/>
              <w:contextualSpacing/>
              <w:jc w:val="center"/>
              <w:rPr>
                <w:sz w:val="20"/>
              </w:rPr>
            </w:pPr>
            <w:r w:rsidRPr="00D77B81">
              <w:rPr>
                <w:sz w:val="20"/>
              </w:rPr>
              <w:t>4</w:t>
            </w:r>
          </w:p>
        </w:tc>
      </w:tr>
      <w:tr w:rsidR="00082CAF" w:rsidRPr="00D77B81" w14:paraId="0274DF85" w14:textId="77777777" w:rsidTr="00082CAF">
        <w:tc>
          <w:tcPr>
            <w:tcW w:w="5812" w:type="dxa"/>
            <w:vAlign w:val="center"/>
          </w:tcPr>
          <w:p w14:paraId="03811436" w14:textId="2A60E203" w:rsidR="00D77B81" w:rsidRPr="00D77B81" w:rsidRDefault="00D77B81" w:rsidP="00D77B81">
            <w:pPr>
              <w:spacing w:before="0"/>
              <w:contextualSpacing/>
              <w:rPr>
                <w:sz w:val="20"/>
              </w:rPr>
            </w:pPr>
            <w:r w:rsidRPr="00D77B81">
              <w:rPr>
                <w:sz w:val="20"/>
              </w:rPr>
              <w:lastRenderedPageBreak/>
              <w:t>Other Stationary Plant Operators</w:t>
            </w:r>
          </w:p>
        </w:tc>
        <w:tc>
          <w:tcPr>
            <w:tcW w:w="1276" w:type="dxa"/>
            <w:vAlign w:val="center"/>
          </w:tcPr>
          <w:p w14:paraId="09F12068" w14:textId="61CB4968" w:rsidR="00D77B81" w:rsidRPr="00D77B81" w:rsidRDefault="00D77B81" w:rsidP="00D77B81">
            <w:pPr>
              <w:spacing w:before="0"/>
              <w:contextualSpacing/>
              <w:jc w:val="center"/>
              <w:rPr>
                <w:sz w:val="20"/>
              </w:rPr>
            </w:pPr>
            <w:r w:rsidRPr="00D77B81">
              <w:rPr>
                <w:sz w:val="20"/>
              </w:rPr>
              <w:t>4</w:t>
            </w:r>
          </w:p>
        </w:tc>
      </w:tr>
      <w:tr w:rsidR="00082CAF" w:rsidRPr="00D77B81" w14:paraId="6556B688" w14:textId="77777777" w:rsidTr="00082CAF">
        <w:tc>
          <w:tcPr>
            <w:tcW w:w="5812" w:type="dxa"/>
            <w:vAlign w:val="center"/>
          </w:tcPr>
          <w:p w14:paraId="58AFAB76" w14:textId="51DDAC51" w:rsidR="00D77B81" w:rsidRPr="00D77B81" w:rsidRDefault="00D77B81" w:rsidP="00D77B81">
            <w:pPr>
              <w:spacing w:before="0"/>
              <w:contextualSpacing/>
              <w:rPr>
                <w:sz w:val="20"/>
              </w:rPr>
            </w:pPr>
            <w:r w:rsidRPr="00D77B81">
              <w:rPr>
                <w:sz w:val="20"/>
              </w:rPr>
              <w:t xml:space="preserve">Cleaners and Laundry Workers </w:t>
            </w:r>
          </w:p>
        </w:tc>
        <w:tc>
          <w:tcPr>
            <w:tcW w:w="1276" w:type="dxa"/>
            <w:vAlign w:val="center"/>
          </w:tcPr>
          <w:p w14:paraId="6651A5E9" w14:textId="02B91AD3" w:rsidR="00D77B81" w:rsidRPr="00D77B81" w:rsidRDefault="00D77B81" w:rsidP="00D77B81">
            <w:pPr>
              <w:spacing w:before="0"/>
              <w:contextualSpacing/>
              <w:jc w:val="center"/>
              <w:rPr>
                <w:sz w:val="20"/>
              </w:rPr>
            </w:pPr>
            <w:r w:rsidRPr="00D77B81">
              <w:rPr>
                <w:sz w:val="20"/>
              </w:rPr>
              <w:t>4</w:t>
            </w:r>
          </w:p>
        </w:tc>
      </w:tr>
      <w:tr w:rsidR="00082CAF" w:rsidRPr="00D77B81" w14:paraId="220809DD" w14:textId="77777777" w:rsidTr="00082CAF">
        <w:tc>
          <w:tcPr>
            <w:tcW w:w="5812" w:type="dxa"/>
            <w:vAlign w:val="center"/>
          </w:tcPr>
          <w:p w14:paraId="4AA565E8" w14:textId="4028893A" w:rsidR="00D77B81" w:rsidRPr="00D77B81" w:rsidRDefault="00D77B81" w:rsidP="00D77B81">
            <w:pPr>
              <w:spacing w:before="0"/>
              <w:contextualSpacing/>
              <w:rPr>
                <w:sz w:val="20"/>
              </w:rPr>
            </w:pPr>
            <w:r w:rsidRPr="00D77B81">
              <w:rPr>
                <w:sz w:val="20"/>
              </w:rPr>
              <w:t xml:space="preserve">Miscellaneous Factory Process Workers </w:t>
            </w:r>
          </w:p>
        </w:tc>
        <w:tc>
          <w:tcPr>
            <w:tcW w:w="1276" w:type="dxa"/>
            <w:vAlign w:val="center"/>
          </w:tcPr>
          <w:p w14:paraId="464361B4" w14:textId="3F01A19F" w:rsidR="00D77B81" w:rsidRPr="00D77B81" w:rsidRDefault="00D77B81" w:rsidP="00D77B81">
            <w:pPr>
              <w:spacing w:before="0"/>
              <w:contextualSpacing/>
              <w:jc w:val="center"/>
              <w:rPr>
                <w:sz w:val="20"/>
              </w:rPr>
            </w:pPr>
            <w:r w:rsidRPr="00D77B81">
              <w:rPr>
                <w:sz w:val="20"/>
              </w:rPr>
              <w:t>4</w:t>
            </w:r>
          </w:p>
        </w:tc>
      </w:tr>
      <w:tr w:rsidR="00082CAF" w:rsidRPr="00D77B81" w14:paraId="594E0384" w14:textId="77777777" w:rsidTr="00082CAF">
        <w:tc>
          <w:tcPr>
            <w:tcW w:w="5812" w:type="dxa"/>
            <w:vAlign w:val="center"/>
          </w:tcPr>
          <w:p w14:paraId="296F241A" w14:textId="3CA22535" w:rsidR="00D77B81" w:rsidRPr="00D77B81" w:rsidRDefault="00D77B81" w:rsidP="00D77B81">
            <w:pPr>
              <w:spacing w:before="0"/>
              <w:contextualSpacing/>
              <w:rPr>
                <w:sz w:val="20"/>
              </w:rPr>
            </w:pPr>
            <w:r w:rsidRPr="00D77B81">
              <w:rPr>
                <w:sz w:val="20"/>
              </w:rPr>
              <w:t>Livestock Farmers</w:t>
            </w:r>
          </w:p>
        </w:tc>
        <w:tc>
          <w:tcPr>
            <w:tcW w:w="1276" w:type="dxa"/>
            <w:vAlign w:val="center"/>
          </w:tcPr>
          <w:p w14:paraId="27C8B17E" w14:textId="337A30EE" w:rsidR="00D77B81" w:rsidRPr="00D77B81" w:rsidRDefault="00D77B81" w:rsidP="00D77B81">
            <w:pPr>
              <w:spacing w:before="0"/>
              <w:contextualSpacing/>
              <w:jc w:val="center"/>
              <w:rPr>
                <w:sz w:val="20"/>
              </w:rPr>
            </w:pPr>
            <w:r w:rsidRPr="00D77B81">
              <w:rPr>
                <w:sz w:val="20"/>
              </w:rPr>
              <w:t>3</w:t>
            </w:r>
          </w:p>
        </w:tc>
      </w:tr>
      <w:tr w:rsidR="00082CAF" w:rsidRPr="00D77B81" w14:paraId="208FC0E1" w14:textId="77777777" w:rsidTr="00082CAF">
        <w:tc>
          <w:tcPr>
            <w:tcW w:w="5812" w:type="dxa"/>
            <w:vAlign w:val="center"/>
          </w:tcPr>
          <w:p w14:paraId="20E9C981" w14:textId="71B3E9A8" w:rsidR="00D77B81" w:rsidRPr="00D77B81" w:rsidRDefault="00D77B81" w:rsidP="00D77B81">
            <w:pPr>
              <w:spacing w:before="0"/>
              <w:contextualSpacing/>
              <w:rPr>
                <w:sz w:val="20"/>
              </w:rPr>
            </w:pPr>
            <w:r w:rsidRPr="00D77B81">
              <w:rPr>
                <w:sz w:val="20"/>
              </w:rPr>
              <w:t>Commissioned Officers (Management)</w:t>
            </w:r>
          </w:p>
        </w:tc>
        <w:tc>
          <w:tcPr>
            <w:tcW w:w="1276" w:type="dxa"/>
            <w:vAlign w:val="center"/>
          </w:tcPr>
          <w:p w14:paraId="43E41894" w14:textId="1E17D203" w:rsidR="00D77B81" w:rsidRPr="00D77B81" w:rsidRDefault="00D77B81" w:rsidP="00D77B81">
            <w:pPr>
              <w:spacing w:before="0"/>
              <w:contextualSpacing/>
              <w:jc w:val="center"/>
              <w:rPr>
                <w:sz w:val="20"/>
              </w:rPr>
            </w:pPr>
            <w:r w:rsidRPr="00D77B81">
              <w:rPr>
                <w:sz w:val="20"/>
              </w:rPr>
              <w:t>3</w:t>
            </w:r>
          </w:p>
        </w:tc>
      </w:tr>
      <w:tr w:rsidR="00082CAF" w:rsidRPr="00D77B81" w14:paraId="2F7F6513" w14:textId="77777777" w:rsidTr="00082CAF">
        <w:tc>
          <w:tcPr>
            <w:tcW w:w="5812" w:type="dxa"/>
            <w:vAlign w:val="center"/>
          </w:tcPr>
          <w:p w14:paraId="45E74CC8" w14:textId="6E25474A" w:rsidR="00D77B81" w:rsidRPr="00D77B81" w:rsidRDefault="00D77B81" w:rsidP="00D77B81">
            <w:pPr>
              <w:spacing w:before="0"/>
              <w:contextualSpacing/>
              <w:rPr>
                <w:sz w:val="20"/>
              </w:rPr>
            </w:pPr>
            <w:r w:rsidRPr="00D77B81">
              <w:rPr>
                <w:sz w:val="20"/>
              </w:rPr>
              <w:t xml:space="preserve">Hospitality, Retail and Service Managers </w:t>
            </w:r>
          </w:p>
        </w:tc>
        <w:tc>
          <w:tcPr>
            <w:tcW w:w="1276" w:type="dxa"/>
            <w:vAlign w:val="center"/>
          </w:tcPr>
          <w:p w14:paraId="557974B7" w14:textId="48AFAC50" w:rsidR="00D77B81" w:rsidRPr="00D77B81" w:rsidRDefault="00D77B81" w:rsidP="00D77B81">
            <w:pPr>
              <w:spacing w:before="0"/>
              <w:contextualSpacing/>
              <w:jc w:val="center"/>
              <w:rPr>
                <w:sz w:val="20"/>
              </w:rPr>
            </w:pPr>
            <w:r w:rsidRPr="00D77B81">
              <w:rPr>
                <w:sz w:val="20"/>
              </w:rPr>
              <w:t>3</w:t>
            </w:r>
          </w:p>
        </w:tc>
      </w:tr>
      <w:tr w:rsidR="00082CAF" w:rsidRPr="00D77B81" w14:paraId="61727102" w14:textId="77777777" w:rsidTr="00082CAF">
        <w:tc>
          <w:tcPr>
            <w:tcW w:w="5812" w:type="dxa"/>
            <w:vAlign w:val="center"/>
          </w:tcPr>
          <w:p w14:paraId="45556684" w14:textId="1672462B" w:rsidR="00D77B81" w:rsidRPr="00D77B81" w:rsidRDefault="00D77B81" w:rsidP="00D77B81">
            <w:pPr>
              <w:spacing w:before="0"/>
              <w:contextualSpacing/>
              <w:rPr>
                <w:sz w:val="20"/>
              </w:rPr>
            </w:pPr>
            <w:r w:rsidRPr="00D77B81">
              <w:rPr>
                <w:sz w:val="20"/>
              </w:rPr>
              <w:t>Transport Services Managers</w:t>
            </w:r>
          </w:p>
        </w:tc>
        <w:tc>
          <w:tcPr>
            <w:tcW w:w="1276" w:type="dxa"/>
            <w:vAlign w:val="center"/>
          </w:tcPr>
          <w:p w14:paraId="784A9CE8" w14:textId="38FA8F93" w:rsidR="00D77B81" w:rsidRPr="00D77B81" w:rsidRDefault="00D77B81" w:rsidP="00D77B81">
            <w:pPr>
              <w:spacing w:before="0"/>
              <w:contextualSpacing/>
              <w:jc w:val="center"/>
              <w:rPr>
                <w:sz w:val="20"/>
              </w:rPr>
            </w:pPr>
            <w:r w:rsidRPr="00D77B81">
              <w:rPr>
                <w:sz w:val="20"/>
              </w:rPr>
              <w:t>3</w:t>
            </w:r>
          </w:p>
        </w:tc>
      </w:tr>
      <w:tr w:rsidR="00082CAF" w:rsidRPr="00D77B81" w14:paraId="1F215360" w14:textId="77777777" w:rsidTr="00082CAF">
        <w:tc>
          <w:tcPr>
            <w:tcW w:w="5812" w:type="dxa"/>
            <w:vAlign w:val="center"/>
          </w:tcPr>
          <w:p w14:paraId="7E6635F6" w14:textId="272CDE31" w:rsidR="00D77B81" w:rsidRPr="00D77B81" w:rsidRDefault="00D77B81" w:rsidP="00D77B81">
            <w:pPr>
              <w:spacing w:before="0"/>
              <w:contextualSpacing/>
              <w:rPr>
                <w:sz w:val="20"/>
              </w:rPr>
            </w:pPr>
            <w:r w:rsidRPr="00D77B81">
              <w:rPr>
                <w:sz w:val="20"/>
              </w:rPr>
              <w:t xml:space="preserve">Professionals </w:t>
            </w:r>
          </w:p>
        </w:tc>
        <w:tc>
          <w:tcPr>
            <w:tcW w:w="1276" w:type="dxa"/>
            <w:vAlign w:val="center"/>
          </w:tcPr>
          <w:p w14:paraId="32310F36" w14:textId="0EE50FA5" w:rsidR="00D77B81" w:rsidRPr="00D77B81" w:rsidRDefault="00D77B81" w:rsidP="00D77B81">
            <w:pPr>
              <w:spacing w:before="0"/>
              <w:contextualSpacing/>
              <w:jc w:val="center"/>
              <w:rPr>
                <w:sz w:val="20"/>
              </w:rPr>
            </w:pPr>
            <w:r w:rsidRPr="00D77B81">
              <w:rPr>
                <w:sz w:val="20"/>
              </w:rPr>
              <w:t>3</w:t>
            </w:r>
          </w:p>
        </w:tc>
      </w:tr>
      <w:tr w:rsidR="00082CAF" w:rsidRPr="00D77B81" w14:paraId="60C72BA7" w14:textId="77777777" w:rsidTr="00082CAF">
        <w:tc>
          <w:tcPr>
            <w:tcW w:w="5812" w:type="dxa"/>
            <w:vAlign w:val="center"/>
          </w:tcPr>
          <w:p w14:paraId="5C884BA9" w14:textId="0495E9B6" w:rsidR="00D77B81" w:rsidRPr="00D77B81" w:rsidRDefault="00D77B81" w:rsidP="00D77B81">
            <w:pPr>
              <w:spacing w:before="0"/>
              <w:contextualSpacing/>
              <w:rPr>
                <w:sz w:val="20"/>
              </w:rPr>
            </w:pPr>
            <w:r w:rsidRPr="00D77B81">
              <w:rPr>
                <w:sz w:val="20"/>
              </w:rPr>
              <w:t>Public Relations Professionals</w:t>
            </w:r>
          </w:p>
        </w:tc>
        <w:tc>
          <w:tcPr>
            <w:tcW w:w="1276" w:type="dxa"/>
            <w:vAlign w:val="center"/>
          </w:tcPr>
          <w:p w14:paraId="73CB7EAA" w14:textId="0633AA83" w:rsidR="00D77B81" w:rsidRPr="00D77B81" w:rsidRDefault="00D77B81" w:rsidP="00D77B81">
            <w:pPr>
              <w:spacing w:before="0"/>
              <w:contextualSpacing/>
              <w:jc w:val="center"/>
              <w:rPr>
                <w:sz w:val="20"/>
              </w:rPr>
            </w:pPr>
            <w:r w:rsidRPr="00D77B81">
              <w:rPr>
                <w:sz w:val="20"/>
              </w:rPr>
              <w:t>3</w:t>
            </w:r>
          </w:p>
        </w:tc>
      </w:tr>
      <w:tr w:rsidR="00082CAF" w:rsidRPr="00D77B81" w14:paraId="3178912A" w14:textId="77777777" w:rsidTr="00082CAF">
        <w:tc>
          <w:tcPr>
            <w:tcW w:w="5812" w:type="dxa"/>
            <w:vAlign w:val="center"/>
          </w:tcPr>
          <w:p w14:paraId="3637687C" w14:textId="7F54BE76" w:rsidR="00D77B81" w:rsidRPr="00D77B81" w:rsidRDefault="00D77B81" w:rsidP="00D77B81">
            <w:pPr>
              <w:spacing w:before="0"/>
              <w:contextualSpacing/>
              <w:rPr>
                <w:sz w:val="20"/>
              </w:rPr>
            </w:pPr>
            <w:r w:rsidRPr="00D77B81">
              <w:rPr>
                <w:sz w:val="20"/>
              </w:rPr>
              <w:t xml:space="preserve">ICT Professionals </w:t>
            </w:r>
          </w:p>
        </w:tc>
        <w:tc>
          <w:tcPr>
            <w:tcW w:w="1276" w:type="dxa"/>
            <w:vAlign w:val="center"/>
          </w:tcPr>
          <w:p w14:paraId="06B0389D" w14:textId="19960ED6" w:rsidR="00D77B81" w:rsidRPr="00D77B81" w:rsidRDefault="00D77B81" w:rsidP="00D77B81">
            <w:pPr>
              <w:spacing w:before="0"/>
              <w:contextualSpacing/>
              <w:jc w:val="center"/>
              <w:rPr>
                <w:sz w:val="20"/>
              </w:rPr>
            </w:pPr>
            <w:r w:rsidRPr="00D77B81">
              <w:rPr>
                <w:sz w:val="20"/>
              </w:rPr>
              <w:t>3</w:t>
            </w:r>
          </w:p>
        </w:tc>
      </w:tr>
      <w:tr w:rsidR="00082CAF" w:rsidRPr="00D77B81" w14:paraId="2A99CC96" w14:textId="77777777" w:rsidTr="00082CAF">
        <w:tc>
          <w:tcPr>
            <w:tcW w:w="5812" w:type="dxa"/>
            <w:vAlign w:val="center"/>
          </w:tcPr>
          <w:p w14:paraId="7965BF96" w14:textId="2CC3E4CF" w:rsidR="00D77B81" w:rsidRPr="00D77B81" w:rsidRDefault="00D77B81" w:rsidP="00D77B81">
            <w:pPr>
              <w:spacing w:before="0"/>
              <w:contextualSpacing/>
              <w:rPr>
                <w:sz w:val="20"/>
              </w:rPr>
            </w:pPr>
            <w:r w:rsidRPr="00D77B81">
              <w:rPr>
                <w:sz w:val="20"/>
              </w:rPr>
              <w:t>Database and Systems Administrators, and ICT Security Specialists</w:t>
            </w:r>
          </w:p>
        </w:tc>
        <w:tc>
          <w:tcPr>
            <w:tcW w:w="1276" w:type="dxa"/>
            <w:vAlign w:val="center"/>
          </w:tcPr>
          <w:p w14:paraId="4F73DAB2" w14:textId="722DB476" w:rsidR="00D77B81" w:rsidRPr="00D77B81" w:rsidRDefault="00D77B81" w:rsidP="00D77B81">
            <w:pPr>
              <w:spacing w:before="0"/>
              <w:contextualSpacing/>
              <w:jc w:val="center"/>
              <w:rPr>
                <w:sz w:val="20"/>
              </w:rPr>
            </w:pPr>
            <w:r w:rsidRPr="00D77B81">
              <w:rPr>
                <w:sz w:val="20"/>
              </w:rPr>
              <w:t>3</w:t>
            </w:r>
          </w:p>
        </w:tc>
      </w:tr>
      <w:tr w:rsidR="00082CAF" w:rsidRPr="00D77B81" w14:paraId="55899476" w14:textId="77777777" w:rsidTr="00082CAF">
        <w:tc>
          <w:tcPr>
            <w:tcW w:w="5812" w:type="dxa"/>
            <w:vAlign w:val="center"/>
          </w:tcPr>
          <w:p w14:paraId="694A5BE0" w14:textId="711BABB3" w:rsidR="00D77B81" w:rsidRPr="00D77B81" w:rsidRDefault="00D77B81" w:rsidP="00D77B81">
            <w:pPr>
              <w:spacing w:before="0"/>
              <w:contextualSpacing/>
              <w:rPr>
                <w:sz w:val="20"/>
              </w:rPr>
            </w:pPr>
            <w:r w:rsidRPr="00D77B81">
              <w:rPr>
                <w:sz w:val="20"/>
              </w:rPr>
              <w:t xml:space="preserve">Engineering, ICT and Science Technicians </w:t>
            </w:r>
          </w:p>
        </w:tc>
        <w:tc>
          <w:tcPr>
            <w:tcW w:w="1276" w:type="dxa"/>
            <w:vAlign w:val="center"/>
          </w:tcPr>
          <w:p w14:paraId="64B381DB" w14:textId="2E945DB9" w:rsidR="00D77B81" w:rsidRPr="00D77B81" w:rsidRDefault="00D77B81" w:rsidP="00D77B81">
            <w:pPr>
              <w:spacing w:before="0"/>
              <w:contextualSpacing/>
              <w:jc w:val="center"/>
              <w:rPr>
                <w:sz w:val="20"/>
              </w:rPr>
            </w:pPr>
            <w:r w:rsidRPr="00D77B81">
              <w:rPr>
                <w:sz w:val="20"/>
              </w:rPr>
              <w:t>3</w:t>
            </w:r>
          </w:p>
        </w:tc>
      </w:tr>
      <w:tr w:rsidR="00082CAF" w:rsidRPr="00D77B81" w14:paraId="3B7D063D" w14:textId="77777777" w:rsidTr="00082CAF">
        <w:tc>
          <w:tcPr>
            <w:tcW w:w="5812" w:type="dxa"/>
            <w:vAlign w:val="center"/>
          </w:tcPr>
          <w:p w14:paraId="1A114DE8" w14:textId="0CDC5E86" w:rsidR="00D77B81" w:rsidRPr="00D77B81" w:rsidRDefault="00D77B81" w:rsidP="00D77B81">
            <w:pPr>
              <w:spacing w:before="0"/>
              <w:contextualSpacing/>
              <w:rPr>
                <w:sz w:val="20"/>
              </w:rPr>
            </w:pPr>
            <w:r w:rsidRPr="00D77B81">
              <w:rPr>
                <w:sz w:val="20"/>
              </w:rPr>
              <w:t>Science Technicians</w:t>
            </w:r>
          </w:p>
        </w:tc>
        <w:tc>
          <w:tcPr>
            <w:tcW w:w="1276" w:type="dxa"/>
            <w:vAlign w:val="center"/>
          </w:tcPr>
          <w:p w14:paraId="24E68B5C" w14:textId="7D22E5C3" w:rsidR="00D77B81" w:rsidRPr="00D77B81" w:rsidRDefault="00D77B81" w:rsidP="00D77B81">
            <w:pPr>
              <w:spacing w:before="0"/>
              <w:contextualSpacing/>
              <w:jc w:val="center"/>
              <w:rPr>
                <w:sz w:val="20"/>
              </w:rPr>
            </w:pPr>
            <w:r w:rsidRPr="00D77B81">
              <w:rPr>
                <w:sz w:val="20"/>
              </w:rPr>
              <w:t>3</w:t>
            </w:r>
          </w:p>
        </w:tc>
      </w:tr>
      <w:tr w:rsidR="00082CAF" w:rsidRPr="00D77B81" w14:paraId="521F1313" w14:textId="77777777" w:rsidTr="00082CAF">
        <w:tc>
          <w:tcPr>
            <w:tcW w:w="5812" w:type="dxa"/>
            <w:vAlign w:val="center"/>
          </w:tcPr>
          <w:p w14:paraId="46652661" w14:textId="3ED554B0" w:rsidR="00D77B81" w:rsidRPr="00D77B81" w:rsidRDefault="00D77B81" w:rsidP="00D77B81">
            <w:pPr>
              <w:spacing w:before="0"/>
              <w:contextualSpacing/>
              <w:rPr>
                <w:sz w:val="20"/>
              </w:rPr>
            </w:pPr>
            <w:r w:rsidRPr="00D77B81">
              <w:rPr>
                <w:sz w:val="20"/>
              </w:rPr>
              <w:t>Other Building and Engineering Technicians</w:t>
            </w:r>
          </w:p>
        </w:tc>
        <w:tc>
          <w:tcPr>
            <w:tcW w:w="1276" w:type="dxa"/>
            <w:vAlign w:val="center"/>
          </w:tcPr>
          <w:p w14:paraId="317E375F" w14:textId="191EBEAE" w:rsidR="00D77B81" w:rsidRPr="00D77B81" w:rsidRDefault="00D77B81" w:rsidP="00D77B81">
            <w:pPr>
              <w:spacing w:before="0"/>
              <w:contextualSpacing/>
              <w:jc w:val="center"/>
              <w:rPr>
                <w:sz w:val="20"/>
              </w:rPr>
            </w:pPr>
            <w:r w:rsidRPr="00D77B81">
              <w:rPr>
                <w:sz w:val="20"/>
              </w:rPr>
              <w:t>3</w:t>
            </w:r>
          </w:p>
        </w:tc>
      </w:tr>
      <w:tr w:rsidR="00082CAF" w:rsidRPr="00D77B81" w14:paraId="07601706" w14:textId="77777777" w:rsidTr="00082CAF">
        <w:tc>
          <w:tcPr>
            <w:tcW w:w="5812" w:type="dxa"/>
            <w:vAlign w:val="center"/>
          </w:tcPr>
          <w:p w14:paraId="0D2B9865" w14:textId="4D96F587" w:rsidR="00D77B81" w:rsidRPr="00D77B81" w:rsidRDefault="00D77B81" w:rsidP="00D77B81">
            <w:pPr>
              <w:spacing w:before="0"/>
              <w:contextualSpacing/>
              <w:rPr>
                <w:sz w:val="20"/>
              </w:rPr>
            </w:pPr>
            <w:r w:rsidRPr="00D77B81">
              <w:rPr>
                <w:sz w:val="20"/>
              </w:rPr>
              <w:t xml:space="preserve">Mechanical Engineering Trades Workers </w:t>
            </w:r>
          </w:p>
        </w:tc>
        <w:tc>
          <w:tcPr>
            <w:tcW w:w="1276" w:type="dxa"/>
            <w:vAlign w:val="center"/>
          </w:tcPr>
          <w:p w14:paraId="5C822206" w14:textId="66D96FCE" w:rsidR="00D77B81" w:rsidRPr="00D77B81" w:rsidRDefault="00D77B81" w:rsidP="00D77B81">
            <w:pPr>
              <w:spacing w:before="0"/>
              <w:contextualSpacing/>
              <w:jc w:val="center"/>
              <w:rPr>
                <w:sz w:val="20"/>
              </w:rPr>
            </w:pPr>
            <w:r w:rsidRPr="00D77B81">
              <w:rPr>
                <w:sz w:val="20"/>
              </w:rPr>
              <w:t>3</w:t>
            </w:r>
          </w:p>
        </w:tc>
      </w:tr>
      <w:tr w:rsidR="00082CAF" w:rsidRPr="00D77B81" w14:paraId="39941D96" w14:textId="77777777" w:rsidTr="00082CAF">
        <w:tc>
          <w:tcPr>
            <w:tcW w:w="5812" w:type="dxa"/>
            <w:vAlign w:val="center"/>
          </w:tcPr>
          <w:p w14:paraId="0C6008AA" w14:textId="3EA32AEC" w:rsidR="00D77B81" w:rsidRPr="00D77B81" w:rsidRDefault="00D77B81" w:rsidP="00D77B81">
            <w:pPr>
              <w:spacing w:before="0"/>
              <w:contextualSpacing/>
              <w:rPr>
                <w:sz w:val="20"/>
              </w:rPr>
            </w:pPr>
            <w:r w:rsidRPr="00D77B81">
              <w:rPr>
                <w:sz w:val="20"/>
              </w:rPr>
              <w:t>Painting Trades Workers</w:t>
            </w:r>
          </w:p>
        </w:tc>
        <w:tc>
          <w:tcPr>
            <w:tcW w:w="1276" w:type="dxa"/>
            <w:vAlign w:val="center"/>
          </w:tcPr>
          <w:p w14:paraId="5B39202C" w14:textId="14B26798" w:rsidR="00D77B81" w:rsidRPr="00D77B81" w:rsidRDefault="00D77B81" w:rsidP="00D77B81">
            <w:pPr>
              <w:spacing w:before="0"/>
              <w:contextualSpacing/>
              <w:jc w:val="center"/>
              <w:rPr>
                <w:sz w:val="20"/>
              </w:rPr>
            </w:pPr>
            <w:r w:rsidRPr="00D77B81">
              <w:rPr>
                <w:sz w:val="20"/>
              </w:rPr>
              <w:t>3</w:t>
            </w:r>
          </w:p>
        </w:tc>
      </w:tr>
      <w:tr w:rsidR="00082CAF" w:rsidRPr="00D77B81" w14:paraId="3EB49C8F" w14:textId="77777777" w:rsidTr="00082CAF">
        <w:tc>
          <w:tcPr>
            <w:tcW w:w="5812" w:type="dxa"/>
            <w:vAlign w:val="center"/>
          </w:tcPr>
          <w:p w14:paraId="023FE906" w14:textId="1B3CED1D" w:rsidR="00D77B81" w:rsidRPr="00D77B81" w:rsidRDefault="00D77B81" w:rsidP="00D77B81">
            <w:pPr>
              <w:spacing w:before="0"/>
              <w:contextualSpacing/>
              <w:rPr>
                <w:sz w:val="20"/>
              </w:rPr>
            </w:pPr>
            <w:r w:rsidRPr="00D77B81">
              <w:rPr>
                <w:sz w:val="20"/>
              </w:rPr>
              <w:t>Child Carers</w:t>
            </w:r>
          </w:p>
        </w:tc>
        <w:tc>
          <w:tcPr>
            <w:tcW w:w="1276" w:type="dxa"/>
            <w:vAlign w:val="center"/>
          </w:tcPr>
          <w:p w14:paraId="68DB4360" w14:textId="0B614289" w:rsidR="00D77B81" w:rsidRPr="00D77B81" w:rsidRDefault="00D77B81" w:rsidP="00D77B81">
            <w:pPr>
              <w:spacing w:before="0"/>
              <w:contextualSpacing/>
              <w:jc w:val="center"/>
              <w:rPr>
                <w:sz w:val="20"/>
              </w:rPr>
            </w:pPr>
            <w:r w:rsidRPr="00D77B81">
              <w:rPr>
                <w:sz w:val="20"/>
              </w:rPr>
              <w:t>3</w:t>
            </w:r>
          </w:p>
        </w:tc>
      </w:tr>
      <w:tr w:rsidR="00082CAF" w:rsidRPr="00D77B81" w14:paraId="3A8E0A89" w14:textId="77777777" w:rsidTr="00082CAF">
        <w:tc>
          <w:tcPr>
            <w:tcW w:w="5812" w:type="dxa"/>
            <w:vAlign w:val="center"/>
          </w:tcPr>
          <w:p w14:paraId="31E6ECE5" w14:textId="2D4242CF" w:rsidR="00D77B81" w:rsidRPr="00D77B81" w:rsidRDefault="00D77B81" w:rsidP="00D77B81">
            <w:pPr>
              <w:spacing w:before="0"/>
              <w:contextualSpacing/>
              <w:rPr>
                <w:sz w:val="20"/>
              </w:rPr>
            </w:pPr>
            <w:r w:rsidRPr="00D77B81">
              <w:rPr>
                <w:sz w:val="20"/>
              </w:rPr>
              <w:t>Real Estate Sales Agents</w:t>
            </w:r>
          </w:p>
        </w:tc>
        <w:tc>
          <w:tcPr>
            <w:tcW w:w="1276" w:type="dxa"/>
            <w:vAlign w:val="center"/>
          </w:tcPr>
          <w:p w14:paraId="031AE9F5" w14:textId="6209CC26" w:rsidR="00D77B81" w:rsidRPr="00D77B81" w:rsidRDefault="00D77B81" w:rsidP="00D77B81">
            <w:pPr>
              <w:spacing w:before="0"/>
              <w:contextualSpacing/>
              <w:jc w:val="center"/>
              <w:rPr>
                <w:sz w:val="20"/>
              </w:rPr>
            </w:pPr>
            <w:r w:rsidRPr="00D77B81">
              <w:rPr>
                <w:sz w:val="20"/>
              </w:rPr>
              <w:t>3</w:t>
            </w:r>
          </w:p>
        </w:tc>
      </w:tr>
      <w:tr w:rsidR="00082CAF" w:rsidRPr="00D77B81" w14:paraId="27326C12" w14:textId="77777777" w:rsidTr="00082CAF">
        <w:tc>
          <w:tcPr>
            <w:tcW w:w="5812" w:type="dxa"/>
            <w:vAlign w:val="center"/>
          </w:tcPr>
          <w:p w14:paraId="7636FBE4" w14:textId="2CE9BC8D" w:rsidR="00D77B81" w:rsidRPr="00D77B81" w:rsidRDefault="00D77B81" w:rsidP="00D77B81">
            <w:pPr>
              <w:spacing w:before="0"/>
              <w:contextualSpacing/>
              <w:rPr>
                <w:sz w:val="20"/>
              </w:rPr>
            </w:pPr>
            <w:r w:rsidRPr="00D77B81">
              <w:rPr>
                <w:sz w:val="20"/>
              </w:rPr>
              <w:t>Plastics and Rubber Production Machine Operators</w:t>
            </w:r>
          </w:p>
        </w:tc>
        <w:tc>
          <w:tcPr>
            <w:tcW w:w="1276" w:type="dxa"/>
            <w:vAlign w:val="center"/>
          </w:tcPr>
          <w:p w14:paraId="366A4DAB" w14:textId="1DF33289" w:rsidR="00D77B81" w:rsidRPr="00D77B81" w:rsidRDefault="00D77B81" w:rsidP="00D77B81">
            <w:pPr>
              <w:spacing w:before="0"/>
              <w:contextualSpacing/>
              <w:jc w:val="center"/>
              <w:rPr>
                <w:sz w:val="20"/>
              </w:rPr>
            </w:pPr>
            <w:r w:rsidRPr="00D77B81">
              <w:rPr>
                <w:sz w:val="20"/>
              </w:rPr>
              <w:t>3</w:t>
            </w:r>
          </w:p>
        </w:tc>
      </w:tr>
      <w:tr w:rsidR="00082CAF" w:rsidRPr="00D77B81" w14:paraId="6C21663E" w14:textId="77777777" w:rsidTr="00082CAF">
        <w:tc>
          <w:tcPr>
            <w:tcW w:w="5812" w:type="dxa"/>
            <w:vAlign w:val="center"/>
          </w:tcPr>
          <w:p w14:paraId="30EA87C0" w14:textId="15E665EC" w:rsidR="00D77B81" w:rsidRPr="00D77B81" w:rsidRDefault="00D77B81" w:rsidP="00D77B81">
            <w:pPr>
              <w:spacing w:before="0"/>
              <w:contextualSpacing/>
              <w:rPr>
                <w:sz w:val="20"/>
              </w:rPr>
            </w:pPr>
            <w:r w:rsidRPr="00D77B81">
              <w:rPr>
                <w:sz w:val="20"/>
              </w:rPr>
              <w:t>Domestic Cleaners</w:t>
            </w:r>
          </w:p>
        </w:tc>
        <w:tc>
          <w:tcPr>
            <w:tcW w:w="1276" w:type="dxa"/>
            <w:vAlign w:val="center"/>
          </w:tcPr>
          <w:p w14:paraId="3066A053" w14:textId="42E0D265" w:rsidR="00D77B81" w:rsidRPr="00D77B81" w:rsidRDefault="00D77B81" w:rsidP="00D77B81">
            <w:pPr>
              <w:spacing w:before="0"/>
              <w:contextualSpacing/>
              <w:jc w:val="center"/>
              <w:rPr>
                <w:sz w:val="20"/>
              </w:rPr>
            </w:pPr>
            <w:r w:rsidRPr="00D77B81">
              <w:rPr>
                <w:sz w:val="20"/>
              </w:rPr>
              <w:t>3</w:t>
            </w:r>
          </w:p>
        </w:tc>
      </w:tr>
      <w:tr w:rsidR="00082CAF" w:rsidRPr="00D77B81" w14:paraId="2D15136D" w14:textId="77777777" w:rsidTr="00082CAF">
        <w:tc>
          <w:tcPr>
            <w:tcW w:w="5812" w:type="dxa"/>
            <w:vAlign w:val="center"/>
          </w:tcPr>
          <w:p w14:paraId="585C4D69" w14:textId="45F4475B" w:rsidR="00D77B81" w:rsidRPr="00D77B81" w:rsidRDefault="00D77B81" w:rsidP="00D77B81">
            <w:pPr>
              <w:spacing w:before="0"/>
              <w:contextualSpacing/>
              <w:rPr>
                <w:sz w:val="20"/>
              </w:rPr>
            </w:pPr>
            <w:r w:rsidRPr="00D77B81">
              <w:rPr>
                <w:sz w:val="20"/>
              </w:rPr>
              <w:t>Housekeepers</w:t>
            </w:r>
          </w:p>
        </w:tc>
        <w:tc>
          <w:tcPr>
            <w:tcW w:w="1276" w:type="dxa"/>
            <w:vAlign w:val="center"/>
          </w:tcPr>
          <w:p w14:paraId="68129CC5" w14:textId="47623FA8" w:rsidR="00D77B81" w:rsidRPr="00D77B81" w:rsidRDefault="00D77B81" w:rsidP="00D77B81">
            <w:pPr>
              <w:spacing w:before="0"/>
              <w:contextualSpacing/>
              <w:jc w:val="center"/>
              <w:rPr>
                <w:sz w:val="20"/>
              </w:rPr>
            </w:pPr>
            <w:r w:rsidRPr="00D77B81">
              <w:rPr>
                <w:sz w:val="20"/>
              </w:rPr>
              <w:t>3</w:t>
            </w:r>
          </w:p>
        </w:tc>
      </w:tr>
      <w:tr w:rsidR="00082CAF" w:rsidRPr="00D77B81" w14:paraId="501D3A54" w14:textId="77777777" w:rsidTr="00082CAF">
        <w:tc>
          <w:tcPr>
            <w:tcW w:w="5812" w:type="dxa"/>
            <w:tcBorders>
              <w:bottom w:val="double" w:sz="4" w:space="0" w:color="auto"/>
            </w:tcBorders>
            <w:vAlign w:val="center"/>
          </w:tcPr>
          <w:p w14:paraId="1C96F89E" w14:textId="1F30E274" w:rsidR="00D77B81" w:rsidRPr="00D77B81" w:rsidRDefault="00D77B81" w:rsidP="00D77B81">
            <w:pPr>
              <w:spacing w:before="0"/>
              <w:contextualSpacing/>
              <w:rPr>
                <w:sz w:val="20"/>
              </w:rPr>
            </w:pPr>
            <w:r w:rsidRPr="00D77B81">
              <w:rPr>
                <w:sz w:val="20"/>
              </w:rPr>
              <w:t>Other Cleaners</w:t>
            </w:r>
          </w:p>
        </w:tc>
        <w:tc>
          <w:tcPr>
            <w:tcW w:w="1276" w:type="dxa"/>
            <w:tcBorders>
              <w:bottom w:val="double" w:sz="4" w:space="0" w:color="auto"/>
            </w:tcBorders>
            <w:vAlign w:val="center"/>
          </w:tcPr>
          <w:p w14:paraId="66CC8BD4" w14:textId="316C4E7D" w:rsidR="00D77B81" w:rsidRPr="00D77B81" w:rsidRDefault="00D77B81" w:rsidP="00D77B81">
            <w:pPr>
              <w:spacing w:before="0"/>
              <w:contextualSpacing/>
              <w:jc w:val="center"/>
              <w:rPr>
                <w:sz w:val="20"/>
              </w:rPr>
            </w:pPr>
            <w:r w:rsidRPr="00D77B81">
              <w:rPr>
                <w:sz w:val="20"/>
              </w:rPr>
              <w:t>3</w:t>
            </w:r>
          </w:p>
        </w:tc>
      </w:tr>
      <w:tr w:rsidR="00082CAF" w:rsidRPr="00082CAF" w14:paraId="6AD9F5ED" w14:textId="77777777" w:rsidTr="00082CAF">
        <w:tc>
          <w:tcPr>
            <w:tcW w:w="5812" w:type="dxa"/>
            <w:tcBorders>
              <w:top w:val="double" w:sz="4" w:space="0" w:color="auto"/>
            </w:tcBorders>
            <w:vAlign w:val="center"/>
          </w:tcPr>
          <w:p w14:paraId="0C537B17" w14:textId="230BDCCA" w:rsidR="00D77B81" w:rsidRPr="00082CAF" w:rsidRDefault="00D77B81" w:rsidP="00082CAF">
            <w:pPr>
              <w:spacing w:before="60" w:after="60"/>
              <w:rPr>
                <w:szCs w:val="22"/>
              </w:rPr>
            </w:pPr>
            <w:r w:rsidRPr="00082CAF">
              <w:rPr>
                <w:szCs w:val="22"/>
              </w:rPr>
              <w:t>Total</w:t>
            </w:r>
          </w:p>
        </w:tc>
        <w:tc>
          <w:tcPr>
            <w:tcW w:w="1276" w:type="dxa"/>
            <w:tcBorders>
              <w:top w:val="double" w:sz="4" w:space="0" w:color="auto"/>
            </w:tcBorders>
            <w:vAlign w:val="center"/>
          </w:tcPr>
          <w:p w14:paraId="79A5DB46" w14:textId="2B42CE39" w:rsidR="00D77B81" w:rsidRPr="00082CAF" w:rsidRDefault="00D77B81" w:rsidP="00082CAF">
            <w:pPr>
              <w:spacing w:before="60" w:after="60"/>
              <w:jc w:val="center"/>
              <w:rPr>
                <w:szCs w:val="22"/>
              </w:rPr>
            </w:pPr>
            <w:r w:rsidRPr="00082CAF">
              <w:rPr>
                <w:szCs w:val="22"/>
              </w:rPr>
              <w:t>14</w:t>
            </w:r>
            <w:r w:rsidR="00082CAF">
              <w:rPr>
                <w:szCs w:val="22"/>
              </w:rPr>
              <w:t>,</w:t>
            </w:r>
            <w:r w:rsidRPr="00082CAF">
              <w:rPr>
                <w:szCs w:val="22"/>
              </w:rPr>
              <w:t>623</w:t>
            </w:r>
          </w:p>
        </w:tc>
      </w:tr>
    </w:tbl>
    <w:p w14:paraId="37A5AE76" w14:textId="05EE976D" w:rsidR="00F34BB6" w:rsidRPr="00624526" w:rsidRDefault="00624526" w:rsidP="00624526">
      <w:pPr>
        <w:spacing w:before="0"/>
        <w:rPr>
          <w:sz w:val="20"/>
          <w:szCs w:val="20"/>
        </w:rPr>
      </w:pPr>
      <w:r w:rsidRPr="00624526">
        <w:rPr>
          <w:sz w:val="20"/>
          <w:szCs w:val="20"/>
        </w:rPr>
        <w:t>(Source: Census 2011)</w:t>
      </w:r>
    </w:p>
    <w:p w14:paraId="0178C7C0" w14:textId="77777777" w:rsidR="00F10094" w:rsidRDefault="00F10094">
      <w:pPr>
        <w:spacing w:before="0"/>
        <w:jc w:val="left"/>
        <w:rPr>
          <w:i/>
          <w:szCs w:val="22"/>
        </w:rPr>
      </w:pPr>
      <w:r>
        <w:rPr>
          <w:i/>
          <w:szCs w:val="22"/>
        </w:rPr>
        <w:br w:type="page"/>
      </w:r>
    </w:p>
    <w:p w14:paraId="18E171C4" w14:textId="4608C236" w:rsidR="00624526" w:rsidRPr="000226CB" w:rsidRDefault="00624526" w:rsidP="00624526">
      <w:pPr>
        <w:rPr>
          <w:i/>
          <w:szCs w:val="22"/>
        </w:rPr>
      </w:pPr>
      <w:bookmarkStart w:id="114" w:name="_Toc233084088"/>
      <w:r w:rsidRPr="000226CB">
        <w:rPr>
          <w:i/>
          <w:szCs w:val="22"/>
        </w:rPr>
        <w:lastRenderedPageBreak/>
        <w:t xml:space="preserve">Table </w:t>
      </w:r>
      <w:r w:rsidRPr="000226CB">
        <w:rPr>
          <w:i/>
          <w:szCs w:val="22"/>
        </w:rPr>
        <w:fldChar w:fldCharType="begin"/>
      </w:r>
      <w:r w:rsidRPr="000226CB">
        <w:rPr>
          <w:i/>
          <w:szCs w:val="22"/>
        </w:rPr>
        <w:instrText xml:space="preserve"> SEQ Table \* ARABIC </w:instrText>
      </w:r>
      <w:r w:rsidRPr="000226CB">
        <w:rPr>
          <w:i/>
          <w:szCs w:val="22"/>
        </w:rPr>
        <w:fldChar w:fldCharType="separate"/>
      </w:r>
      <w:r w:rsidR="00196462">
        <w:rPr>
          <w:i/>
          <w:noProof/>
          <w:szCs w:val="22"/>
        </w:rPr>
        <w:t>44</w:t>
      </w:r>
      <w:r w:rsidRPr="000226CB">
        <w:rPr>
          <w:i/>
          <w:szCs w:val="22"/>
        </w:rPr>
        <w:fldChar w:fldCharType="end"/>
      </w:r>
      <w:r w:rsidRPr="000226CB">
        <w:rPr>
          <w:i/>
          <w:szCs w:val="22"/>
        </w:rPr>
        <w:t xml:space="preserve">: </w:t>
      </w:r>
      <w:r w:rsidRPr="00624526">
        <w:rPr>
          <w:i/>
          <w:szCs w:val="22"/>
        </w:rPr>
        <w:t xml:space="preserve">Industries employing </w:t>
      </w:r>
      <w:r>
        <w:rPr>
          <w:i/>
          <w:szCs w:val="22"/>
        </w:rPr>
        <w:t>a</w:t>
      </w:r>
      <w:r w:rsidRPr="00624526">
        <w:rPr>
          <w:i/>
          <w:szCs w:val="22"/>
        </w:rPr>
        <w:t xml:space="preserve">ir conditioning and </w:t>
      </w:r>
      <w:r>
        <w:rPr>
          <w:i/>
          <w:szCs w:val="22"/>
        </w:rPr>
        <w:t>r</w:t>
      </w:r>
      <w:r w:rsidRPr="00624526">
        <w:rPr>
          <w:i/>
          <w:szCs w:val="22"/>
        </w:rPr>
        <w:t xml:space="preserve">efrigeration </w:t>
      </w:r>
      <w:r w:rsidR="00856FDF">
        <w:rPr>
          <w:i/>
          <w:szCs w:val="22"/>
        </w:rPr>
        <w:t>m</w:t>
      </w:r>
      <w:r w:rsidRPr="00624526">
        <w:rPr>
          <w:i/>
          <w:szCs w:val="22"/>
        </w:rPr>
        <w:t>echanics</w:t>
      </w:r>
      <w:bookmarkEnd w:id="114"/>
    </w:p>
    <w:tbl>
      <w:tblPr>
        <w:tblW w:w="7088" w:type="dxa"/>
        <w:tblInd w:w="108" w:type="dxa"/>
        <w:tblBorders>
          <w:top w:val="single" w:sz="8" w:space="0" w:color="auto"/>
          <w:left w:val="single" w:sz="8" w:space="0" w:color="auto"/>
          <w:bottom w:val="single" w:sz="8" w:space="0" w:color="auto"/>
          <w:right w:val="single" w:sz="8" w:space="0" w:color="auto"/>
          <w:insideH w:val="single" w:sz="8" w:space="0" w:color="FFFFFF"/>
          <w:insideV w:val="single" w:sz="4" w:space="0" w:color="FFFFFF"/>
        </w:tblBorders>
        <w:tblLayout w:type="fixed"/>
        <w:tblLook w:val="00A0" w:firstRow="1" w:lastRow="0" w:firstColumn="1" w:lastColumn="0" w:noHBand="0" w:noVBand="0"/>
      </w:tblPr>
      <w:tblGrid>
        <w:gridCol w:w="5812"/>
        <w:gridCol w:w="1276"/>
      </w:tblGrid>
      <w:tr w:rsidR="00624526" w:rsidRPr="00923150" w14:paraId="527A3631" w14:textId="77777777" w:rsidTr="005F2CFD">
        <w:trPr>
          <w:trHeight w:val="684"/>
        </w:trPr>
        <w:tc>
          <w:tcPr>
            <w:tcW w:w="5812" w:type="dxa"/>
            <w:shd w:val="clear" w:color="auto" w:fill="000000"/>
            <w:vAlign w:val="center"/>
          </w:tcPr>
          <w:p w14:paraId="1BD6388F" w14:textId="77777777" w:rsidR="00624526" w:rsidRPr="00923150" w:rsidRDefault="00624526" w:rsidP="009F2F54">
            <w:pPr>
              <w:spacing w:before="60" w:after="60"/>
              <w:ind w:left="34"/>
              <w:jc w:val="left"/>
            </w:pPr>
            <w:r>
              <w:t>ABS employment category (OCCP – Digit Level)</w:t>
            </w:r>
          </w:p>
        </w:tc>
        <w:tc>
          <w:tcPr>
            <w:tcW w:w="1276" w:type="dxa"/>
            <w:shd w:val="clear" w:color="auto" w:fill="000000"/>
            <w:vAlign w:val="center"/>
          </w:tcPr>
          <w:p w14:paraId="04447CF3" w14:textId="77777777" w:rsidR="00624526" w:rsidRPr="00923150" w:rsidRDefault="00624526" w:rsidP="009F2F54">
            <w:pPr>
              <w:spacing w:before="60" w:after="60"/>
              <w:jc w:val="center"/>
            </w:pPr>
            <w:r>
              <w:t>Number employed</w:t>
            </w:r>
            <w:r w:rsidRPr="00957119">
              <w:t xml:space="preserve"> </w:t>
            </w:r>
          </w:p>
        </w:tc>
      </w:tr>
    </w:tbl>
    <w:tbl>
      <w:tblPr>
        <w:tblStyle w:val="TableGrid"/>
        <w:tblW w:w="0" w:type="auto"/>
        <w:tblInd w:w="108" w:type="dxa"/>
        <w:tblLayout w:type="fixed"/>
        <w:tblLook w:val="04A0" w:firstRow="1" w:lastRow="0" w:firstColumn="1" w:lastColumn="0" w:noHBand="0" w:noVBand="1"/>
      </w:tblPr>
      <w:tblGrid>
        <w:gridCol w:w="5812"/>
        <w:gridCol w:w="1276"/>
      </w:tblGrid>
      <w:tr w:rsidR="00F10094" w:rsidRPr="00F10094" w14:paraId="7CBDD607" w14:textId="77777777" w:rsidTr="009F2F54">
        <w:tc>
          <w:tcPr>
            <w:tcW w:w="5812" w:type="dxa"/>
          </w:tcPr>
          <w:p w14:paraId="357DCD51" w14:textId="027BAAC1" w:rsidR="00F10094" w:rsidRPr="00F10094" w:rsidRDefault="00F10094" w:rsidP="009F2F54">
            <w:pPr>
              <w:spacing w:before="0"/>
              <w:contextualSpacing/>
              <w:rPr>
                <w:sz w:val="20"/>
              </w:rPr>
            </w:pPr>
            <w:r w:rsidRPr="00F10094">
              <w:rPr>
                <w:sz w:val="20"/>
              </w:rPr>
              <w:t>Agriculture, Forestry and Fishing</w:t>
            </w:r>
          </w:p>
        </w:tc>
        <w:tc>
          <w:tcPr>
            <w:tcW w:w="1276" w:type="dxa"/>
          </w:tcPr>
          <w:p w14:paraId="363A7C43" w14:textId="3A93C542" w:rsidR="00F10094" w:rsidRPr="00F10094" w:rsidRDefault="00F10094" w:rsidP="009F2F54">
            <w:pPr>
              <w:spacing w:before="0"/>
              <w:contextualSpacing/>
              <w:jc w:val="center"/>
              <w:rPr>
                <w:sz w:val="20"/>
              </w:rPr>
            </w:pPr>
            <w:r w:rsidRPr="00F10094">
              <w:rPr>
                <w:sz w:val="20"/>
              </w:rPr>
              <w:t>9</w:t>
            </w:r>
          </w:p>
        </w:tc>
      </w:tr>
      <w:tr w:rsidR="00F10094" w:rsidRPr="00F10094" w14:paraId="486A659B" w14:textId="77777777" w:rsidTr="009F2F54">
        <w:tc>
          <w:tcPr>
            <w:tcW w:w="5812" w:type="dxa"/>
          </w:tcPr>
          <w:p w14:paraId="19C8B385" w14:textId="61D9F1C8" w:rsidR="00F10094" w:rsidRPr="00F10094" w:rsidRDefault="00F10094" w:rsidP="009F2F54">
            <w:pPr>
              <w:spacing w:before="0"/>
              <w:contextualSpacing/>
              <w:rPr>
                <w:sz w:val="20"/>
              </w:rPr>
            </w:pPr>
            <w:r w:rsidRPr="00F10094">
              <w:rPr>
                <w:sz w:val="20"/>
              </w:rPr>
              <w:t>Mining</w:t>
            </w:r>
          </w:p>
        </w:tc>
        <w:tc>
          <w:tcPr>
            <w:tcW w:w="1276" w:type="dxa"/>
          </w:tcPr>
          <w:p w14:paraId="439BBB3A" w14:textId="5F5577C3" w:rsidR="00F10094" w:rsidRPr="00F10094" w:rsidRDefault="00F10094" w:rsidP="009F2F54">
            <w:pPr>
              <w:spacing w:before="0"/>
              <w:contextualSpacing/>
              <w:jc w:val="center"/>
              <w:rPr>
                <w:sz w:val="20"/>
              </w:rPr>
            </w:pPr>
            <w:r w:rsidRPr="00F10094">
              <w:rPr>
                <w:sz w:val="20"/>
              </w:rPr>
              <w:t>130</w:t>
            </w:r>
          </w:p>
        </w:tc>
      </w:tr>
      <w:tr w:rsidR="00F10094" w:rsidRPr="00F10094" w14:paraId="58C1BE33" w14:textId="77777777" w:rsidTr="009F2F54">
        <w:tc>
          <w:tcPr>
            <w:tcW w:w="5812" w:type="dxa"/>
          </w:tcPr>
          <w:p w14:paraId="34C8B45D" w14:textId="78A89473" w:rsidR="00F10094" w:rsidRPr="00F10094" w:rsidRDefault="00F10094" w:rsidP="009F2F54">
            <w:pPr>
              <w:spacing w:before="0"/>
              <w:contextualSpacing/>
              <w:rPr>
                <w:sz w:val="20"/>
              </w:rPr>
            </w:pPr>
            <w:r w:rsidRPr="00F10094">
              <w:rPr>
                <w:sz w:val="20"/>
              </w:rPr>
              <w:t>Manufacturing</w:t>
            </w:r>
          </w:p>
        </w:tc>
        <w:tc>
          <w:tcPr>
            <w:tcW w:w="1276" w:type="dxa"/>
          </w:tcPr>
          <w:p w14:paraId="12BC3173" w14:textId="3D3F1469" w:rsidR="00F10094" w:rsidRPr="00F10094" w:rsidRDefault="00F10094" w:rsidP="009F2F54">
            <w:pPr>
              <w:spacing w:before="0"/>
              <w:contextualSpacing/>
              <w:jc w:val="center"/>
              <w:rPr>
                <w:sz w:val="20"/>
              </w:rPr>
            </w:pPr>
            <w:r w:rsidRPr="00F10094">
              <w:rPr>
                <w:sz w:val="20"/>
              </w:rPr>
              <w:t>1</w:t>
            </w:r>
            <w:r>
              <w:rPr>
                <w:sz w:val="20"/>
              </w:rPr>
              <w:t>,</w:t>
            </w:r>
            <w:r w:rsidRPr="00F10094">
              <w:rPr>
                <w:sz w:val="20"/>
              </w:rPr>
              <w:t>407</w:t>
            </w:r>
          </w:p>
        </w:tc>
      </w:tr>
      <w:tr w:rsidR="00F10094" w:rsidRPr="00F10094" w14:paraId="785BD623" w14:textId="77777777" w:rsidTr="009F2F54">
        <w:tc>
          <w:tcPr>
            <w:tcW w:w="5812" w:type="dxa"/>
          </w:tcPr>
          <w:p w14:paraId="1BAA97ED" w14:textId="6C1E8D0A" w:rsidR="00F10094" w:rsidRPr="00F10094" w:rsidRDefault="00F10094" w:rsidP="009F2F54">
            <w:pPr>
              <w:spacing w:before="0"/>
              <w:contextualSpacing/>
              <w:rPr>
                <w:sz w:val="20"/>
              </w:rPr>
            </w:pPr>
            <w:r w:rsidRPr="00F10094">
              <w:rPr>
                <w:sz w:val="20"/>
              </w:rPr>
              <w:t>Electricity, Gas, Water and Waste Services</w:t>
            </w:r>
          </w:p>
        </w:tc>
        <w:tc>
          <w:tcPr>
            <w:tcW w:w="1276" w:type="dxa"/>
          </w:tcPr>
          <w:p w14:paraId="7A931A10" w14:textId="3AAE8382" w:rsidR="00F10094" w:rsidRPr="00F10094" w:rsidRDefault="00F10094" w:rsidP="009F2F54">
            <w:pPr>
              <w:spacing w:before="0"/>
              <w:contextualSpacing/>
              <w:jc w:val="center"/>
              <w:rPr>
                <w:sz w:val="20"/>
              </w:rPr>
            </w:pPr>
            <w:r w:rsidRPr="00F10094">
              <w:rPr>
                <w:sz w:val="20"/>
              </w:rPr>
              <w:t>15</w:t>
            </w:r>
          </w:p>
        </w:tc>
      </w:tr>
      <w:tr w:rsidR="00F10094" w:rsidRPr="00F10094" w14:paraId="36237256" w14:textId="77777777" w:rsidTr="009F2F54">
        <w:tc>
          <w:tcPr>
            <w:tcW w:w="5812" w:type="dxa"/>
          </w:tcPr>
          <w:p w14:paraId="76330681" w14:textId="6830E4F8" w:rsidR="00F10094" w:rsidRPr="00F10094" w:rsidRDefault="00F10094" w:rsidP="009F2F54">
            <w:pPr>
              <w:spacing w:before="0"/>
              <w:contextualSpacing/>
              <w:rPr>
                <w:sz w:val="20"/>
              </w:rPr>
            </w:pPr>
            <w:r w:rsidRPr="00F10094">
              <w:rPr>
                <w:sz w:val="20"/>
              </w:rPr>
              <w:t>Construction</w:t>
            </w:r>
          </w:p>
        </w:tc>
        <w:tc>
          <w:tcPr>
            <w:tcW w:w="1276" w:type="dxa"/>
          </w:tcPr>
          <w:p w14:paraId="1E8D8491" w14:textId="37FEC288" w:rsidR="00F10094" w:rsidRPr="00F10094" w:rsidRDefault="00F10094" w:rsidP="009F2F54">
            <w:pPr>
              <w:spacing w:before="0"/>
              <w:contextualSpacing/>
              <w:jc w:val="center"/>
              <w:rPr>
                <w:sz w:val="20"/>
              </w:rPr>
            </w:pPr>
            <w:r w:rsidRPr="00F10094">
              <w:rPr>
                <w:sz w:val="20"/>
              </w:rPr>
              <w:t>6</w:t>
            </w:r>
            <w:r>
              <w:rPr>
                <w:sz w:val="20"/>
              </w:rPr>
              <w:t>,</w:t>
            </w:r>
            <w:r w:rsidRPr="00F10094">
              <w:rPr>
                <w:sz w:val="20"/>
              </w:rPr>
              <w:t>477</w:t>
            </w:r>
          </w:p>
        </w:tc>
      </w:tr>
      <w:tr w:rsidR="00F10094" w:rsidRPr="00F10094" w14:paraId="5DC16EF3" w14:textId="77777777" w:rsidTr="009F2F54">
        <w:tc>
          <w:tcPr>
            <w:tcW w:w="5812" w:type="dxa"/>
          </w:tcPr>
          <w:p w14:paraId="4394DC82" w14:textId="564E85D8" w:rsidR="00F10094" w:rsidRPr="00F10094" w:rsidRDefault="00F10094" w:rsidP="009F2F54">
            <w:pPr>
              <w:spacing w:before="0"/>
              <w:contextualSpacing/>
              <w:rPr>
                <w:sz w:val="20"/>
              </w:rPr>
            </w:pPr>
            <w:r w:rsidRPr="00F10094">
              <w:rPr>
                <w:sz w:val="20"/>
              </w:rPr>
              <w:t>Wholesale Trade</w:t>
            </w:r>
          </w:p>
        </w:tc>
        <w:tc>
          <w:tcPr>
            <w:tcW w:w="1276" w:type="dxa"/>
          </w:tcPr>
          <w:p w14:paraId="40DC47F6" w14:textId="1D7182DE" w:rsidR="00F10094" w:rsidRPr="00F10094" w:rsidRDefault="00F10094" w:rsidP="009F2F54">
            <w:pPr>
              <w:spacing w:before="0"/>
              <w:contextualSpacing/>
              <w:jc w:val="center"/>
              <w:rPr>
                <w:sz w:val="20"/>
              </w:rPr>
            </w:pPr>
            <w:r w:rsidRPr="00F10094">
              <w:rPr>
                <w:sz w:val="20"/>
              </w:rPr>
              <w:t>217</w:t>
            </w:r>
          </w:p>
        </w:tc>
      </w:tr>
      <w:tr w:rsidR="00F10094" w:rsidRPr="00F10094" w14:paraId="56C0AA86" w14:textId="77777777" w:rsidTr="009F2F54">
        <w:tc>
          <w:tcPr>
            <w:tcW w:w="5812" w:type="dxa"/>
          </w:tcPr>
          <w:p w14:paraId="60CA3E29" w14:textId="26B6387F" w:rsidR="00F10094" w:rsidRPr="00F10094" w:rsidRDefault="00F10094" w:rsidP="009F2F54">
            <w:pPr>
              <w:spacing w:before="0"/>
              <w:contextualSpacing/>
              <w:rPr>
                <w:sz w:val="20"/>
              </w:rPr>
            </w:pPr>
            <w:r w:rsidRPr="00F10094">
              <w:rPr>
                <w:sz w:val="20"/>
              </w:rPr>
              <w:t>Retail Trade</w:t>
            </w:r>
          </w:p>
        </w:tc>
        <w:tc>
          <w:tcPr>
            <w:tcW w:w="1276" w:type="dxa"/>
          </w:tcPr>
          <w:p w14:paraId="49BF9B96" w14:textId="37A21C4E" w:rsidR="00F10094" w:rsidRPr="00F10094" w:rsidRDefault="00F10094" w:rsidP="009F2F54">
            <w:pPr>
              <w:spacing w:before="0"/>
              <w:contextualSpacing/>
              <w:jc w:val="center"/>
              <w:rPr>
                <w:sz w:val="20"/>
              </w:rPr>
            </w:pPr>
            <w:r w:rsidRPr="00F10094">
              <w:rPr>
                <w:sz w:val="20"/>
              </w:rPr>
              <w:t>575</w:t>
            </w:r>
          </w:p>
        </w:tc>
      </w:tr>
      <w:tr w:rsidR="00F10094" w:rsidRPr="00F10094" w14:paraId="50230A6D" w14:textId="77777777" w:rsidTr="009F2F54">
        <w:tc>
          <w:tcPr>
            <w:tcW w:w="5812" w:type="dxa"/>
          </w:tcPr>
          <w:p w14:paraId="1B284F9A" w14:textId="6124B0B4" w:rsidR="00F10094" w:rsidRPr="00F10094" w:rsidRDefault="00F10094" w:rsidP="009F2F54">
            <w:pPr>
              <w:spacing w:before="0"/>
              <w:contextualSpacing/>
              <w:rPr>
                <w:sz w:val="20"/>
              </w:rPr>
            </w:pPr>
            <w:r w:rsidRPr="00F10094">
              <w:rPr>
                <w:sz w:val="20"/>
              </w:rPr>
              <w:t>Accommodation and Food Services</w:t>
            </w:r>
          </w:p>
        </w:tc>
        <w:tc>
          <w:tcPr>
            <w:tcW w:w="1276" w:type="dxa"/>
          </w:tcPr>
          <w:p w14:paraId="748291DF" w14:textId="579BD776" w:rsidR="00F10094" w:rsidRPr="00F10094" w:rsidRDefault="00F10094" w:rsidP="009F2F54">
            <w:pPr>
              <w:spacing w:before="0"/>
              <w:contextualSpacing/>
              <w:jc w:val="center"/>
              <w:rPr>
                <w:sz w:val="20"/>
              </w:rPr>
            </w:pPr>
            <w:r w:rsidRPr="00F10094">
              <w:rPr>
                <w:sz w:val="20"/>
              </w:rPr>
              <w:t>113</w:t>
            </w:r>
          </w:p>
        </w:tc>
      </w:tr>
      <w:tr w:rsidR="00F10094" w:rsidRPr="00F10094" w14:paraId="78F49742" w14:textId="77777777" w:rsidTr="009F2F54">
        <w:tc>
          <w:tcPr>
            <w:tcW w:w="5812" w:type="dxa"/>
          </w:tcPr>
          <w:p w14:paraId="389BAD78" w14:textId="10A59D31" w:rsidR="00F10094" w:rsidRPr="00F10094" w:rsidRDefault="00F10094" w:rsidP="009F2F54">
            <w:pPr>
              <w:spacing w:before="0"/>
              <w:contextualSpacing/>
              <w:rPr>
                <w:sz w:val="20"/>
              </w:rPr>
            </w:pPr>
            <w:r w:rsidRPr="00F10094">
              <w:rPr>
                <w:sz w:val="20"/>
              </w:rPr>
              <w:t>Transport, Postal and Warehousing</w:t>
            </w:r>
          </w:p>
        </w:tc>
        <w:tc>
          <w:tcPr>
            <w:tcW w:w="1276" w:type="dxa"/>
          </w:tcPr>
          <w:p w14:paraId="475A9435" w14:textId="3C8C13AD" w:rsidR="00F10094" w:rsidRPr="00F10094" w:rsidRDefault="00F10094" w:rsidP="009F2F54">
            <w:pPr>
              <w:spacing w:before="0"/>
              <w:contextualSpacing/>
              <w:jc w:val="center"/>
              <w:rPr>
                <w:sz w:val="20"/>
              </w:rPr>
            </w:pPr>
            <w:r w:rsidRPr="00F10094">
              <w:rPr>
                <w:sz w:val="20"/>
              </w:rPr>
              <w:t>178</w:t>
            </w:r>
          </w:p>
        </w:tc>
      </w:tr>
      <w:tr w:rsidR="00F10094" w:rsidRPr="00F10094" w14:paraId="3B07CD0B" w14:textId="77777777" w:rsidTr="009F2F54">
        <w:tc>
          <w:tcPr>
            <w:tcW w:w="5812" w:type="dxa"/>
          </w:tcPr>
          <w:p w14:paraId="5A5BAF4B" w14:textId="64DBBA7F" w:rsidR="00F10094" w:rsidRPr="00F10094" w:rsidRDefault="00F10094" w:rsidP="009F2F54">
            <w:pPr>
              <w:spacing w:before="0"/>
              <w:contextualSpacing/>
              <w:rPr>
                <w:sz w:val="20"/>
              </w:rPr>
            </w:pPr>
            <w:r w:rsidRPr="00F10094">
              <w:rPr>
                <w:sz w:val="20"/>
              </w:rPr>
              <w:t>Information Media and Telecommunications</w:t>
            </w:r>
          </w:p>
        </w:tc>
        <w:tc>
          <w:tcPr>
            <w:tcW w:w="1276" w:type="dxa"/>
          </w:tcPr>
          <w:p w14:paraId="0A60B4E1" w14:textId="5C8E947E" w:rsidR="00F10094" w:rsidRPr="00F10094" w:rsidRDefault="00F10094" w:rsidP="009F2F54">
            <w:pPr>
              <w:spacing w:before="0"/>
              <w:contextualSpacing/>
              <w:jc w:val="center"/>
              <w:rPr>
                <w:sz w:val="20"/>
              </w:rPr>
            </w:pPr>
            <w:r w:rsidRPr="00F10094">
              <w:rPr>
                <w:sz w:val="20"/>
              </w:rPr>
              <w:t>3</w:t>
            </w:r>
          </w:p>
        </w:tc>
      </w:tr>
      <w:tr w:rsidR="00F10094" w:rsidRPr="00F10094" w14:paraId="15E729CC" w14:textId="77777777" w:rsidTr="009F2F54">
        <w:tc>
          <w:tcPr>
            <w:tcW w:w="5812" w:type="dxa"/>
          </w:tcPr>
          <w:p w14:paraId="3551E667" w14:textId="64E3975D" w:rsidR="00F10094" w:rsidRPr="00F10094" w:rsidRDefault="00F10094" w:rsidP="009F2F54">
            <w:pPr>
              <w:spacing w:before="0"/>
              <w:contextualSpacing/>
              <w:rPr>
                <w:sz w:val="20"/>
              </w:rPr>
            </w:pPr>
            <w:r w:rsidRPr="00F10094">
              <w:rPr>
                <w:sz w:val="20"/>
              </w:rPr>
              <w:t>Financial and Insurance Services</w:t>
            </w:r>
          </w:p>
        </w:tc>
        <w:tc>
          <w:tcPr>
            <w:tcW w:w="1276" w:type="dxa"/>
          </w:tcPr>
          <w:p w14:paraId="2200DB3B" w14:textId="0A32B2B7" w:rsidR="00F10094" w:rsidRPr="00F10094" w:rsidRDefault="00F10094" w:rsidP="009F2F54">
            <w:pPr>
              <w:spacing w:before="0"/>
              <w:contextualSpacing/>
              <w:jc w:val="center"/>
              <w:rPr>
                <w:sz w:val="20"/>
              </w:rPr>
            </w:pPr>
            <w:r w:rsidRPr="00F10094">
              <w:rPr>
                <w:sz w:val="20"/>
              </w:rPr>
              <w:t>8</w:t>
            </w:r>
          </w:p>
        </w:tc>
      </w:tr>
      <w:tr w:rsidR="00F10094" w:rsidRPr="00F10094" w14:paraId="522C3023" w14:textId="77777777" w:rsidTr="009F2F54">
        <w:tc>
          <w:tcPr>
            <w:tcW w:w="5812" w:type="dxa"/>
          </w:tcPr>
          <w:p w14:paraId="603B35E6" w14:textId="55FEC77C" w:rsidR="00F10094" w:rsidRPr="00F10094" w:rsidRDefault="00F10094" w:rsidP="009F2F54">
            <w:pPr>
              <w:spacing w:before="0"/>
              <w:contextualSpacing/>
              <w:rPr>
                <w:sz w:val="20"/>
              </w:rPr>
            </w:pPr>
            <w:r w:rsidRPr="00F10094">
              <w:rPr>
                <w:sz w:val="20"/>
              </w:rPr>
              <w:t>Rental, Hiring and Real Estate Services</w:t>
            </w:r>
          </w:p>
        </w:tc>
        <w:tc>
          <w:tcPr>
            <w:tcW w:w="1276" w:type="dxa"/>
          </w:tcPr>
          <w:p w14:paraId="5A8F9AA2" w14:textId="2A37B1F2" w:rsidR="00F10094" w:rsidRPr="00F10094" w:rsidRDefault="00F10094" w:rsidP="009F2F54">
            <w:pPr>
              <w:spacing w:before="0"/>
              <w:contextualSpacing/>
              <w:jc w:val="center"/>
              <w:rPr>
                <w:sz w:val="20"/>
              </w:rPr>
            </w:pPr>
            <w:r w:rsidRPr="00F10094">
              <w:rPr>
                <w:sz w:val="20"/>
              </w:rPr>
              <w:t>71</w:t>
            </w:r>
          </w:p>
        </w:tc>
      </w:tr>
      <w:tr w:rsidR="00F10094" w:rsidRPr="00F10094" w14:paraId="23AE00BF" w14:textId="77777777" w:rsidTr="009F2F54">
        <w:tc>
          <w:tcPr>
            <w:tcW w:w="5812" w:type="dxa"/>
          </w:tcPr>
          <w:p w14:paraId="043F8F27" w14:textId="35B258D9" w:rsidR="00F10094" w:rsidRPr="00F10094" w:rsidRDefault="00F10094" w:rsidP="009F2F54">
            <w:pPr>
              <w:spacing w:before="0"/>
              <w:contextualSpacing/>
              <w:rPr>
                <w:sz w:val="20"/>
              </w:rPr>
            </w:pPr>
            <w:r w:rsidRPr="00F10094">
              <w:rPr>
                <w:sz w:val="20"/>
              </w:rPr>
              <w:t>Professional, Scientific and Technical Services</w:t>
            </w:r>
          </w:p>
        </w:tc>
        <w:tc>
          <w:tcPr>
            <w:tcW w:w="1276" w:type="dxa"/>
          </w:tcPr>
          <w:p w14:paraId="156375E1" w14:textId="16073EB2" w:rsidR="00F10094" w:rsidRPr="00F10094" w:rsidRDefault="00F10094" w:rsidP="009F2F54">
            <w:pPr>
              <w:spacing w:before="0"/>
              <w:contextualSpacing/>
              <w:jc w:val="center"/>
              <w:rPr>
                <w:sz w:val="20"/>
              </w:rPr>
            </w:pPr>
            <w:r w:rsidRPr="00F10094">
              <w:rPr>
                <w:sz w:val="20"/>
              </w:rPr>
              <w:t>116</w:t>
            </w:r>
          </w:p>
        </w:tc>
      </w:tr>
      <w:tr w:rsidR="00F10094" w:rsidRPr="00F10094" w14:paraId="3620A83C" w14:textId="77777777" w:rsidTr="009F2F54">
        <w:tc>
          <w:tcPr>
            <w:tcW w:w="5812" w:type="dxa"/>
          </w:tcPr>
          <w:p w14:paraId="655F6837" w14:textId="2EFCFF8B" w:rsidR="00F10094" w:rsidRPr="00F10094" w:rsidRDefault="00F10094" w:rsidP="009F2F54">
            <w:pPr>
              <w:spacing w:before="0"/>
              <w:contextualSpacing/>
              <w:rPr>
                <w:sz w:val="20"/>
              </w:rPr>
            </w:pPr>
            <w:r w:rsidRPr="00F10094">
              <w:rPr>
                <w:sz w:val="20"/>
              </w:rPr>
              <w:t>Administrative and Support Services</w:t>
            </w:r>
          </w:p>
        </w:tc>
        <w:tc>
          <w:tcPr>
            <w:tcW w:w="1276" w:type="dxa"/>
          </w:tcPr>
          <w:p w14:paraId="182DF51A" w14:textId="3AE438E9" w:rsidR="00F10094" w:rsidRPr="00F10094" w:rsidRDefault="00F10094" w:rsidP="009F2F54">
            <w:pPr>
              <w:spacing w:before="0"/>
              <w:contextualSpacing/>
              <w:jc w:val="center"/>
              <w:rPr>
                <w:sz w:val="20"/>
              </w:rPr>
            </w:pPr>
            <w:r w:rsidRPr="00F10094">
              <w:rPr>
                <w:sz w:val="20"/>
              </w:rPr>
              <w:t>211</w:t>
            </w:r>
          </w:p>
        </w:tc>
      </w:tr>
      <w:tr w:rsidR="00F10094" w:rsidRPr="00F10094" w14:paraId="408473F0" w14:textId="77777777" w:rsidTr="009F2F54">
        <w:tc>
          <w:tcPr>
            <w:tcW w:w="5812" w:type="dxa"/>
          </w:tcPr>
          <w:p w14:paraId="1DE2CBB5" w14:textId="60680C13" w:rsidR="00F10094" w:rsidRPr="00F10094" w:rsidRDefault="00F10094" w:rsidP="009F2F54">
            <w:pPr>
              <w:spacing w:before="0"/>
              <w:contextualSpacing/>
              <w:rPr>
                <w:sz w:val="20"/>
              </w:rPr>
            </w:pPr>
            <w:r w:rsidRPr="00F10094">
              <w:rPr>
                <w:sz w:val="20"/>
              </w:rPr>
              <w:t>Public Administration and Safety</w:t>
            </w:r>
          </w:p>
        </w:tc>
        <w:tc>
          <w:tcPr>
            <w:tcW w:w="1276" w:type="dxa"/>
          </w:tcPr>
          <w:p w14:paraId="20ADA44A" w14:textId="12A40F0B" w:rsidR="00F10094" w:rsidRPr="00F10094" w:rsidRDefault="00F10094" w:rsidP="009F2F54">
            <w:pPr>
              <w:spacing w:before="0"/>
              <w:contextualSpacing/>
              <w:jc w:val="center"/>
              <w:rPr>
                <w:sz w:val="20"/>
              </w:rPr>
            </w:pPr>
            <w:r w:rsidRPr="00F10094">
              <w:rPr>
                <w:sz w:val="20"/>
              </w:rPr>
              <w:t>56</w:t>
            </w:r>
          </w:p>
        </w:tc>
      </w:tr>
      <w:tr w:rsidR="00F10094" w:rsidRPr="00F10094" w14:paraId="4E292DCB" w14:textId="77777777" w:rsidTr="009F2F54">
        <w:tc>
          <w:tcPr>
            <w:tcW w:w="5812" w:type="dxa"/>
          </w:tcPr>
          <w:p w14:paraId="34609BD9" w14:textId="3AE1E02E" w:rsidR="00F10094" w:rsidRPr="00F10094" w:rsidRDefault="00F10094" w:rsidP="009F2F54">
            <w:pPr>
              <w:spacing w:before="0"/>
              <w:contextualSpacing/>
              <w:rPr>
                <w:sz w:val="20"/>
              </w:rPr>
            </w:pPr>
            <w:r w:rsidRPr="00F10094">
              <w:rPr>
                <w:sz w:val="20"/>
              </w:rPr>
              <w:t>Education and Training</w:t>
            </w:r>
          </w:p>
        </w:tc>
        <w:tc>
          <w:tcPr>
            <w:tcW w:w="1276" w:type="dxa"/>
          </w:tcPr>
          <w:p w14:paraId="7947AF9E" w14:textId="06620D9F" w:rsidR="00F10094" w:rsidRPr="00F10094" w:rsidRDefault="00F10094" w:rsidP="009F2F54">
            <w:pPr>
              <w:spacing w:before="0"/>
              <w:contextualSpacing/>
              <w:jc w:val="center"/>
              <w:rPr>
                <w:sz w:val="20"/>
              </w:rPr>
            </w:pPr>
            <w:r w:rsidRPr="00F10094">
              <w:rPr>
                <w:sz w:val="20"/>
              </w:rPr>
              <w:t>80</w:t>
            </w:r>
          </w:p>
        </w:tc>
      </w:tr>
      <w:tr w:rsidR="00F10094" w:rsidRPr="00F10094" w14:paraId="528F2BB6" w14:textId="77777777" w:rsidTr="009F2F54">
        <w:tc>
          <w:tcPr>
            <w:tcW w:w="5812" w:type="dxa"/>
          </w:tcPr>
          <w:p w14:paraId="1CCEA615" w14:textId="7AB1361E" w:rsidR="00F10094" w:rsidRPr="00F10094" w:rsidRDefault="00F10094" w:rsidP="009F2F54">
            <w:pPr>
              <w:spacing w:before="0"/>
              <w:contextualSpacing/>
              <w:rPr>
                <w:sz w:val="20"/>
              </w:rPr>
            </w:pPr>
            <w:r w:rsidRPr="00F10094">
              <w:rPr>
                <w:sz w:val="20"/>
              </w:rPr>
              <w:t>Health Care and Social Assistance</w:t>
            </w:r>
          </w:p>
        </w:tc>
        <w:tc>
          <w:tcPr>
            <w:tcW w:w="1276" w:type="dxa"/>
          </w:tcPr>
          <w:p w14:paraId="3EC6253B" w14:textId="7B76274A" w:rsidR="00F10094" w:rsidRPr="00F10094" w:rsidRDefault="00F10094" w:rsidP="009F2F54">
            <w:pPr>
              <w:spacing w:before="0"/>
              <w:contextualSpacing/>
              <w:jc w:val="center"/>
              <w:rPr>
                <w:sz w:val="20"/>
              </w:rPr>
            </w:pPr>
            <w:r w:rsidRPr="00F10094">
              <w:rPr>
                <w:sz w:val="20"/>
              </w:rPr>
              <w:t>95</w:t>
            </w:r>
          </w:p>
        </w:tc>
      </w:tr>
      <w:tr w:rsidR="00F10094" w:rsidRPr="00F10094" w14:paraId="6D011083" w14:textId="77777777" w:rsidTr="009F2F54">
        <w:tc>
          <w:tcPr>
            <w:tcW w:w="5812" w:type="dxa"/>
          </w:tcPr>
          <w:p w14:paraId="598CD8CE" w14:textId="7ECE2E9A" w:rsidR="00F10094" w:rsidRPr="00F10094" w:rsidRDefault="00F10094" w:rsidP="009F2F54">
            <w:pPr>
              <w:spacing w:before="0"/>
              <w:contextualSpacing/>
              <w:rPr>
                <w:sz w:val="20"/>
              </w:rPr>
            </w:pPr>
            <w:r w:rsidRPr="00F10094">
              <w:rPr>
                <w:sz w:val="20"/>
              </w:rPr>
              <w:t>Arts and Recreation Services</w:t>
            </w:r>
          </w:p>
        </w:tc>
        <w:tc>
          <w:tcPr>
            <w:tcW w:w="1276" w:type="dxa"/>
          </w:tcPr>
          <w:p w14:paraId="0B664210" w14:textId="46DEB95D" w:rsidR="00F10094" w:rsidRPr="00F10094" w:rsidRDefault="00F10094" w:rsidP="009F2F54">
            <w:pPr>
              <w:spacing w:before="0"/>
              <w:contextualSpacing/>
              <w:jc w:val="center"/>
              <w:rPr>
                <w:sz w:val="20"/>
              </w:rPr>
            </w:pPr>
            <w:r w:rsidRPr="00F10094">
              <w:rPr>
                <w:sz w:val="20"/>
              </w:rPr>
              <w:t>12</w:t>
            </w:r>
          </w:p>
        </w:tc>
      </w:tr>
      <w:tr w:rsidR="00F10094" w:rsidRPr="00F10094" w14:paraId="323DB46A" w14:textId="77777777" w:rsidTr="009F2F54">
        <w:tc>
          <w:tcPr>
            <w:tcW w:w="5812" w:type="dxa"/>
          </w:tcPr>
          <w:p w14:paraId="5CE37457" w14:textId="697A0285" w:rsidR="00F10094" w:rsidRPr="00F10094" w:rsidRDefault="00F10094" w:rsidP="009F2F54">
            <w:pPr>
              <w:spacing w:before="0"/>
              <w:contextualSpacing/>
              <w:rPr>
                <w:sz w:val="20"/>
              </w:rPr>
            </w:pPr>
            <w:r w:rsidRPr="00F10094">
              <w:rPr>
                <w:sz w:val="20"/>
              </w:rPr>
              <w:t>Other Services</w:t>
            </w:r>
          </w:p>
        </w:tc>
        <w:tc>
          <w:tcPr>
            <w:tcW w:w="1276" w:type="dxa"/>
          </w:tcPr>
          <w:p w14:paraId="1CF30619" w14:textId="6188194A" w:rsidR="00F10094" w:rsidRPr="00F10094" w:rsidRDefault="00F10094" w:rsidP="009F2F54">
            <w:pPr>
              <w:spacing w:before="0"/>
              <w:contextualSpacing/>
              <w:jc w:val="center"/>
              <w:rPr>
                <w:sz w:val="20"/>
              </w:rPr>
            </w:pPr>
            <w:r w:rsidRPr="00F10094">
              <w:rPr>
                <w:sz w:val="20"/>
              </w:rPr>
              <w:t>7</w:t>
            </w:r>
            <w:r>
              <w:rPr>
                <w:sz w:val="20"/>
              </w:rPr>
              <w:t>,</w:t>
            </w:r>
            <w:r w:rsidRPr="00F10094">
              <w:rPr>
                <w:sz w:val="20"/>
              </w:rPr>
              <w:t>192</w:t>
            </w:r>
          </w:p>
        </w:tc>
      </w:tr>
      <w:tr w:rsidR="00F10094" w:rsidRPr="00F10094" w14:paraId="3279A689" w14:textId="77777777" w:rsidTr="009F2F54">
        <w:tc>
          <w:tcPr>
            <w:tcW w:w="5812" w:type="dxa"/>
          </w:tcPr>
          <w:p w14:paraId="61216A68" w14:textId="37471AD0" w:rsidR="00F10094" w:rsidRPr="00F10094" w:rsidRDefault="00F10094" w:rsidP="009F2F54">
            <w:pPr>
              <w:spacing w:before="0"/>
              <w:contextualSpacing/>
              <w:rPr>
                <w:sz w:val="20"/>
              </w:rPr>
            </w:pPr>
            <w:r w:rsidRPr="00F10094">
              <w:rPr>
                <w:sz w:val="20"/>
              </w:rPr>
              <w:t>Inadequately described</w:t>
            </w:r>
          </w:p>
        </w:tc>
        <w:tc>
          <w:tcPr>
            <w:tcW w:w="1276" w:type="dxa"/>
          </w:tcPr>
          <w:p w14:paraId="59FBF883" w14:textId="3DDC7F45" w:rsidR="00F10094" w:rsidRPr="00F10094" w:rsidRDefault="00F10094" w:rsidP="009F2F54">
            <w:pPr>
              <w:spacing w:before="0"/>
              <w:contextualSpacing/>
              <w:jc w:val="center"/>
              <w:rPr>
                <w:sz w:val="20"/>
              </w:rPr>
            </w:pPr>
            <w:r w:rsidRPr="00F10094">
              <w:rPr>
                <w:sz w:val="20"/>
              </w:rPr>
              <w:t>447</w:t>
            </w:r>
          </w:p>
        </w:tc>
      </w:tr>
      <w:tr w:rsidR="00F10094" w:rsidRPr="00F10094" w14:paraId="4268F074" w14:textId="77777777" w:rsidTr="009F2F54">
        <w:tc>
          <w:tcPr>
            <w:tcW w:w="5812" w:type="dxa"/>
          </w:tcPr>
          <w:p w14:paraId="7FF6B3A7" w14:textId="4F0B4E83" w:rsidR="00F10094" w:rsidRPr="00F10094" w:rsidRDefault="00F10094" w:rsidP="009F2F54">
            <w:pPr>
              <w:spacing w:before="0"/>
              <w:contextualSpacing/>
              <w:rPr>
                <w:sz w:val="20"/>
              </w:rPr>
            </w:pPr>
            <w:r w:rsidRPr="00F10094">
              <w:rPr>
                <w:sz w:val="20"/>
              </w:rPr>
              <w:t>Not stated</w:t>
            </w:r>
          </w:p>
        </w:tc>
        <w:tc>
          <w:tcPr>
            <w:tcW w:w="1276" w:type="dxa"/>
          </w:tcPr>
          <w:p w14:paraId="3656FE5C" w14:textId="7FCFC643" w:rsidR="00F10094" w:rsidRPr="00F10094" w:rsidRDefault="00F10094" w:rsidP="009F2F54">
            <w:pPr>
              <w:spacing w:before="0"/>
              <w:contextualSpacing/>
              <w:jc w:val="center"/>
              <w:rPr>
                <w:sz w:val="20"/>
              </w:rPr>
            </w:pPr>
            <w:r w:rsidRPr="00F10094">
              <w:rPr>
                <w:sz w:val="20"/>
              </w:rPr>
              <w:t>81</w:t>
            </w:r>
          </w:p>
        </w:tc>
      </w:tr>
      <w:tr w:rsidR="00F10094" w:rsidRPr="00F10094" w14:paraId="212F4E9E" w14:textId="77777777" w:rsidTr="00F10094">
        <w:tc>
          <w:tcPr>
            <w:tcW w:w="5812" w:type="dxa"/>
            <w:tcBorders>
              <w:top w:val="double" w:sz="4" w:space="0" w:color="auto"/>
            </w:tcBorders>
          </w:tcPr>
          <w:p w14:paraId="1C0576D3" w14:textId="0B1C7469" w:rsidR="00F10094" w:rsidRPr="00F10094" w:rsidRDefault="00F10094" w:rsidP="00F10094">
            <w:pPr>
              <w:spacing w:before="60" w:after="60"/>
              <w:rPr>
                <w:szCs w:val="22"/>
              </w:rPr>
            </w:pPr>
            <w:r w:rsidRPr="00F10094">
              <w:rPr>
                <w:szCs w:val="22"/>
              </w:rPr>
              <w:t>Total</w:t>
            </w:r>
          </w:p>
        </w:tc>
        <w:tc>
          <w:tcPr>
            <w:tcW w:w="1276" w:type="dxa"/>
            <w:tcBorders>
              <w:top w:val="double" w:sz="4" w:space="0" w:color="auto"/>
            </w:tcBorders>
          </w:tcPr>
          <w:p w14:paraId="18AC330E" w14:textId="4BC50CC7" w:rsidR="00F10094" w:rsidRPr="00F10094" w:rsidRDefault="00F10094" w:rsidP="00F10094">
            <w:pPr>
              <w:spacing w:before="60" w:after="60"/>
              <w:jc w:val="center"/>
              <w:rPr>
                <w:szCs w:val="22"/>
              </w:rPr>
            </w:pPr>
            <w:r w:rsidRPr="00F10094">
              <w:rPr>
                <w:szCs w:val="22"/>
              </w:rPr>
              <w:t>17</w:t>
            </w:r>
            <w:r>
              <w:rPr>
                <w:szCs w:val="22"/>
              </w:rPr>
              <w:t>,</w:t>
            </w:r>
            <w:r w:rsidRPr="00F10094">
              <w:rPr>
                <w:szCs w:val="22"/>
              </w:rPr>
              <w:t>493</w:t>
            </w:r>
          </w:p>
        </w:tc>
      </w:tr>
    </w:tbl>
    <w:p w14:paraId="33C84700" w14:textId="77777777" w:rsidR="00624526" w:rsidRPr="00624526" w:rsidRDefault="00624526" w:rsidP="00624526">
      <w:pPr>
        <w:spacing w:before="0"/>
        <w:rPr>
          <w:sz w:val="20"/>
          <w:szCs w:val="20"/>
        </w:rPr>
      </w:pPr>
      <w:r w:rsidRPr="00624526">
        <w:rPr>
          <w:sz w:val="20"/>
          <w:szCs w:val="20"/>
        </w:rPr>
        <w:t>(Source: Census 2011)</w:t>
      </w:r>
    </w:p>
    <w:p w14:paraId="6E1E3B9A" w14:textId="77777777" w:rsidR="00624526" w:rsidRPr="00D77B81" w:rsidRDefault="00624526" w:rsidP="00E713EC">
      <w:pPr>
        <w:rPr>
          <w:sz w:val="20"/>
          <w:szCs w:val="20"/>
        </w:rPr>
      </w:pPr>
    </w:p>
    <w:p w14:paraId="7C3AAFB6" w14:textId="5E284CD2" w:rsidR="005F5B5D" w:rsidRPr="005D159D" w:rsidRDefault="005F5B5D" w:rsidP="005F5B5D">
      <w:pPr>
        <w:rPr>
          <w:i/>
          <w:szCs w:val="22"/>
        </w:rPr>
      </w:pPr>
      <w:bookmarkStart w:id="115" w:name="_Toc233084089"/>
      <w:r w:rsidRPr="005D159D">
        <w:rPr>
          <w:i/>
          <w:szCs w:val="22"/>
        </w:rPr>
        <w:t xml:space="preserve">Table </w:t>
      </w:r>
      <w:r w:rsidRPr="005D159D">
        <w:rPr>
          <w:i/>
          <w:szCs w:val="22"/>
        </w:rPr>
        <w:fldChar w:fldCharType="begin"/>
      </w:r>
      <w:r w:rsidRPr="005D159D">
        <w:rPr>
          <w:i/>
          <w:szCs w:val="22"/>
        </w:rPr>
        <w:instrText xml:space="preserve"> SEQ Table \* ARABIC </w:instrText>
      </w:r>
      <w:r w:rsidRPr="005D159D">
        <w:rPr>
          <w:i/>
          <w:szCs w:val="22"/>
        </w:rPr>
        <w:fldChar w:fldCharType="separate"/>
      </w:r>
      <w:r w:rsidR="00196462">
        <w:rPr>
          <w:i/>
          <w:noProof/>
          <w:szCs w:val="22"/>
        </w:rPr>
        <w:t>45</w:t>
      </w:r>
      <w:r w:rsidRPr="005D159D">
        <w:rPr>
          <w:i/>
          <w:szCs w:val="22"/>
        </w:rPr>
        <w:fldChar w:fldCharType="end"/>
      </w:r>
      <w:r w:rsidRPr="005D159D">
        <w:rPr>
          <w:i/>
          <w:szCs w:val="22"/>
        </w:rPr>
        <w:t xml:space="preserve">: </w:t>
      </w:r>
      <w:r w:rsidRPr="005F5B5D">
        <w:rPr>
          <w:i/>
          <w:szCs w:val="22"/>
        </w:rPr>
        <w:t>Apprentic</w:t>
      </w:r>
      <w:r>
        <w:rPr>
          <w:i/>
          <w:szCs w:val="22"/>
        </w:rPr>
        <w:t>e commencements and completions</w:t>
      </w:r>
      <w:bookmarkEnd w:id="1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304"/>
        <w:gridCol w:w="1304"/>
        <w:gridCol w:w="1304"/>
        <w:gridCol w:w="1304"/>
        <w:gridCol w:w="1304"/>
        <w:gridCol w:w="1304"/>
      </w:tblGrid>
      <w:tr w:rsidR="005F5B5D" w:rsidRPr="00923150" w14:paraId="6C502FCF" w14:textId="77777777" w:rsidTr="005F2CFD">
        <w:trPr>
          <w:trHeight w:val="684"/>
        </w:trPr>
        <w:tc>
          <w:tcPr>
            <w:tcW w:w="1843" w:type="dxa"/>
            <w:tcBorders>
              <w:top w:val="single" w:sz="8" w:space="0" w:color="auto"/>
              <w:left w:val="single" w:sz="8" w:space="0" w:color="auto"/>
              <w:bottom w:val="single" w:sz="4" w:space="0" w:color="000000"/>
              <w:right w:val="single" w:sz="4" w:space="0" w:color="FFFFFF"/>
            </w:tcBorders>
            <w:shd w:val="clear" w:color="auto" w:fill="000000"/>
            <w:vAlign w:val="center"/>
          </w:tcPr>
          <w:p w14:paraId="7273E382" w14:textId="6463BDD0" w:rsidR="005F5B5D" w:rsidRPr="00923150" w:rsidRDefault="005F5B5D" w:rsidP="009F2F54">
            <w:pPr>
              <w:spacing w:after="120"/>
              <w:ind w:left="34"/>
            </w:pPr>
            <w:r>
              <w:t>Status</w:t>
            </w:r>
          </w:p>
        </w:tc>
        <w:tc>
          <w:tcPr>
            <w:tcW w:w="1304" w:type="dxa"/>
            <w:tcBorders>
              <w:top w:val="single" w:sz="8" w:space="0" w:color="auto"/>
              <w:left w:val="single" w:sz="4" w:space="0" w:color="FFFFFF"/>
              <w:bottom w:val="single" w:sz="4" w:space="0" w:color="000000"/>
              <w:right w:val="single" w:sz="4" w:space="0" w:color="FFFFFF"/>
            </w:tcBorders>
            <w:shd w:val="clear" w:color="auto" w:fill="000000"/>
            <w:vAlign w:val="center"/>
          </w:tcPr>
          <w:p w14:paraId="62EBDEF2" w14:textId="2EFB8B5F" w:rsidR="005F5B5D" w:rsidRPr="008B096C" w:rsidRDefault="005F5B5D" w:rsidP="009F2F54">
            <w:pPr>
              <w:spacing w:after="120"/>
              <w:jc w:val="center"/>
              <w:rPr>
                <w:sz w:val="20"/>
                <w:szCs w:val="20"/>
              </w:rPr>
            </w:pPr>
            <w:r w:rsidRPr="00966033">
              <w:t>2006</w:t>
            </w:r>
          </w:p>
        </w:tc>
        <w:tc>
          <w:tcPr>
            <w:tcW w:w="1304" w:type="dxa"/>
            <w:tcBorders>
              <w:top w:val="single" w:sz="8" w:space="0" w:color="auto"/>
              <w:left w:val="single" w:sz="4" w:space="0" w:color="FFFFFF"/>
              <w:bottom w:val="single" w:sz="4" w:space="0" w:color="000000"/>
              <w:right w:val="single" w:sz="4" w:space="0" w:color="FFFFFF"/>
            </w:tcBorders>
            <w:shd w:val="clear" w:color="auto" w:fill="000000"/>
            <w:vAlign w:val="center"/>
          </w:tcPr>
          <w:p w14:paraId="0DD4D956" w14:textId="437A7BBA" w:rsidR="005F5B5D" w:rsidRPr="008B096C" w:rsidRDefault="005F5B5D" w:rsidP="009F2F54">
            <w:pPr>
              <w:spacing w:after="120"/>
              <w:jc w:val="center"/>
              <w:rPr>
                <w:sz w:val="20"/>
                <w:szCs w:val="20"/>
              </w:rPr>
            </w:pPr>
            <w:r w:rsidRPr="00966033">
              <w:t>2007</w:t>
            </w:r>
          </w:p>
        </w:tc>
        <w:tc>
          <w:tcPr>
            <w:tcW w:w="1304" w:type="dxa"/>
            <w:tcBorders>
              <w:top w:val="single" w:sz="8" w:space="0" w:color="auto"/>
              <w:left w:val="single" w:sz="4" w:space="0" w:color="FFFFFF"/>
              <w:bottom w:val="single" w:sz="4" w:space="0" w:color="000000"/>
              <w:right w:val="single" w:sz="4" w:space="0" w:color="FFFFFF"/>
            </w:tcBorders>
            <w:shd w:val="clear" w:color="auto" w:fill="000000"/>
            <w:vAlign w:val="center"/>
          </w:tcPr>
          <w:p w14:paraId="39A26F8A" w14:textId="306317D0" w:rsidR="005F5B5D" w:rsidRPr="008B096C" w:rsidRDefault="005F5B5D" w:rsidP="009F2F54">
            <w:pPr>
              <w:spacing w:after="120"/>
              <w:jc w:val="center"/>
              <w:rPr>
                <w:sz w:val="20"/>
                <w:szCs w:val="20"/>
              </w:rPr>
            </w:pPr>
            <w:r w:rsidRPr="00966033">
              <w:t>2008</w:t>
            </w:r>
          </w:p>
        </w:tc>
        <w:tc>
          <w:tcPr>
            <w:tcW w:w="1304" w:type="dxa"/>
            <w:tcBorders>
              <w:top w:val="single" w:sz="8" w:space="0" w:color="auto"/>
              <w:left w:val="single" w:sz="4" w:space="0" w:color="FFFFFF"/>
              <w:bottom w:val="single" w:sz="4" w:space="0" w:color="000000"/>
              <w:right w:val="single" w:sz="4" w:space="0" w:color="FFFFFF"/>
            </w:tcBorders>
            <w:shd w:val="clear" w:color="auto" w:fill="000000"/>
            <w:vAlign w:val="center"/>
          </w:tcPr>
          <w:p w14:paraId="279DDCEC" w14:textId="50F3A8D9" w:rsidR="005F5B5D" w:rsidRPr="008B096C" w:rsidRDefault="005F5B5D" w:rsidP="009F2F54">
            <w:pPr>
              <w:spacing w:after="120"/>
              <w:jc w:val="center"/>
              <w:rPr>
                <w:sz w:val="20"/>
                <w:szCs w:val="20"/>
              </w:rPr>
            </w:pPr>
            <w:r w:rsidRPr="00966033">
              <w:t>2009</w:t>
            </w:r>
          </w:p>
        </w:tc>
        <w:tc>
          <w:tcPr>
            <w:tcW w:w="1304" w:type="dxa"/>
            <w:tcBorders>
              <w:top w:val="single" w:sz="8" w:space="0" w:color="auto"/>
              <w:left w:val="single" w:sz="4" w:space="0" w:color="FFFFFF"/>
              <w:bottom w:val="single" w:sz="4" w:space="0" w:color="000000"/>
              <w:right w:val="single" w:sz="4" w:space="0" w:color="FFFFFF"/>
            </w:tcBorders>
            <w:shd w:val="clear" w:color="auto" w:fill="000000"/>
            <w:vAlign w:val="center"/>
          </w:tcPr>
          <w:p w14:paraId="6E3110C4" w14:textId="036AC973" w:rsidR="005F5B5D" w:rsidRPr="008B096C" w:rsidRDefault="005F5B5D" w:rsidP="009F2F54">
            <w:pPr>
              <w:spacing w:after="120"/>
              <w:jc w:val="center"/>
              <w:rPr>
                <w:sz w:val="20"/>
                <w:szCs w:val="20"/>
              </w:rPr>
            </w:pPr>
            <w:r w:rsidRPr="00966033">
              <w:t>2010</w:t>
            </w:r>
          </w:p>
        </w:tc>
        <w:tc>
          <w:tcPr>
            <w:tcW w:w="1304" w:type="dxa"/>
            <w:tcBorders>
              <w:top w:val="single" w:sz="8" w:space="0" w:color="auto"/>
              <w:left w:val="single" w:sz="4" w:space="0" w:color="FFFFFF"/>
              <w:bottom w:val="single" w:sz="4" w:space="0" w:color="000000"/>
              <w:right w:val="single" w:sz="8" w:space="0" w:color="auto"/>
            </w:tcBorders>
            <w:shd w:val="clear" w:color="auto" w:fill="000000"/>
            <w:vAlign w:val="center"/>
          </w:tcPr>
          <w:p w14:paraId="6B5D1088" w14:textId="637C29F9" w:rsidR="005F5B5D" w:rsidRPr="008B096C" w:rsidRDefault="005F5B5D" w:rsidP="009F2F54">
            <w:pPr>
              <w:spacing w:after="120"/>
              <w:jc w:val="center"/>
              <w:rPr>
                <w:sz w:val="20"/>
                <w:szCs w:val="20"/>
              </w:rPr>
            </w:pPr>
            <w:r w:rsidRPr="00966033">
              <w:t>2011</w:t>
            </w:r>
          </w:p>
        </w:tc>
      </w:tr>
      <w:tr w:rsidR="005F5B5D" w:rsidRPr="00923150" w14:paraId="5A4CC9AA" w14:textId="77777777" w:rsidTr="005F5B5D">
        <w:trPr>
          <w:trHeight w:val="456"/>
        </w:trPr>
        <w:tc>
          <w:tcPr>
            <w:tcW w:w="1843" w:type="dxa"/>
            <w:tcBorders>
              <w:top w:val="single" w:sz="4" w:space="0" w:color="000000"/>
            </w:tcBorders>
            <w:vAlign w:val="center"/>
          </w:tcPr>
          <w:p w14:paraId="5B470285" w14:textId="1E515F8B" w:rsidR="005F5B5D" w:rsidRPr="00923150" w:rsidRDefault="005F5B5D" w:rsidP="009F2F54">
            <w:pPr>
              <w:spacing w:before="60" w:after="60"/>
              <w:ind w:left="34"/>
              <w:jc w:val="left"/>
              <w:rPr>
                <w:sz w:val="20"/>
              </w:rPr>
            </w:pPr>
            <w:r w:rsidRPr="00D95C51">
              <w:t>Commencements</w:t>
            </w:r>
          </w:p>
        </w:tc>
        <w:tc>
          <w:tcPr>
            <w:tcW w:w="1304" w:type="dxa"/>
            <w:tcBorders>
              <w:top w:val="single" w:sz="4" w:space="0" w:color="000000"/>
            </w:tcBorders>
            <w:vAlign w:val="center"/>
          </w:tcPr>
          <w:p w14:paraId="4E389EED" w14:textId="2D63190A" w:rsidR="005F5B5D" w:rsidRPr="008B096C" w:rsidRDefault="005F5B5D" w:rsidP="009F2F54">
            <w:pPr>
              <w:spacing w:before="60" w:after="60"/>
              <w:jc w:val="center"/>
              <w:rPr>
                <w:sz w:val="20"/>
                <w:szCs w:val="20"/>
              </w:rPr>
            </w:pPr>
            <w:r w:rsidRPr="00D95C51">
              <w:t>1</w:t>
            </w:r>
            <w:r>
              <w:t>,</w:t>
            </w:r>
            <w:r w:rsidRPr="00D95C51">
              <w:t>067</w:t>
            </w:r>
          </w:p>
        </w:tc>
        <w:tc>
          <w:tcPr>
            <w:tcW w:w="1304" w:type="dxa"/>
            <w:tcBorders>
              <w:top w:val="single" w:sz="4" w:space="0" w:color="000000"/>
            </w:tcBorders>
            <w:vAlign w:val="center"/>
          </w:tcPr>
          <w:p w14:paraId="6D35D88A" w14:textId="4DC45778" w:rsidR="005F5B5D" w:rsidRPr="008B096C" w:rsidRDefault="005F5B5D" w:rsidP="009F2F54">
            <w:pPr>
              <w:spacing w:before="60" w:after="60"/>
              <w:jc w:val="center"/>
              <w:rPr>
                <w:sz w:val="20"/>
                <w:szCs w:val="20"/>
              </w:rPr>
            </w:pPr>
            <w:r w:rsidRPr="00D95C51">
              <w:t>1</w:t>
            </w:r>
            <w:r>
              <w:t>,</w:t>
            </w:r>
            <w:r w:rsidRPr="00D95C51">
              <w:t>009</w:t>
            </w:r>
          </w:p>
        </w:tc>
        <w:tc>
          <w:tcPr>
            <w:tcW w:w="1304" w:type="dxa"/>
            <w:tcBorders>
              <w:top w:val="single" w:sz="4" w:space="0" w:color="000000"/>
            </w:tcBorders>
            <w:vAlign w:val="center"/>
          </w:tcPr>
          <w:p w14:paraId="45C11C4B" w14:textId="005C7156" w:rsidR="005F5B5D" w:rsidRPr="008B096C" w:rsidRDefault="005F5B5D" w:rsidP="009F2F54">
            <w:pPr>
              <w:spacing w:before="60" w:after="60"/>
              <w:jc w:val="center"/>
              <w:rPr>
                <w:sz w:val="20"/>
                <w:szCs w:val="20"/>
              </w:rPr>
            </w:pPr>
            <w:r w:rsidRPr="00D95C51">
              <w:t>1</w:t>
            </w:r>
            <w:r>
              <w:t>,</w:t>
            </w:r>
            <w:r w:rsidRPr="00D95C51">
              <w:t>010</w:t>
            </w:r>
          </w:p>
        </w:tc>
        <w:tc>
          <w:tcPr>
            <w:tcW w:w="1304" w:type="dxa"/>
            <w:tcBorders>
              <w:top w:val="single" w:sz="4" w:space="0" w:color="000000"/>
            </w:tcBorders>
            <w:vAlign w:val="center"/>
          </w:tcPr>
          <w:p w14:paraId="1C675452" w14:textId="425C7413" w:rsidR="005F5B5D" w:rsidRPr="008B096C" w:rsidRDefault="005F5B5D" w:rsidP="009F2F54">
            <w:pPr>
              <w:spacing w:before="60" w:after="60"/>
              <w:jc w:val="center"/>
              <w:rPr>
                <w:sz w:val="20"/>
                <w:szCs w:val="20"/>
              </w:rPr>
            </w:pPr>
            <w:r w:rsidRPr="00D95C51">
              <w:t>901</w:t>
            </w:r>
          </w:p>
        </w:tc>
        <w:tc>
          <w:tcPr>
            <w:tcW w:w="1304" w:type="dxa"/>
            <w:tcBorders>
              <w:top w:val="single" w:sz="4" w:space="0" w:color="000000"/>
            </w:tcBorders>
            <w:vAlign w:val="center"/>
          </w:tcPr>
          <w:p w14:paraId="431A96EB" w14:textId="7574A271" w:rsidR="005F5B5D" w:rsidRPr="008B096C" w:rsidRDefault="005F5B5D" w:rsidP="009F2F54">
            <w:pPr>
              <w:spacing w:before="60" w:after="60"/>
              <w:jc w:val="center"/>
              <w:rPr>
                <w:sz w:val="20"/>
                <w:szCs w:val="20"/>
              </w:rPr>
            </w:pPr>
            <w:r w:rsidRPr="00D95C51">
              <w:t>1</w:t>
            </w:r>
            <w:r>
              <w:t>,</w:t>
            </w:r>
            <w:r w:rsidRPr="00D95C51">
              <w:t>159</w:t>
            </w:r>
          </w:p>
        </w:tc>
        <w:tc>
          <w:tcPr>
            <w:tcW w:w="1304" w:type="dxa"/>
            <w:tcBorders>
              <w:top w:val="single" w:sz="4" w:space="0" w:color="000000"/>
            </w:tcBorders>
            <w:vAlign w:val="center"/>
          </w:tcPr>
          <w:p w14:paraId="6E1C99FF" w14:textId="4F0D667D" w:rsidR="005F5B5D" w:rsidRPr="008B096C" w:rsidRDefault="005F5B5D" w:rsidP="009F2F54">
            <w:pPr>
              <w:spacing w:before="60" w:after="60"/>
              <w:jc w:val="center"/>
              <w:rPr>
                <w:sz w:val="20"/>
                <w:szCs w:val="20"/>
              </w:rPr>
            </w:pPr>
            <w:r w:rsidRPr="00D95C51">
              <w:t>972</w:t>
            </w:r>
          </w:p>
        </w:tc>
      </w:tr>
      <w:tr w:rsidR="005F5B5D" w:rsidRPr="00923150" w14:paraId="3EACB059" w14:textId="77777777" w:rsidTr="005F5B5D">
        <w:trPr>
          <w:trHeight w:val="456"/>
        </w:trPr>
        <w:tc>
          <w:tcPr>
            <w:tcW w:w="1843" w:type="dxa"/>
            <w:tcBorders>
              <w:top w:val="single" w:sz="4" w:space="0" w:color="000000"/>
            </w:tcBorders>
            <w:vAlign w:val="center"/>
          </w:tcPr>
          <w:p w14:paraId="4EE16CAD" w14:textId="38B0FB32" w:rsidR="005F5B5D" w:rsidRPr="00923150" w:rsidRDefault="005F5B5D" w:rsidP="009F2F54">
            <w:pPr>
              <w:spacing w:before="60" w:after="60"/>
              <w:ind w:left="34"/>
              <w:jc w:val="left"/>
              <w:rPr>
                <w:sz w:val="20"/>
              </w:rPr>
            </w:pPr>
            <w:r w:rsidRPr="00D95C51">
              <w:t>Completions</w:t>
            </w:r>
          </w:p>
        </w:tc>
        <w:tc>
          <w:tcPr>
            <w:tcW w:w="1304" w:type="dxa"/>
            <w:tcBorders>
              <w:top w:val="single" w:sz="4" w:space="0" w:color="000000"/>
            </w:tcBorders>
            <w:vAlign w:val="center"/>
          </w:tcPr>
          <w:p w14:paraId="39131498" w14:textId="64C8656F" w:rsidR="005F5B5D" w:rsidRPr="008B096C" w:rsidRDefault="005F5B5D" w:rsidP="009F2F54">
            <w:pPr>
              <w:spacing w:before="60" w:after="60"/>
              <w:jc w:val="center"/>
              <w:rPr>
                <w:sz w:val="20"/>
                <w:szCs w:val="20"/>
              </w:rPr>
            </w:pPr>
            <w:r w:rsidRPr="00D95C51">
              <w:t>316</w:t>
            </w:r>
          </w:p>
        </w:tc>
        <w:tc>
          <w:tcPr>
            <w:tcW w:w="1304" w:type="dxa"/>
            <w:tcBorders>
              <w:top w:val="single" w:sz="4" w:space="0" w:color="000000"/>
            </w:tcBorders>
            <w:vAlign w:val="center"/>
          </w:tcPr>
          <w:p w14:paraId="2C09ECB4" w14:textId="475550AF" w:rsidR="005F5B5D" w:rsidRPr="008B096C" w:rsidRDefault="005F5B5D" w:rsidP="009F2F54">
            <w:pPr>
              <w:spacing w:before="60" w:after="60"/>
              <w:jc w:val="center"/>
              <w:rPr>
                <w:sz w:val="20"/>
                <w:szCs w:val="20"/>
              </w:rPr>
            </w:pPr>
            <w:r w:rsidRPr="00D95C51">
              <w:t>416</w:t>
            </w:r>
          </w:p>
        </w:tc>
        <w:tc>
          <w:tcPr>
            <w:tcW w:w="1304" w:type="dxa"/>
            <w:tcBorders>
              <w:top w:val="single" w:sz="4" w:space="0" w:color="000000"/>
            </w:tcBorders>
            <w:vAlign w:val="center"/>
          </w:tcPr>
          <w:p w14:paraId="13CA74EF" w14:textId="737CE78E" w:rsidR="005F5B5D" w:rsidRPr="008B096C" w:rsidRDefault="005F5B5D" w:rsidP="009F2F54">
            <w:pPr>
              <w:spacing w:before="60" w:after="60"/>
              <w:jc w:val="center"/>
              <w:rPr>
                <w:sz w:val="20"/>
                <w:szCs w:val="20"/>
              </w:rPr>
            </w:pPr>
            <w:r w:rsidRPr="00D95C51">
              <w:t>517</w:t>
            </w:r>
          </w:p>
        </w:tc>
        <w:tc>
          <w:tcPr>
            <w:tcW w:w="1304" w:type="dxa"/>
            <w:tcBorders>
              <w:top w:val="single" w:sz="4" w:space="0" w:color="000000"/>
            </w:tcBorders>
            <w:vAlign w:val="center"/>
          </w:tcPr>
          <w:p w14:paraId="58F4A97F" w14:textId="49A8826C" w:rsidR="005F5B5D" w:rsidRPr="008B096C" w:rsidRDefault="005F5B5D" w:rsidP="009F2F54">
            <w:pPr>
              <w:spacing w:before="60" w:after="60"/>
              <w:jc w:val="center"/>
              <w:rPr>
                <w:sz w:val="20"/>
                <w:szCs w:val="20"/>
              </w:rPr>
            </w:pPr>
            <w:r w:rsidRPr="00D95C51">
              <w:t>539</w:t>
            </w:r>
          </w:p>
        </w:tc>
        <w:tc>
          <w:tcPr>
            <w:tcW w:w="1304" w:type="dxa"/>
            <w:tcBorders>
              <w:top w:val="single" w:sz="4" w:space="0" w:color="000000"/>
            </w:tcBorders>
            <w:vAlign w:val="center"/>
          </w:tcPr>
          <w:p w14:paraId="3D176193" w14:textId="00A1516A" w:rsidR="005F5B5D" w:rsidRPr="008B096C" w:rsidRDefault="005F5B5D" w:rsidP="009F2F54">
            <w:pPr>
              <w:spacing w:before="60" w:after="60"/>
              <w:jc w:val="center"/>
              <w:rPr>
                <w:sz w:val="20"/>
                <w:szCs w:val="20"/>
              </w:rPr>
            </w:pPr>
            <w:r w:rsidRPr="00D95C51">
              <w:t>596</w:t>
            </w:r>
          </w:p>
        </w:tc>
        <w:tc>
          <w:tcPr>
            <w:tcW w:w="1304" w:type="dxa"/>
            <w:tcBorders>
              <w:top w:val="single" w:sz="4" w:space="0" w:color="000000"/>
            </w:tcBorders>
            <w:vAlign w:val="center"/>
          </w:tcPr>
          <w:p w14:paraId="45072895" w14:textId="36A18C52" w:rsidR="005F5B5D" w:rsidRPr="008B096C" w:rsidRDefault="005F5B5D" w:rsidP="009F2F54">
            <w:pPr>
              <w:spacing w:before="60" w:after="60"/>
              <w:jc w:val="center"/>
              <w:rPr>
                <w:sz w:val="20"/>
                <w:szCs w:val="20"/>
              </w:rPr>
            </w:pPr>
            <w:r w:rsidRPr="00D95C51">
              <w:t>576</w:t>
            </w:r>
          </w:p>
        </w:tc>
      </w:tr>
    </w:tbl>
    <w:p w14:paraId="3E1C18DB" w14:textId="7EF7D425" w:rsidR="00E95B66" w:rsidRDefault="005F5B5D" w:rsidP="003937A5">
      <w:pPr>
        <w:rPr>
          <w:szCs w:val="22"/>
        </w:rPr>
      </w:pPr>
      <w:r>
        <w:rPr>
          <w:szCs w:val="22"/>
        </w:rPr>
        <w:t xml:space="preserve">ABS employment category </w:t>
      </w:r>
      <w:r w:rsidRPr="005F5B5D">
        <w:rPr>
          <w:szCs w:val="22"/>
        </w:rPr>
        <w:t xml:space="preserve">– 3421 Air conditioning and </w:t>
      </w:r>
      <w:r>
        <w:rPr>
          <w:szCs w:val="22"/>
        </w:rPr>
        <w:t>r</w:t>
      </w:r>
      <w:r w:rsidRPr="005F5B5D">
        <w:rPr>
          <w:szCs w:val="22"/>
        </w:rPr>
        <w:t xml:space="preserve">efrigeration </w:t>
      </w:r>
      <w:r>
        <w:rPr>
          <w:szCs w:val="22"/>
        </w:rPr>
        <w:t>m</w:t>
      </w:r>
      <w:r w:rsidRPr="005F5B5D">
        <w:rPr>
          <w:szCs w:val="22"/>
        </w:rPr>
        <w:t>echanics</w:t>
      </w:r>
    </w:p>
    <w:p w14:paraId="2325B600" w14:textId="77777777" w:rsidR="00AD548B" w:rsidRDefault="00AD548B" w:rsidP="003937A5">
      <w:pPr>
        <w:rPr>
          <w:szCs w:val="22"/>
        </w:rPr>
      </w:pPr>
    </w:p>
    <w:sectPr w:rsidR="00AD548B" w:rsidSect="00E95B66">
      <w:headerReference w:type="default" r:id="rId36"/>
      <w:footerReference w:type="default" r:id="rId37"/>
      <w:pgSz w:w="11900" w:h="16840"/>
      <w:pgMar w:top="1440" w:right="1127" w:bottom="1440" w:left="1276"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DA1BC" w14:textId="77777777" w:rsidR="00AE586A" w:rsidRDefault="00AE586A" w:rsidP="003937A5">
      <w:pPr>
        <w:spacing w:before="0"/>
      </w:pPr>
      <w:r>
        <w:separator/>
      </w:r>
    </w:p>
  </w:endnote>
  <w:endnote w:type="continuationSeparator" w:id="0">
    <w:p w14:paraId="06B94E22" w14:textId="77777777" w:rsidR="00AE586A" w:rsidRDefault="00AE586A" w:rsidP="003937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PMingLiU">
    <w:altName w:val="新細明體"/>
    <w:charset w:val="88"/>
    <w:family w:val="roman"/>
    <w:pitch w:val="variable"/>
    <w:sig w:usb0="A00002FF" w:usb1="28CFFCFA" w:usb2="00000016" w:usb3="00000000" w:csb0="00100001" w:csb1="00000000"/>
  </w:font>
  <w:font w:name="Lucida Grande">
    <w:altName w:val="Arial"/>
    <w:panose1 w:val="020B0600040502020204"/>
    <w:charset w:val="00"/>
    <w:family w:val="auto"/>
    <w:pitch w:val="variable"/>
    <w:sig w:usb0="E1000AEF" w:usb1="5000A1FF" w:usb2="00000000" w:usb3="00000000" w:csb0="000001BF" w:csb1="00000000"/>
  </w:font>
  <w:font w:name="TimesNewRomanPS">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681" w:type="pct"/>
      <w:tblInd w:w="-1303" w:type="dxa"/>
      <w:tblLayout w:type="fixed"/>
      <w:tblCellMar>
        <w:left w:w="115" w:type="dxa"/>
        <w:right w:w="115" w:type="dxa"/>
      </w:tblCellMar>
      <w:tblLook w:val="04A0" w:firstRow="1" w:lastRow="0" w:firstColumn="1" w:lastColumn="0" w:noHBand="0" w:noVBand="1"/>
    </w:tblPr>
    <w:tblGrid>
      <w:gridCol w:w="139"/>
      <w:gridCol w:w="5275"/>
      <w:gridCol w:w="144"/>
      <w:gridCol w:w="1769"/>
      <w:gridCol w:w="219"/>
      <w:gridCol w:w="862"/>
      <w:gridCol w:w="141"/>
      <w:gridCol w:w="1851"/>
      <w:gridCol w:w="998"/>
    </w:tblGrid>
    <w:tr w:rsidR="00AE586A" w:rsidRPr="00EB45B6" w14:paraId="2DB4542B" w14:textId="77777777" w:rsidTr="008352D3">
      <w:trPr>
        <w:gridBefore w:val="1"/>
        <w:gridAfter w:val="1"/>
        <w:wBefore w:w="61" w:type="pct"/>
        <w:wAfter w:w="438" w:type="pct"/>
      </w:trPr>
      <w:tc>
        <w:tcPr>
          <w:tcW w:w="2314" w:type="pct"/>
          <w:shd w:val="clear" w:color="auto" w:fill="auto"/>
        </w:tcPr>
        <w:p w14:paraId="10F4742D" w14:textId="77777777" w:rsidR="00AE586A" w:rsidRPr="00EB45B6" w:rsidRDefault="00AE586A" w:rsidP="008352D3">
          <w:pPr>
            <w:pStyle w:val="Footer"/>
            <w:ind w:right="-145"/>
          </w:pPr>
        </w:p>
      </w:tc>
      <w:tc>
        <w:tcPr>
          <w:tcW w:w="839" w:type="pct"/>
          <w:gridSpan w:val="2"/>
          <w:shd w:val="clear" w:color="auto" w:fill="auto"/>
        </w:tcPr>
        <w:p w14:paraId="0D19971A" w14:textId="77777777" w:rsidR="00AE586A" w:rsidRPr="00EB45B6" w:rsidRDefault="00AE586A" w:rsidP="008352D3">
          <w:pPr>
            <w:pStyle w:val="Footer"/>
            <w:ind w:right="-145"/>
            <w:rPr>
              <w:rFonts w:asciiTheme="majorHAnsi" w:hAnsiTheme="majorHAnsi"/>
              <w:sz w:val="22"/>
              <w:szCs w:val="22"/>
            </w:rPr>
          </w:pPr>
          <w:r w:rsidRPr="00EB45B6">
            <w:rPr>
              <w:rFonts w:asciiTheme="majorHAnsi" w:hAnsiTheme="majorHAnsi"/>
              <w:sz w:val="22"/>
              <w:szCs w:val="22"/>
            </w:rPr>
            <w:t>Phone</w:t>
          </w:r>
        </w:p>
      </w:tc>
      <w:tc>
        <w:tcPr>
          <w:tcW w:w="474" w:type="pct"/>
          <w:gridSpan w:val="2"/>
          <w:shd w:val="clear" w:color="auto" w:fill="auto"/>
        </w:tcPr>
        <w:p w14:paraId="29C66F21" w14:textId="77777777" w:rsidR="00AE586A" w:rsidRPr="00EB45B6" w:rsidRDefault="00AE586A" w:rsidP="008352D3">
          <w:pPr>
            <w:pStyle w:val="Footer"/>
            <w:ind w:right="-145"/>
            <w:rPr>
              <w:rFonts w:asciiTheme="majorHAnsi" w:hAnsiTheme="majorHAnsi"/>
              <w:sz w:val="22"/>
              <w:szCs w:val="22"/>
            </w:rPr>
          </w:pPr>
        </w:p>
      </w:tc>
      <w:tc>
        <w:tcPr>
          <w:tcW w:w="874" w:type="pct"/>
          <w:gridSpan w:val="2"/>
          <w:shd w:val="clear" w:color="auto" w:fill="auto"/>
        </w:tcPr>
        <w:p w14:paraId="3CA1FEAF" w14:textId="77777777" w:rsidR="00AE586A" w:rsidRPr="00EB45B6" w:rsidRDefault="00AE586A" w:rsidP="008352D3">
          <w:pPr>
            <w:pStyle w:val="Footer"/>
            <w:ind w:right="-145"/>
            <w:rPr>
              <w:rFonts w:asciiTheme="majorHAnsi" w:hAnsiTheme="majorHAnsi"/>
              <w:sz w:val="22"/>
              <w:szCs w:val="22"/>
            </w:rPr>
          </w:pPr>
          <w:r w:rsidRPr="00EB45B6">
            <w:rPr>
              <w:rFonts w:asciiTheme="majorHAnsi" w:hAnsiTheme="majorHAnsi"/>
              <w:sz w:val="22"/>
              <w:szCs w:val="22"/>
            </w:rPr>
            <w:t>Web</w:t>
          </w:r>
        </w:p>
      </w:tc>
    </w:tr>
    <w:tr w:rsidR="00AE586A" w:rsidRPr="00847A44" w14:paraId="715B9272" w14:textId="77777777" w:rsidTr="008352D3">
      <w:tc>
        <w:tcPr>
          <w:tcW w:w="2438" w:type="pct"/>
          <w:gridSpan w:val="3"/>
          <w:shd w:val="clear" w:color="auto" w:fill="2397B0"/>
        </w:tcPr>
        <w:p w14:paraId="7A0DD23B" w14:textId="77777777" w:rsidR="00AE586A" w:rsidRPr="00847A44" w:rsidRDefault="00AE586A" w:rsidP="008352D3">
          <w:pPr>
            <w:pStyle w:val="Footer"/>
            <w:tabs>
              <w:tab w:val="clear" w:pos="4320"/>
              <w:tab w:val="clear" w:pos="8640"/>
              <w:tab w:val="center" w:pos="4705"/>
              <w:tab w:val="right" w:pos="8533"/>
            </w:tabs>
            <w:spacing w:before="120" w:after="120"/>
            <w:ind w:left="-115" w:right="-113"/>
            <w:rPr>
              <w:color w:val="FFFFFF" w:themeColor="background1"/>
              <w:sz w:val="20"/>
              <w:szCs w:val="20"/>
            </w:rPr>
          </w:pPr>
        </w:p>
      </w:tc>
      <w:tc>
        <w:tcPr>
          <w:tcW w:w="872" w:type="pct"/>
          <w:gridSpan w:val="2"/>
          <w:shd w:val="clear" w:color="auto" w:fill="2397B0"/>
        </w:tcPr>
        <w:p w14:paraId="7F470EC0" w14:textId="77777777" w:rsidR="00AE586A" w:rsidRPr="00847A44" w:rsidRDefault="00AE586A" w:rsidP="008352D3">
          <w:pPr>
            <w:pStyle w:val="Footer"/>
            <w:tabs>
              <w:tab w:val="clear" w:pos="4320"/>
              <w:tab w:val="clear" w:pos="8640"/>
              <w:tab w:val="center" w:pos="4705"/>
              <w:tab w:val="right" w:pos="8533"/>
            </w:tabs>
            <w:spacing w:before="120" w:after="120"/>
            <w:ind w:left="-115" w:right="-113"/>
            <w:rPr>
              <w:rFonts w:asciiTheme="majorHAnsi" w:hAnsiTheme="majorHAnsi"/>
              <w:color w:val="FFFFFF" w:themeColor="background1"/>
              <w:sz w:val="22"/>
              <w:szCs w:val="22"/>
            </w:rPr>
          </w:pPr>
          <w:r w:rsidRPr="00847A44">
            <w:rPr>
              <w:rFonts w:asciiTheme="majorHAnsi" w:hAnsiTheme="majorHAnsi"/>
              <w:color w:val="FFFFFF" w:themeColor="background1"/>
              <w:sz w:val="22"/>
              <w:szCs w:val="22"/>
            </w:rPr>
            <w:fldChar w:fldCharType="begin"/>
          </w:r>
          <w:r w:rsidRPr="00847A44">
            <w:rPr>
              <w:rFonts w:asciiTheme="majorHAnsi" w:hAnsiTheme="majorHAnsi"/>
              <w:color w:val="FFFFFF" w:themeColor="background1"/>
              <w:sz w:val="22"/>
              <w:szCs w:val="22"/>
            </w:rPr>
            <w:instrText xml:space="preserve"> PLACEHOLDER </w:instrText>
          </w:r>
          <w:r w:rsidRPr="00847A44">
            <w:rPr>
              <w:rFonts w:asciiTheme="majorHAnsi" w:hAnsiTheme="majorHAnsi"/>
              <w:color w:val="FFFFFF" w:themeColor="background1"/>
              <w:sz w:val="22"/>
              <w:szCs w:val="22"/>
            </w:rPr>
            <w:fldChar w:fldCharType="begin"/>
          </w:r>
          <w:r w:rsidRPr="00847A44">
            <w:rPr>
              <w:rFonts w:asciiTheme="majorHAnsi" w:hAnsiTheme="majorHAnsi"/>
              <w:color w:val="FFFFFF" w:themeColor="background1"/>
              <w:sz w:val="22"/>
              <w:szCs w:val="22"/>
            </w:rPr>
            <w:instrText xml:space="preserve"> IF </w:instrText>
          </w:r>
          <w:r w:rsidRPr="00847A44">
            <w:rPr>
              <w:rFonts w:asciiTheme="majorHAnsi" w:hAnsiTheme="majorHAnsi"/>
              <w:color w:val="FFFFFF" w:themeColor="background1"/>
              <w:sz w:val="22"/>
              <w:szCs w:val="22"/>
            </w:rPr>
            <w:fldChar w:fldCharType="begin"/>
          </w:r>
          <w:r w:rsidRPr="00847A44">
            <w:rPr>
              <w:rFonts w:asciiTheme="majorHAnsi" w:hAnsiTheme="majorHAnsi"/>
              <w:color w:val="FFFFFF" w:themeColor="background1"/>
              <w:sz w:val="22"/>
              <w:szCs w:val="22"/>
            </w:rPr>
            <w:instrText xml:space="preserve"> USERPROPERTY Work </w:instrText>
          </w:r>
          <w:r w:rsidRPr="00847A44">
            <w:rPr>
              <w:rFonts w:asciiTheme="majorHAnsi" w:hAnsiTheme="majorHAnsi"/>
              <w:color w:val="FFFFFF" w:themeColor="background1"/>
              <w:sz w:val="22"/>
              <w:szCs w:val="22"/>
            </w:rPr>
            <w:fldChar w:fldCharType="separate"/>
          </w:r>
          <w:r w:rsidR="00196462">
            <w:rPr>
              <w:rFonts w:asciiTheme="majorHAnsi" w:hAnsiTheme="majorHAnsi"/>
              <w:noProof/>
              <w:color w:val="FFFFFF" w:themeColor="background1"/>
              <w:sz w:val="22"/>
              <w:szCs w:val="22"/>
            </w:rPr>
            <w:instrText>03 95929111</w:instrText>
          </w:r>
          <w:r w:rsidRPr="00847A44">
            <w:rPr>
              <w:rFonts w:asciiTheme="majorHAnsi" w:hAnsiTheme="majorHAnsi"/>
              <w:color w:val="FFFFFF" w:themeColor="background1"/>
              <w:sz w:val="22"/>
              <w:szCs w:val="22"/>
            </w:rPr>
            <w:fldChar w:fldCharType="end"/>
          </w:r>
          <w:r w:rsidRPr="00847A44">
            <w:rPr>
              <w:rFonts w:asciiTheme="majorHAnsi" w:hAnsiTheme="majorHAnsi"/>
              <w:color w:val="FFFFFF" w:themeColor="background1"/>
              <w:sz w:val="22"/>
              <w:szCs w:val="22"/>
            </w:rPr>
            <w:instrText xml:space="preserve">="" "[Your Phone]" </w:instrText>
          </w:r>
          <w:r w:rsidRPr="00847A44">
            <w:rPr>
              <w:rFonts w:asciiTheme="majorHAnsi" w:hAnsiTheme="majorHAnsi"/>
              <w:color w:val="FFFFFF" w:themeColor="background1"/>
              <w:sz w:val="22"/>
              <w:szCs w:val="22"/>
            </w:rPr>
            <w:fldChar w:fldCharType="begin"/>
          </w:r>
          <w:r w:rsidRPr="00847A44">
            <w:rPr>
              <w:rFonts w:asciiTheme="majorHAnsi" w:hAnsiTheme="majorHAnsi"/>
              <w:color w:val="FFFFFF" w:themeColor="background1"/>
              <w:sz w:val="22"/>
              <w:szCs w:val="22"/>
            </w:rPr>
            <w:instrText xml:space="preserve"> USERPROPERTY Work </w:instrText>
          </w:r>
          <w:r w:rsidRPr="00847A44">
            <w:rPr>
              <w:rFonts w:asciiTheme="majorHAnsi" w:hAnsiTheme="majorHAnsi"/>
              <w:color w:val="FFFFFF" w:themeColor="background1"/>
              <w:sz w:val="22"/>
              <w:szCs w:val="22"/>
            </w:rPr>
            <w:fldChar w:fldCharType="separate"/>
          </w:r>
          <w:r w:rsidR="00196462">
            <w:rPr>
              <w:rFonts w:asciiTheme="majorHAnsi" w:hAnsiTheme="majorHAnsi"/>
              <w:noProof/>
              <w:color w:val="FFFFFF" w:themeColor="background1"/>
              <w:sz w:val="22"/>
              <w:szCs w:val="22"/>
            </w:rPr>
            <w:instrText>03 95929111</w:instrText>
          </w:r>
          <w:r w:rsidRPr="00847A44">
            <w:rPr>
              <w:rFonts w:asciiTheme="majorHAnsi" w:hAnsiTheme="majorHAnsi"/>
              <w:color w:val="FFFFFF" w:themeColor="background1"/>
              <w:sz w:val="22"/>
              <w:szCs w:val="22"/>
            </w:rPr>
            <w:fldChar w:fldCharType="end"/>
          </w:r>
          <w:r w:rsidRPr="00847A44">
            <w:rPr>
              <w:rFonts w:asciiTheme="majorHAnsi" w:hAnsiTheme="majorHAnsi"/>
              <w:color w:val="FFFFFF" w:themeColor="background1"/>
              <w:sz w:val="22"/>
              <w:szCs w:val="22"/>
            </w:rPr>
            <w:fldChar w:fldCharType="separate"/>
          </w:r>
          <w:r w:rsidR="00196462">
            <w:rPr>
              <w:rFonts w:asciiTheme="majorHAnsi" w:hAnsiTheme="majorHAnsi"/>
              <w:noProof/>
              <w:color w:val="FFFFFF" w:themeColor="background1"/>
              <w:sz w:val="22"/>
              <w:szCs w:val="22"/>
            </w:rPr>
            <w:instrText>03 95929111</w:instrText>
          </w:r>
          <w:r w:rsidRPr="00847A44">
            <w:rPr>
              <w:rFonts w:asciiTheme="majorHAnsi" w:hAnsiTheme="majorHAnsi"/>
              <w:color w:val="FFFFFF" w:themeColor="background1"/>
              <w:sz w:val="22"/>
              <w:szCs w:val="22"/>
            </w:rPr>
            <w:fldChar w:fldCharType="end"/>
          </w:r>
          <w:r w:rsidRPr="00847A44">
            <w:rPr>
              <w:rFonts w:asciiTheme="majorHAnsi" w:hAnsiTheme="majorHAnsi"/>
              <w:color w:val="FFFFFF" w:themeColor="background1"/>
              <w:sz w:val="22"/>
              <w:szCs w:val="22"/>
            </w:rPr>
            <w:instrText xml:space="preserve"> \* MERGEFORMAT</w:instrText>
          </w:r>
          <w:r w:rsidRPr="00847A44">
            <w:rPr>
              <w:rFonts w:asciiTheme="majorHAnsi" w:hAnsiTheme="majorHAnsi"/>
              <w:color w:val="FFFFFF" w:themeColor="background1"/>
              <w:sz w:val="22"/>
              <w:szCs w:val="22"/>
            </w:rPr>
            <w:fldChar w:fldCharType="separate"/>
          </w:r>
          <w:r w:rsidR="00196462">
            <w:rPr>
              <w:rFonts w:asciiTheme="majorHAnsi" w:hAnsiTheme="majorHAnsi"/>
              <w:color w:val="FFFFFF" w:themeColor="background1"/>
              <w:sz w:val="22"/>
              <w:szCs w:val="22"/>
            </w:rPr>
            <w:t>03 95929111</w:t>
          </w:r>
          <w:r w:rsidRPr="00847A44">
            <w:rPr>
              <w:rFonts w:asciiTheme="majorHAnsi" w:hAnsiTheme="majorHAnsi"/>
              <w:color w:val="FFFFFF" w:themeColor="background1"/>
              <w:sz w:val="22"/>
              <w:szCs w:val="22"/>
            </w:rPr>
            <w:fldChar w:fldCharType="end"/>
          </w:r>
        </w:p>
      </w:tc>
      <w:tc>
        <w:tcPr>
          <w:tcW w:w="440" w:type="pct"/>
          <w:gridSpan w:val="2"/>
          <w:shd w:val="clear" w:color="auto" w:fill="2397B0"/>
        </w:tcPr>
        <w:p w14:paraId="640DDC8D" w14:textId="77777777" w:rsidR="00AE586A" w:rsidRPr="00847A44" w:rsidRDefault="00AE586A" w:rsidP="008352D3">
          <w:pPr>
            <w:pStyle w:val="Footer"/>
            <w:tabs>
              <w:tab w:val="clear" w:pos="4320"/>
              <w:tab w:val="clear" w:pos="8640"/>
              <w:tab w:val="center" w:pos="4705"/>
              <w:tab w:val="right" w:pos="8533"/>
            </w:tabs>
            <w:spacing w:before="120" w:after="120"/>
            <w:ind w:left="-115" w:right="-113"/>
            <w:rPr>
              <w:rFonts w:asciiTheme="majorHAnsi" w:hAnsiTheme="majorHAnsi"/>
              <w:color w:val="FFFFFF" w:themeColor="background1"/>
              <w:sz w:val="22"/>
              <w:szCs w:val="22"/>
            </w:rPr>
          </w:pPr>
        </w:p>
      </w:tc>
      <w:tc>
        <w:tcPr>
          <w:tcW w:w="1250" w:type="pct"/>
          <w:gridSpan w:val="2"/>
          <w:shd w:val="clear" w:color="auto" w:fill="2397B0"/>
        </w:tcPr>
        <w:p w14:paraId="02D2F05B" w14:textId="77777777" w:rsidR="00AE586A" w:rsidRPr="00847A44" w:rsidRDefault="00AE586A" w:rsidP="008352D3">
          <w:pPr>
            <w:pStyle w:val="Footer"/>
            <w:tabs>
              <w:tab w:val="clear" w:pos="4320"/>
              <w:tab w:val="clear" w:pos="8640"/>
              <w:tab w:val="center" w:pos="4705"/>
              <w:tab w:val="right" w:pos="8533"/>
            </w:tabs>
            <w:spacing w:before="120" w:after="120"/>
            <w:ind w:left="-115" w:right="-113"/>
            <w:rPr>
              <w:rFonts w:asciiTheme="majorHAnsi" w:hAnsiTheme="majorHAnsi"/>
              <w:color w:val="FFFFFF" w:themeColor="background1"/>
              <w:sz w:val="22"/>
              <w:szCs w:val="22"/>
            </w:rPr>
          </w:pPr>
          <w:r w:rsidRPr="00847A44">
            <w:rPr>
              <w:rFonts w:asciiTheme="majorHAnsi" w:hAnsiTheme="majorHAnsi"/>
              <w:color w:val="FFFFFF" w:themeColor="background1"/>
              <w:sz w:val="22"/>
              <w:szCs w:val="22"/>
            </w:rPr>
            <w:t>www.expertgroup.com.au</w:t>
          </w:r>
        </w:p>
      </w:tc>
    </w:tr>
  </w:tbl>
  <w:p w14:paraId="610E12E1" w14:textId="77777777" w:rsidR="00AE586A" w:rsidRDefault="00AE586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3F99B" w14:textId="77777777" w:rsidR="00AE586A" w:rsidRDefault="00AE586A" w:rsidP="008352D3">
    <w:pPr>
      <w:pStyle w:val="Footer"/>
      <w:jc w:val="right"/>
      <w:rPr>
        <w:rFonts w:ascii="Verdana" w:hAnsi="Verdana"/>
        <w:sz w:val="16"/>
        <w:szCs w:val="16"/>
      </w:rPr>
    </w:pPr>
  </w:p>
  <w:p w14:paraId="495B988C" w14:textId="77777777" w:rsidR="00AE586A" w:rsidRDefault="00AE586A" w:rsidP="008352D3">
    <w:pPr>
      <w:pStyle w:val="Footer"/>
      <w:jc w:val="right"/>
      <w:rPr>
        <w:rFonts w:ascii="Verdana" w:hAnsi="Verdana"/>
        <w:sz w:val="16"/>
        <w:szCs w:val="16"/>
      </w:rPr>
    </w:pPr>
  </w:p>
  <w:p w14:paraId="59F7FE03" w14:textId="77777777" w:rsidR="00AE586A" w:rsidRPr="001B0746" w:rsidRDefault="00AE586A" w:rsidP="008352D3">
    <w:pPr>
      <w:pStyle w:val="Footer"/>
      <w:jc w:val="right"/>
      <w:rPr>
        <w:rFonts w:ascii="Verdana" w:hAnsi="Verdana"/>
        <w:sz w:val="16"/>
        <w:szCs w:val="16"/>
      </w:rPr>
    </w:pPr>
    <w:r w:rsidRPr="001B0746">
      <w:rPr>
        <w:rFonts w:ascii="Verdana" w:hAnsi="Verdana"/>
        <w:sz w:val="16"/>
        <w:szCs w:val="16"/>
      </w:rPr>
      <w:t xml:space="preserve">Page </w:t>
    </w:r>
    <w:r w:rsidRPr="001B0746">
      <w:rPr>
        <w:rStyle w:val="PageNumber"/>
        <w:rFonts w:ascii="Verdana" w:hAnsi="Verdana"/>
        <w:sz w:val="16"/>
        <w:szCs w:val="16"/>
      </w:rPr>
      <w:fldChar w:fldCharType="begin"/>
    </w:r>
    <w:r w:rsidRPr="001B0746">
      <w:rPr>
        <w:rStyle w:val="PageNumber"/>
        <w:rFonts w:ascii="Verdana" w:hAnsi="Verdana"/>
        <w:sz w:val="16"/>
        <w:szCs w:val="16"/>
      </w:rPr>
      <w:instrText xml:space="preserve"> PAGE </w:instrText>
    </w:r>
    <w:r w:rsidRPr="001B0746">
      <w:rPr>
        <w:rStyle w:val="PageNumber"/>
        <w:rFonts w:ascii="Verdana" w:hAnsi="Verdana"/>
        <w:sz w:val="16"/>
        <w:szCs w:val="16"/>
      </w:rPr>
      <w:fldChar w:fldCharType="separate"/>
    </w:r>
    <w:r w:rsidR="00196462">
      <w:rPr>
        <w:rStyle w:val="PageNumber"/>
        <w:rFonts w:ascii="Verdana" w:hAnsi="Verdana"/>
        <w:noProof/>
        <w:sz w:val="16"/>
        <w:szCs w:val="16"/>
      </w:rPr>
      <w:t>26</w:t>
    </w:r>
    <w:r w:rsidRPr="001B0746">
      <w:rPr>
        <w:rStyle w:val="PageNumber"/>
        <w:rFonts w:ascii="Verdana" w:hAnsi="Verdana"/>
        <w:sz w:val="16"/>
        <w:szCs w:val="16"/>
      </w:rPr>
      <w:fldChar w:fldCharType="end"/>
    </w:r>
    <w:r w:rsidRPr="001B0746">
      <w:rPr>
        <w:rStyle w:val="PageNumber"/>
        <w:rFonts w:ascii="Verdana" w:hAnsi="Verdana"/>
        <w:sz w:val="16"/>
        <w:szCs w:val="16"/>
      </w:rPr>
      <w:t xml:space="preserve"> of </w:t>
    </w:r>
    <w:r w:rsidRPr="001B0746">
      <w:rPr>
        <w:rStyle w:val="PageNumber"/>
        <w:rFonts w:ascii="Verdana" w:hAnsi="Verdana"/>
        <w:sz w:val="16"/>
        <w:szCs w:val="16"/>
      </w:rPr>
      <w:fldChar w:fldCharType="begin"/>
    </w:r>
    <w:r w:rsidRPr="001B0746">
      <w:rPr>
        <w:rStyle w:val="PageNumber"/>
        <w:rFonts w:ascii="Verdana" w:hAnsi="Verdana"/>
        <w:sz w:val="16"/>
        <w:szCs w:val="16"/>
      </w:rPr>
      <w:instrText xml:space="preserve"> NUMPAGES </w:instrText>
    </w:r>
    <w:r w:rsidRPr="001B0746">
      <w:rPr>
        <w:rStyle w:val="PageNumber"/>
        <w:rFonts w:ascii="Verdana" w:hAnsi="Verdana"/>
        <w:sz w:val="16"/>
        <w:szCs w:val="16"/>
      </w:rPr>
      <w:fldChar w:fldCharType="separate"/>
    </w:r>
    <w:r w:rsidR="00196462">
      <w:rPr>
        <w:rStyle w:val="PageNumber"/>
        <w:rFonts w:ascii="Verdana" w:hAnsi="Verdana"/>
        <w:noProof/>
        <w:sz w:val="16"/>
        <w:szCs w:val="16"/>
      </w:rPr>
      <w:t>134</w:t>
    </w:r>
    <w:r w:rsidRPr="001B0746">
      <w:rPr>
        <w:rStyle w:val="PageNumber"/>
        <w:rFonts w:ascii="Verdana" w:hAnsi="Verdana"/>
        <w:sz w:val="16"/>
        <w:szCs w:val="16"/>
      </w:rPr>
      <w:fldChar w:fldCharType="end"/>
    </w:r>
  </w:p>
  <w:p w14:paraId="19D89A0D" w14:textId="77777777" w:rsidR="00AE586A" w:rsidRPr="001B0746" w:rsidRDefault="00AE586A" w:rsidP="008352D3">
    <w:pPr>
      <w:pStyle w:val="Footer"/>
      <w:ind w:right="360"/>
      <w:jc w:val="right"/>
      <w:rPr>
        <w:rFonts w:ascii="Verdana" w:hAnsi="Verdana"/>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26552" w14:textId="77777777" w:rsidR="00AE586A" w:rsidRDefault="00AE586A" w:rsidP="003937A5">
      <w:pPr>
        <w:spacing w:before="0"/>
      </w:pPr>
      <w:r>
        <w:separator/>
      </w:r>
    </w:p>
  </w:footnote>
  <w:footnote w:type="continuationSeparator" w:id="0">
    <w:p w14:paraId="368D0EEF" w14:textId="77777777" w:rsidR="00AE586A" w:rsidRDefault="00AE586A" w:rsidP="003937A5">
      <w:pPr>
        <w:spacing w:before="0"/>
      </w:pPr>
      <w:r>
        <w:continuationSeparator/>
      </w:r>
    </w:p>
  </w:footnote>
  <w:footnote w:id="1">
    <w:p w14:paraId="2F47FD07" w14:textId="597CBDC5" w:rsidR="00AE586A" w:rsidRPr="0028762B" w:rsidRDefault="00AE586A" w:rsidP="00654DDB">
      <w:pPr>
        <w:pStyle w:val="FootnoteText"/>
        <w:rPr>
          <w:lang w:val="en-US"/>
        </w:rPr>
      </w:pPr>
      <w:r>
        <w:rPr>
          <w:rStyle w:val="FootnoteReference"/>
        </w:rPr>
        <w:footnoteRef/>
      </w:r>
      <w:r>
        <w:t xml:space="preserve"> </w:t>
      </w:r>
      <w:r w:rsidRPr="003B7367">
        <w:rPr>
          <w:szCs w:val="22"/>
        </w:rPr>
        <w:t>Th</w:t>
      </w:r>
      <w:r>
        <w:rPr>
          <w:szCs w:val="22"/>
        </w:rPr>
        <w:t>e ‘discounted wages cost’</w:t>
      </w:r>
      <w:r w:rsidRPr="003B7367">
        <w:rPr>
          <w:szCs w:val="22"/>
        </w:rPr>
        <w:t xml:space="preserve"> was </w:t>
      </w:r>
      <w:r>
        <w:rPr>
          <w:szCs w:val="22"/>
        </w:rPr>
        <w:t xml:space="preserve">calculated by </w:t>
      </w:r>
      <w:r w:rsidRPr="003B7367">
        <w:rPr>
          <w:szCs w:val="22"/>
        </w:rPr>
        <w:t xml:space="preserve">deducting the purchase price of </w:t>
      </w:r>
      <w:r>
        <w:rPr>
          <w:szCs w:val="22"/>
        </w:rPr>
        <w:t xml:space="preserve">all </w:t>
      </w:r>
      <w:r w:rsidRPr="003B7367">
        <w:rPr>
          <w:szCs w:val="22"/>
        </w:rPr>
        <w:t>new equipment and refrigerant gases from the est</w:t>
      </w:r>
      <w:r>
        <w:rPr>
          <w:szCs w:val="22"/>
        </w:rPr>
        <w:t>imated direct employment costs as set out in Table 1</w:t>
      </w:r>
      <w:r w:rsidRPr="003B7367">
        <w:rPr>
          <w:szCs w:val="22"/>
        </w:rPr>
        <w:t>.</w:t>
      </w:r>
    </w:p>
  </w:footnote>
  <w:footnote w:id="2">
    <w:p w14:paraId="399A6D33" w14:textId="5525BCE6" w:rsidR="00AE586A" w:rsidRPr="002837D8" w:rsidRDefault="00AE586A" w:rsidP="002837D8">
      <w:pPr>
        <w:pStyle w:val="FootnoteText"/>
        <w:rPr>
          <w:lang w:val="en-US"/>
        </w:rPr>
      </w:pPr>
      <w:r>
        <w:rPr>
          <w:rStyle w:val="FootnoteReference"/>
        </w:rPr>
        <w:footnoteRef/>
      </w:r>
      <w:r>
        <w:t xml:space="preserve"> Based on Heatcraft Australia, </w:t>
      </w:r>
      <w:r>
        <w:rPr>
          <w:lang w:val="en-US"/>
        </w:rPr>
        <w:t>April 2013 list prices, less typical contractor discounts plus mark-ups to end user.</w:t>
      </w:r>
    </w:p>
  </w:footnote>
  <w:footnote w:id="3">
    <w:p w14:paraId="256883AC" w14:textId="3496AD17" w:rsidR="00AE586A" w:rsidRPr="0021420A" w:rsidRDefault="00AE586A" w:rsidP="009D3A72">
      <w:pPr>
        <w:pStyle w:val="FootnoteText"/>
        <w:rPr>
          <w:lang w:val="en-US"/>
        </w:rPr>
      </w:pPr>
      <w:r>
        <w:rPr>
          <w:rStyle w:val="FootnoteReference"/>
        </w:rPr>
        <w:footnoteRef/>
      </w:r>
      <w:r>
        <w:t xml:space="preserve"> Total Australian emissions reported by the NGGI for FY2011-12 were 550.8 Mt of CO</w:t>
      </w:r>
      <w:r w:rsidRPr="00A965D0">
        <w:rPr>
          <w:vertAlign w:val="subscript"/>
        </w:rPr>
        <w:t>2</w:t>
      </w:r>
      <w:r>
        <w:rPr>
          <w:vertAlign w:val="subscript"/>
        </w:rPr>
        <w:t>-</w:t>
      </w:r>
      <w:r>
        <w:t>e. This value is the sum of the September 2011 Quarter, December 2011 Quarter, March 2012 Quarter and June 2012 Quarter (</w:t>
      </w:r>
      <w:r w:rsidRPr="00E702C6">
        <w:t>DCCEE 2012a</w:t>
      </w:r>
      <w:r>
        <w:t>). The models in CHF2 are based on calendar years.</w:t>
      </w:r>
    </w:p>
  </w:footnote>
  <w:footnote w:id="4">
    <w:p w14:paraId="7820DC8D" w14:textId="27090C64" w:rsidR="00AE586A" w:rsidRPr="00A965D0" w:rsidRDefault="00AE586A">
      <w:pPr>
        <w:pStyle w:val="FootnoteText"/>
        <w:rPr>
          <w:lang w:val="en-US"/>
        </w:rPr>
      </w:pPr>
      <w:r>
        <w:rPr>
          <w:rStyle w:val="FootnoteReference"/>
        </w:rPr>
        <w:footnoteRef/>
      </w:r>
      <w:r>
        <w:t xml:space="preserve"> </w:t>
      </w:r>
      <w:r w:rsidRPr="0021420A">
        <w:t>Emission factors for energy consumption and direct emissions employed to arrive at these estimates are the same as the factors used in the NGGI. However estimates of greenhouse gas emissions from RAC equipment are built up from a model of the stock of equipment employed, and are not based on the IPCC methodology used in the NGGI. Comparisons of the quantum of greenhouse gas emissions from RAC with NGGI calculations of annual Australian emissions is to provide a measure of the scale of RAC emissions, not to declare that RAC emissions comprise an absolute percentage of the</w:t>
      </w:r>
      <w:r>
        <w:t xml:space="preserve"> emissions reported in the NGGI.</w:t>
      </w:r>
    </w:p>
  </w:footnote>
  <w:footnote w:id="5">
    <w:p w14:paraId="7FD6E308" w14:textId="6A698AEA" w:rsidR="00AE586A" w:rsidRPr="00081A67" w:rsidRDefault="00AE586A" w:rsidP="001C40C8">
      <w:pPr>
        <w:pStyle w:val="FootnoteText"/>
      </w:pPr>
      <w:r>
        <w:rPr>
          <w:rStyle w:val="FootnoteReference"/>
        </w:rPr>
        <w:footnoteRef/>
      </w:r>
      <w:r>
        <w:t xml:space="preserve"> For further clarification on refrigerant properties by type refer to AS/NZS 1677-1998, Refrigerating systems which outlines the current technical, safety, refrigerant classifications and refrigerant charge requirements. </w:t>
      </w:r>
      <w:r w:rsidRPr="001C40C8">
        <w:t>ME006 Standards Committee</w:t>
      </w:r>
      <w:r>
        <w:t xml:space="preserve"> is currently reviewing this standard and is evaluating ‘ISO 5149: 2009 Refrigerating systems and heat pumps’ and ‘IEC 60335-2-89, Household and similar electrical appliances – Safety’ as potential replacement.</w:t>
      </w:r>
    </w:p>
  </w:footnote>
  <w:footnote w:id="6">
    <w:p w14:paraId="6327CF50" w14:textId="7AAD543F" w:rsidR="00AE586A" w:rsidRPr="00B740F5" w:rsidRDefault="00AE586A">
      <w:pPr>
        <w:pStyle w:val="FootnoteText"/>
      </w:pPr>
      <w:r>
        <w:rPr>
          <w:rStyle w:val="FootnoteReference"/>
        </w:rPr>
        <w:footnoteRef/>
      </w:r>
      <w:r>
        <w:t xml:space="preserve"> </w:t>
      </w:r>
      <w:r>
        <w:rPr>
          <w:lang w:val="en-US"/>
        </w:rPr>
        <w:t>Note: This proportion of local manufactured product is based on volume of refrigerant, and the proportion of units manufactured would be significantly less.</w:t>
      </w:r>
    </w:p>
  </w:footnote>
  <w:footnote w:id="7">
    <w:p w14:paraId="28A0A29C" w14:textId="7815D652" w:rsidR="00AE586A" w:rsidRPr="00C0215F" w:rsidRDefault="00AE586A">
      <w:pPr>
        <w:pStyle w:val="FootnoteText"/>
        <w:rPr>
          <w:lang w:val="en-US"/>
        </w:rPr>
      </w:pPr>
      <w:r>
        <w:rPr>
          <w:rStyle w:val="FootnoteReference"/>
        </w:rPr>
        <w:footnoteRef/>
      </w:r>
      <w:r>
        <w:t xml:space="preserve"> Most common devices are wall hung split system: 1.7 kg and split ducted system: 4.7 kg.</w:t>
      </w:r>
    </w:p>
  </w:footnote>
  <w:footnote w:id="8">
    <w:p w14:paraId="30F13E69" w14:textId="5158FF58" w:rsidR="00AE586A" w:rsidRPr="00866793" w:rsidRDefault="00AE586A">
      <w:pPr>
        <w:pStyle w:val="FootnoteText"/>
        <w:rPr>
          <w:lang w:val="en-US"/>
        </w:rPr>
      </w:pPr>
      <w:r>
        <w:rPr>
          <w:rStyle w:val="FootnoteReference"/>
        </w:rPr>
        <w:footnoteRef/>
      </w:r>
      <w:r>
        <w:t xml:space="preserve"> </w:t>
      </w:r>
      <w:r w:rsidRPr="005B0601">
        <w:t xml:space="preserve">The actual leak rate depends </w:t>
      </w:r>
      <w:r>
        <w:t xml:space="preserve">on the </w:t>
      </w:r>
      <w:r w:rsidRPr="005B0601">
        <w:t xml:space="preserve">type of equipment, maintenance and many other factors. This technology class ranges from hermetically sealed self-contained portable air conditioners with </w:t>
      </w:r>
      <w:r>
        <w:t xml:space="preserve">leak rates </w:t>
      </w:r>
      <w:r w:rsidRPr="005B0601">
        <w:t xml:space="preserve">less than 1% to </w:t>
      </w:r>
      <w:r>
        <w:t xml:space="preserve">equipment with leak rates </w:t>
      </w:r>
      <w:r w:rsidRPr="005B0601">
        <w:t>greater than 10% per annum</w:t>
      </w:r>
      <w:r>
        <w:t xml:space="preserve">. The majority of </w:t>
      </w:r>
      <w:r w:rsidRPr="005B0601">
        <w:t xml:space="preserve">equipment </w:t>
      </w:r>
      <w:r>
        <w:t xml:space="preserve">by mass </w:t>
      </w:r>
      <w:r w:rsidRPr="005B0601">
        <w:t xml:space="preserve">falls into the range of </w:t>
      </w:r>
      <w:r>
        <w:t>4</w:t>
      </w:r>
      <w:r w:rsidRPr="005B0601">
        <w:t>% to 9% per annum, refer to Append</w:t>
      </w:r>
      <w:r>
        <w:t xml:space="preserve">ices A and B for </w:t>
      </w:r>
      <w:r w:rsidRPr="005B0601">
        <w:t>further information.</w:t>
      </w:r>
    </w:p>
  </w:footnote>
  <w:footnote w:id="9">
    <w:p w14:paraId="52EB962C" w14:textId="2F459432" w:rsidR="00AE586A" w:rsidRPr="00F90B9F" w:rsidRDefault="00AE586A" w:rsidP="00B1786C">
      <w:pPr>
        <w:pStyle w:val="FootnoteText"/>
        <w:rPr>
          <w:i w:val="0"/>
          <w:szCs w:val="18"/>
        </w:rPr>
      </w:pPr>
      <w:r>
        <w:rPr>
          <w:rStyle w:val="FootnoteReference"/>
        </w:rPr>
        <w:footnoteRef/>
      </w:r>
      <w:r>
        <w:t xml:space="preserve"> </w:t>
      </w:r>
      <w:r w:rsidRPr="00B1786C">
        <w:rPr>
          <w:szCs w:val="18"/>
        </w:rPr>
        <w:t xml:space="preserve">Hydrocarbon charge in mobile AC </w:t>
      </w:r>
      <w:r>
        <w:rPr>
          <w:szCs w:val="18"/>
        </w:rPr>
        <w:t xml:space="preserve">can be as low as 200 grams as the charge size </w:t>
      </w:r>
      <w:r w:rsidRPr="00B1786C">
        <w:rPr>
          <w:szCs w:val="18"/>
        </w:rPr>
        <w:t>is around 35% of HFC-134a charge.</w:t>
      </w:r>
    </w:p>
  </w:footnote>
  <w:footnote w:id="10">
    <w:p w14:paraId="58625BA3" w14:textId="77777777" w:rsidR="00AE586A" w:rsidRPr="007F380B" w:rsidRDefault="00AE586A" w:rsidP="007611CA">
      <w:pPr>
        <w:pStyle w:val="FootnoteText"/>
        <w:rPr>
          <w:lang w:val="en-US"/>
        </w:rPr>
      </w:pPr>
      <w:r>
        <w:rPr>
          <w:rStyle w:val="FootnoteReference"/>
        </w:rPr>
        <w:footnoteRef/>
      </w:r>
      <w:r>
        <w:t xml:space="preserve"> </w:t>
      </w:r>
      <w:r w:rsidRPr="007F380B">
        <w:t>This older stock of equipment is just one of the sources of the 30 to 40 tonnes of CFCs still being returned every year to the RRA destruction program, the gas most likely being recovered from fridges being repaired by dealers of second hand white goods.</w:t>
      </w:r>
    </w:p>
  </w:footnote>
  <w:footnote w:id="11">
    <w:p w14:paraId="5614F189" w14:textId="77777777" w:rsidR="00AE586A" w:rsidRPr="00A23927" w:rsidRDefault="00AE586A" w:rsidP="00195217">
      <w:pPr>
        <w:pStyle w:val="FootnoteText"/>
        <w:rPr>
          <w:lang w:val="en-US"/>
        </w:rPr>
      </w:pPr>
      <w:r>
        <w:rPr>
          <w:rStyle w:val="FootnoteReference"/>
        </w:rPr>
        <w:footnoteRef/>
      </w:r>
      <w:r>
        <w:t xml:space="preserve"> </w:t>
      </w:r>
      <w:r>
        <w:rPr>
          <w:lang w:val="en-US"/>
        </w:rPr>
        <w:t>Source: Dairy Australia, Statistics and Markets, Cows and Farms data provided by State Milk Authorities.</w:t>
      </w:r>
    </w:p>
  </w:footnote>
  <w:footnote w:id="12">
    <w:p w14:paraId="2AC6D348" w14:textId="25904D20" w:rsidR="00AE586A" w:rsidRPr="002B297A" w:rsidRDefault="00AE586A">
      <w:pPr>
        <w:pStyle w:val="FootnoteText"/>
      </w:pPr>
      <w:r>
        <w:rPr>
          <w:rStyle w:val="FootnoteReference"/>
        </w:rPr>
        <w:footnoteRef/>
      </w:r>
      <w:r>
        <w:t xml:space="preserve"> </w:t>
      </w:r>
      <w:r>
        <w:rPr>
          <w:lang w:val="en-US"/>
        </w:rPr>
        <w:t>Gabor Hilton, Refrigerated Warehouse and Transport Association.</w:t>
      </w:r>
    </w:p>
  </w:footnote>
  <w:footnote w:id="13">
    <w:p w14:paraId="4C38E1F0" w14:textId="76D5709A" w:rsidR="00AE586A" w:rsidRPr="00625900" w:rsidRDefault="00AE586A">
      <w:pPr>
        <w:pStyle w:val="FootnoteText"/>
        <w:rPr>
          <w:lang w:val="en-US"/>
        </w:rPr>
      </w:pPr>
      <w:r>
        <w:rPr>
          <w:rStyle w:val="FootnoteReference"/>
        </w:rPr>
        <w:footnoteRef/>
      </w:r>
      <w:r>
        <w:t xml:space="preserve"> </w:t>
      </w:r>
      <w:r>
        <w:rPr>
          <w:lang w:val="en-US"/>
        </w:rPr>
        <w:t>Industry source: Austral Fisheries, leak rates greater than 30% per annum can be experienced on old open drive equipment.</w:t>
      </w:r>
    </w:p>
  </w:footnote>
  <w:footnote w:id="14">
    <w:p w14:paraId="49F3954B" w14:textId="79767AFC" w:rsidR="00AE586A" w:rsidRPr="00B14C07" w:rsidRDefault="00AE586A" w:rsidP="00AA2B87">
      <w:pPr>
        <w:pStyle w:val="FootnoteText"/>
      </w:pPr>
      <w:r>
        <w:rPr>
          <w:rStyle w:val="FootnoteReference"/>
        </w:rPr>
        <w:footnoteRef/>
      </w:r>
      <w:r>
        <w:t xml:space="preserve"> </w:t>
      </w:r>
      <w:r w:rsidRPr="00B14C07">
        <w:rPr>
          <w:szCs w:val="18"/>
        </w:rPr>
        <w:t xml:space="preserve">The actual leak rate depends </w:t>
      </w:r>
      <w:r>
        <w:rPr>
          <w:szCs w:val="18"/>
        </w:rPr>
        <w:t xml:space="preserve">on the </w:t>
      </w:r>
      <w:r w:rsidRPr="00B14C07">
        <w:rPr>
          <w:szCs w:val="18"/>
        </w:rPr>
        <w:t>type of equipment, maintenance and many other factors, and equipment can range from small self-contained water coolers with leak rates of around 1% per annum to more than 25% on fishing vessels that operate</w:t>
      </w:r>
      <w:r>
        <w:rPr>
          <w:szCs w:val="18"/>
        </w:rPr>
        <w:t xml:space="preserve"> in extremely harsh conditions, refer Appendices A and B for further details.</w:t>
      </w:r>
    </w:p>
  </w:footnote>
  <w:footnote w:id="15">
    <w:p w14:paraId="1A7BBB96" w14:textId="77777777" w:rsidR="00AE586A" w:rsidRPr="00FC6F65" w:rsidRDefault="00AE586A" w:rsidP="00D87424">
      <w:pPr>
        <w:pStyle w:val="FootnoteText"/>
        <w:rPr>
          <w:lang w:val="en-US"/>
        </w:rPr>
      </w:pPr>
      <w:r>
        <w:rPr>
          <w:rStyle w:val="FootnoteReference"/>
        </w:rPr>
        <w:footnoteRef/>
      </w:r>
      <w:r>
        <w:t xml:space="preserve"> </w:t>
      </w:r>
      <w:r w:rsidRPr="00FC6F65">
        <w:t>This estimate is the volume required to meet HCFC consumption demand, not what was actually imported under the Montreal cap.</w:t>
      </w:r>
    </w:p>
  </w:footnote>
  <w:footnote w:id="16">
    <w:p w14:paraId="239A6047" w14:textId="7390914A" w:rsidR="00AE586A" w:rsidRPr="00541305" w:rsidRDefault="00AE586A">
      <w:pPr>
        <w:pStyle w:val="FootnoteText"/>
      </w:pPr>
      <w:r>
        <w:rPr>
          <w:rStyle w:val="FootnoteReference"/>
        </w:rPr>
        <w:footnoteRef/>
      </w:r>
      <w:r>
        <w:t xml:space="preserve"> The ODP multiplier for HCFC-22 is 0.055, therefore </w:t>
      </w:r>
      <w:r>
        <w:rPr>
          <w:lang w:val="en-US"/>
        </w:rPr>
        <w:t xml:space="preserve">40 ODP tonnes is equivalent to 727.3 metric tonnes of HCFC-22. </w:t>
      </w:r>
    </w:p>
  </w:footnote>
  <w:footnote w:id="17">
    <w:p w14:paraId="3A96B10F" w14:textId="55CB6404" w:rsidR="00AE586A" w:rsidRPr="00056ABF" w:rsidRDefault="00AE586A">
      <w:pPr>
        <w:pStyle w:val="FootnoteText"/>
      </w:pPr>
      <w:r>
        <w:rPr>
          <w:rStyle w:val="FootnoteReference"/>
        </w:rPr>
        <w:footnoteRef/>
      </w:r>
      <w:r>
        <w:t xml:space="preserve"> </w:t>
      </w:r>
      <w:r w:rsidRPr="00056ABF">
        <w:t xml:space="preserve">The import data quoted in this report will vary slightly from Senate estimates </w:t>
      </w:r>
      <w:r>
        <w:t>as some O</w:t>
      </w:r>
      <w:r w:rsidRPr="00056ABF">
        <w:t xml:space="preserve">zone </w:t>
      </w:r>
      <w:r>
        <w:t>D</w:t>
      </w:r>
      <w:r w:rsidRPr="00056ABF">
        <w:t xml:space="preserve">epleting </w:t>
      </w:r>
      <w:r>
        <w:t>S</w:t>
      </w:r>
      <w:r w:rsidRPr="00056ABF">
        <w:t xml:space="preserve">ubstances </w:t>
      </w:r>
      <w:r>
        <w:t xml:space="preserve">(i.e. </w:t>
      </w:r>
      <w:r w:rsidRPr="00056ABF">
        <w:t xml:space="preserve">Halons, Carbon </w:t>
      </w:r>
      <w:r w:rsidRPr="00916B29">
        <w:t>Tetrachloride</w:t>
      </w:r>
      <w:r>
        <w:t xml:space="preserve"> and </w:t>
      </w:r>
      <w:r w:rsidRPr="00056ABF">
        <w:t>Methyl Chloroform</w:t>
      </w:r>
      <w:r>
        <w:t>, and</w:t>
      </w:r>
      <w:r w:rsidRPr="00056ABF">
        <w:t xml:space="preserve"> CFCs used for medical applications</w:t>
      </w:r>
      <w:r>
        <w:t xml:space="preserve">) and </w:t>
      </w:r>
      <w:r w:rsidRPr="00056ABF">
        <w:t xml:space="preserve">Synthetic Greenhouse Gasses </w:t>
      </w:r>
      <w:r>
        <w:t xml:space="preserve">(i.e. </w:t>
      </w:r>
      <w:r w:rsidRPr="00056ABF">
        <w:t>SF</w:t>
      </w:r>
      <w:r w:rsidRPr="00056ABF">
        <w:rPr>
          <w:vertAlign w:val="subscript"/>
        </w:rPr>
        <w:t>6</w:t>
      </w:r>
      <w:r w:rsidRPr="00056ABF">
        <w:t xml:space="preserve"> and PFCs</w:t>
      </w:r>
      <w:r>
        <w:t>)</w:t>
      </w:r>
      <w:r w:rsidRPr="00056ABF">
        <w:t xml:space="preserve"> </w:t>
      </w:r>
      <w:r>
        <w:t>are not used in RAC applications.</w:t>
      </w:r>
    </w:p>
  </w:footnote>
  <w:footnote w:id="18">
    <w:p w14:paraId="16406758" w14:textId="55946770" w:rsidR="00AE586A" w:rsidRPr="002744A2" w:rsidRDefault="00AE586A">
      <w:pPr>
        <w:pStyle w:val="FootnoteText"/>
        <w:rPr>
          <w:lang w:val="en-US"/>
        </w:rPr>
      </w:pPr>
      <w:r>
        <w:rPr>
          <w:rStyle w:val="FootnoteReference"/>
        </w:rPr>
        <w:footnoteRef/>
      </w:r>
      <w:r>
        <w:t xml:space="preserve"> </w:t>
      </w:r>
      <w:r w:rsidRPr="002744A2">
        <w:t xml:space="preserve">Federation of Automotive Products Manufacturers reported 221,073 passenger vehicles were produced in Australia in 2012, 221,776 in 2011 and 243, 031 in 2010.  </w:t>
      </w:r>
    </w:p>
  </w:footnote>
  <w:footnote w:id="19">
    <w:p w14:paraId="503473D0" w14:textId="77777777" w:rsidR="00AE586A" w:rsidRPr="007F3EA8" w:rsidRDefault="00AE586A" w:rsidP="00A1466E">
      <w:pPr>
        <w:pStyle w:val="FootnoteText"/>
        <w:rPr>
          <w:lang w:val="en-US"/>
        </w:rPr>
      </w:pPr>
      <w:r>
        <w:rPr>
          <w:rStyle w:val="FootnoteReference"/>
        </w:rPr>
        <w:footnoteRef/>
      </w:r>
      <w:r>
        <w:t xml:space="preserve"> </w:t>
      </w:r>
      <w:r w:rsidRPr="007F3EA8">
        <w:t>List of licenses and exemptions granted under the Ozone Protection and Synthetic Greenhouse Gas Management Act 1989, issued February 2012.</w:t>
      </w:r>
    </w:p>
  </w:footnote>
  <w:footnote w:id="20">
    <w:p w14:paraId="5B9D4973" w14:textId="61B4DDD7" w:rsidR="00AE586A" w:rsidRPr="00CB3BC3" w:rsidRDefault="00AE586A">
      <w:pPr>
        <w:pStyle w:val="FootnoteText"/>
        <w:rPr>
          <w:lang w:val="en-US"/>
        </w:rPr>
      </w:pPr>
      <w:r>
        <w:rPr>
          <w:rStyle w:val="FootnoteReference"/>
        </w:rPr>
        <w:footnoteRef/>
      </w:r>
      <w:r>
        <w:t xml:space="preserve"> </w:t>
      </w:r>
      <w:r w:rsidRPr="00CB3BC3">
        <w:t>A ban on imports of equipment containing HCFCs was implemented in July 2010.</w:t>
      </w:r>
    </w:p>
  </w:footnote>
  <w:footnote w:id="21">
    <w:p w14:paraId="2DCFD201" w14:textId="0FBE1484" w:rsidR="00AE586A" w:rsidRPr="00FE7030" w:rsidRDefault="00AE586A">
      <w:pPr>
        <w:pStyle w:val="FootnoteText"/>
        <w:rPr>
          <w:lang w:val="en-US"/>
        </w:rPr>
      </w:pPr>
      <w:r>
        <w:rPr>
          <w:rStyle w:val="FootnoteReference"/>
        </w:rPr>
        <w:footnoteRef/>
      </w:r>
      <w:r>
        <w:t xml:space="preserve"> </w:t>
      </w:r>
      <w:r w:rsidRPr="00FE7030">
        <w:t>CFCs continue to be returned for destruction every year through the RRA recovery program, although a large proportion of the returns are reported as having been returned in 44 gallon drums, having been stored for servicing equipment when CFCs were first phased out. Given the cessation of use of CFCs in any new equipment in the early 1990s it is to be expected that the rate of retirement of CFC charged equipment must accelerate rapidly in the next few years until there is essentially none left.</w:t>
      </w:r>
    </w:p>
  </w:footnote>
  <w:footnote w:id="22">
    <w:p w14:paraId="1666A3D7" w14:textId="0A9A63B2" w:rsidR="00AE586A" w:rsidRPr="009B2352" w:rsidRDefault="00AE586A" w:rsidP="009B2352">
      <w:pPr>
        <w:pStyle w:val="FootnoteText"/>
        <w:rPr>
          <w:lang w:val="en-US"/>
        </w:rPr>
      </w:pPr>
      <w:r>
        <w:rPr>
          <w:rStyle w:val="FootnoteReference"/>
        </w:rPr>
        <w:footnoteRef/>
      </w:r>
      <w:r>
        <w:t>Ammonia used in refrigeration systems is anhydrous Ammonia meaning it does not contain water, the chemical symbol is NH</w:t>
      </w:r>
      <w:r w:rsidRPr="009B2352">
        <w:rPr>
          <w:vertAlign w:val="subscript"/>
        </w:rPr>
        <w:t>3</w:t>
      </w:r>
      <w:r>
        <w:t xml:space="preserve"> and the ASHRAE refrigerant number is R717.</w:t>
      </w:r>
    </w:p>
  </w:footnote>
  <w:footnote w:id="23">
    <w:p w14:paraId="480DDB9A" w14:textId="7DF1A52D" w:rsidR="00AE586A" w:rsidRPr="002B297A" w:rsidRDefault="00AE586A">
      <w:pPr>
        <w:pStyle w:val="FootnoteText"/>
      </w:pPr>
      <w:r>
        <w:rPr>
          <w:rStyle w:val="FootnoteReference"/>
        </w:rPr>
        <w:footnoteRef/>
      </w:r>
      <w:r>
        <w:t xml:space="preserve"> Industry source: </w:t>
      </w:r>
      <w:r w:rsidRPr="002B297A">
        <w:t>Gabor Hilton, Refrigerated Warehouse and Transport Association.</w:t>
      </w:r>
    </w:p>
  </w:footnote>
  <w:footnote w:id="24">
    <w:p w14:paraId="17D2340D" w14:textId="00063B26" w:rsidR="00AE586A" w:rsidRPr="00525F2C" w:rsidRDefault="00AE586A">
      <w:pPr>
        <w:pStyle w:val="FootnoteText"/>
        <w:rPr>
          <w:lang w:val="en-US"/>
        </w:rPr>
      </w:pPr>
      <w:r>
        <w:rPr>
          <w:rStyle w:val="FootnoteReference"/>
        </w:rPr>
        <w:footnoteRef/>
      </w:r>
      <w:r>
        <w:t xml:space="preserve"> </w:t>
      </w:r>
      <w:r w:rsidRPr="00525F2C">
        <w:t xml:space="preserve">Sanden Eco Hot </w:t>
      </w:r>
      <w:r>
        <w:t>w</w:t>
      </w:r>
      <w:r w:rsidRPr="00525F2C">
        <w:t xml:space="preserve">ater </w:t>
      </w:r>
      <w:r>
        <w:t>h</w:t>
      </w:r>
      <w:r w:rsidRPr="00525F2C">
        <w:t xml:space="preserve">eat </w:t>
      </w:r>
      <w:r>
        <w:t>p</w:t>
      </w:r>
      <w:r w:rsidRPr="00525F2C">
        <w:t xml:space="preserve">ump </w:t>
      </w:r>
      <w:r>
        <w:t>s</w:t>
      </w:r>
      <w:r w:rsidRPr="00525F2C">
        <w:t>ystem</w:t>
      </w:r>
      <w:r>
        <w:t xml:space="preserve"> achieves coefficients of performance of around 4.5.</w:t>
      </w:r>
    </w:p>
  </w:footnote>
  <w:footnote w:id="25">
    <w:p w14:paraId="0FA5AA10" w14:textId="4F4405AF" w:rsidR="00AE586A" w:rsidRPr="00B154FE" w:rsidRDefault="00AE586A">
      <w:pPr>
        <w:pStyle w:val="FootnoteText"/>
        <w:rPr>
          <w:lang w:val="en-US"/>
        </w:rPr>
      </w:pPr>
      <w:r>
        <w:rPr>
          <w:rStyle w:val="FootnoteReference"/>
        </w:rPr>
        <w:footnoteRef/>
      </w:r>
      <w:r>
        <w:t xml:space="preserve"> </w:t>
      </w:r>
      <w:r w:rsidRPr="00B154FE">
        <w:t>Total Australian emissions reported by the NGGI for FY2011-12 were 550.8 Mt of CO2-e. This value is the sum of the September 2011 Quarter, December 2011 Quarter, March 2012 Quarter and June 2012 Quarter (DCCEE 2012a). The models in CHF2 are based on calendar years.</w:t>
      </w:r>
    </w:p>
  </w:footnote>
  <w:footnote w:id="26">
    <w:p w14:paraId="64BB7E17" w14:textId="0B761F0A" w:rsidR="00AE586A" w:rsidRPr="006671F3" w:rsidRDefault="00AE586A">
      <w:pPr>
        <w:pStyle w:val="FootnoteText"/>
        <w:rPr>
          <w:lang w:val="en-US"/>
        </w:rPr>
      </w:pPr>
      <w:r>
        <w:rPr>
          <w:rStyle w:val="FootnoteReference"/>
        </w:rPr>
        <w:footnoteRef/>
      </w:r>
      <w:r>
        <w:t xml:space="preserve"> </w:t>
      </w:r>
      <w:r w:rsidRPr="006671F3">
        <w:t>Creative Commons Attribution 3.0 Australia Licence</w:t>
      </w:r>
      <w:r>
        <w:t>.</w:t>
      </w:r>
    </w:p>
  </w:footnote>
  <w:footnote w:id="27">
    <w:p w14:paraId="0226FD37" w14:textId="18AAC499" w:rsidR="00AE586A" w:rsidRPr="00410DFA" w:rsidRDefault="00AE586A">
      <w:pPr>
        <w:pStyle w:val="FootnoteText"/>
        <w:rPr>
          <w:lang w:val="en-US"/>
        </w:rPr>
      </w:pPr>
      <w:r>
        <w:rPr>
          <w:rStyle w:val="FootnoteReference"/>
        </w:rPr>
        <w:footnoteRef/>
      </w:r>
      <w:r>
        <w:t xml:space="preserve"> </w:t>
      </w:r>
      <w:r w:rsidRPr="00B00DEB">
        <w:rPr>
          <w:lang w:val="en-US"/>
        </w:rPr>
        <w:t>Fan energy of unitary air conditioning equipment is part of the input power of the system and is included in the CHF2 model, whereas chillers used for space cooling, and boilers for heating require separate fans and neither are included in the CHF2 model.</w:t>
      </w:r>
      <w:r>
        <w:rPr>
          <w:lang w:val="en-US"/>
        </w:rPr>
        <w:t xml:space="preserve">  </w:t>
      </w:r>
    </w:p>
  </w:footnote>
  <w:footnote w:id="28">
    <w:p w14:paraId="12F02446" w14:textId="77777777" w:rsidR="00AE586A" w:rsidRPr="00E60945" w:rsidRDefault="00AE586A" w:rsidP="00D4014E">
      <w:pPr>
        <w:pStyle w:val="FootnoteText"/>
        <w:rPr>
          <w:lang w:val="en-US"/>
        </w:rPr>
      </w:pPr>
      <w:r>
        <w:rPr>
          <w:rStyle w:val="FootnoteReference"/>
        </w:rPr>
        <w:footnoteRef/>
      </w:r>
      <w:r>
        <w:t xml:space="preserve"> </w:t>
      </w:r>
      <w:r w:rsidRPr="00096E05">
        <w:rPr>
          <w:szCs w:val="18"/>
        </w:rPr>
        <w:t xml:space="preserve">A significant portion of the EOL emissions are HCFCs that are not included in the NGGI and the </w:t>
      </w:r>
      <w:r>
        <w:rPr>
          <w:szCs w:val="18"/>
        </w:rPr>
        <w:t xml:space="preserve">comparison to </w:t>
      </w:r>
      <w:r w:rsidRPr="00096E05">
        <w:rPr>
          <w:szCs w:val="18"/>
        </w:rPr>
        <w:t>total national emissions provide</w:t>
      </w:r>
      <w:r>
        <w:rPr>
          <w:szCs w:val="18"/>
        </w:rPr>
        <w:t>s</w:t>
      </w:r>
      <w:r w:rsidRPr="00096E05">
        <w:rPr>
          <w:szCs w:val="18"/>
        </w:rPr>
        <w:t xml:space="preserve"> context </w:t>
      </w:r>
      <w:r>
        <w:rPr>
          <w:szCs w:val="18"/>
        </w:rPr>
        <w:t xml:space="preserve">of the scale of EOL emissions </w:t>
      </w:r>
      <w:r w:rsidRPr="00096E05">
        <w:rPr>
          <w:szCs w:val="18"/>
        </w:rPr>
        <w:t xml:space="preserve">relative to other </w:t>
      </w:r>
      <w:r>
        <w:rPr>
          <w:szCs w:val="18"/>
        </w:rPr>
        <w:t xml:space="preserve">known </w:t>
      </w:r>
      <w:r>
        <w:rPr>
          <w:i w:val="0"/>
          <w:szCs w:val="18"/>
        </w:rPr>
        <w:t>sources</w:t>
      </w:r>
      <w:r>
        <w:rPr>
          <w:szCs w:val="18"/>
        </w:rPr>
        <w:t>.</w:t>
      </w:r>
    </w:p>
  </w:footnote>
  <w:footnote w:id="29">
    <w:p w14:paraId="54400C25" w14:textId="01DA5CC3" w:rsidR="00AE586A" w:rsidRPr="00421852" w:rsidRDefault="00AE586A">
      <w:pPr>
        <w:pStyle w:val="FootnoteText"/>
        <w:rPr>
          <w:lang w:val="en-US"/>
        </w:rPr>
      </w:pPr>
      <w:r>
        <w:rPr>
          <w:rStyle w:val="FootnoteReference"/>
        </w:rPr>
        <w:footnoteRef/>
      </w:r>
      <w:r>
        <w:t xml:space="preserve"> </w:t>
      </w:r>
      <w:r>
        <w:rPr>
          <w:lang w:val="en-US"/>
        </w:rPr>
        <w:t>Some wholesalers of equipment and gas are also importers, and some retailers of appliances are also importers.</w:t>
      </w:r>
    </w:p>
  </w:footnote>
  <w:footnote w:id="30">
    <w:p w14:paraId="55B83005" w14:textId="15800AC5" w:rsidR="00AE586A" w:rsidRPr="00300C2D" w:rsidRDefault="00AE586A">
      <w:pPr>
        <w:pStyle w:val="FootnoteText"/>
        <w:rPr>
          <w:lang w:val="en-US"/>
        </w:rPr>
      </w:pPr>
      <w:r>
        <w:rPr>
          <w:rStyle w:val="FootnoteReference"/>
        </w:rPr>
        <w:footnoteRef/>
      </w:r>
      <w:r>
        <w:t xml:space="preserve"> </w:t>
      </w:r>
      <w:r w:rsidRPr="00300C2D">
        <w:t>Historical accounts differ as to whether this first shipment occurred in July 1873 or 1876, although either date places it prior to first shipments recorded from the US in late 1876 and then in 1879 from Argentina. However there is a possibly erroneous reference to one even earlier shipment from Australia associated with Thomas Mort’s Darling Harbour freezer works in 1868.</w:t>
      </w:r>
    </w:p>
  </w:footnote>
  <w:footnote w:id="31">
    <w:p w14:paraId="2995D389" w14:textId="7C38B75E" w:rsidR="00AE586A" w:rsidRPr="00871C43" w:rsidRDefault="00AE586A" w:rsidP="00C467A5">
      <w:pPr>
        <w:pStyle w:val="FootnoteText"/>
        <w:rPr>
          <w:i w:val="0"/>
          <w:szCs w:val="18"/>
          <w:lang w:val="en-US"/>
        </w:rPr>
      </w:pPr>
      <w:r>
        <w:rPr>
          <w:rStyle w:val="FootnoteReference"/>
        </w:rPr>
        <w:footnoteRef/>
      </w:r>
      <w:r>
        <w:t xml:space="preserve"> </w:t>
      </w:r>
      <w:r w:rsidRPr="005D62E2">
        <w:rPr>
          <w:szCs w:val="18"/>
          <w:lang w:val="en-US"/>
        </w:rPr>
        <w:t>For further details on locations of climate zones refer Building Code of Australia, Australian climate zone map.</w:t>
      </w:r>
    </w:p>
  </w:footnote>
  <w:footnote w:id="32">
    <w:p w14:paraId="295D7B62" w14:textId="77777777" w:rsidR="00AE586A" w:rsidRPr="004B2E7E" w:rsidRDefault="00AE586A" w:rsidP="00E4085D">
      <w:pPr>
        <w:pStyle w:val="FootnoteText"/>
        <w:rPr>
          <w:szCs w:val="18"/>
        </w:rPr>
      </w:pPr>
      <w:r w:rsidRPr="00A30CFC">
        <w:rPr>
          <w:rStyle w:val="FootnoteReference"/>
          <w:sz w:val="20"/>
          <w:szCs w:val="20"/>
        </w:rPr>
        <w:footnoteRef/>
      </w:r>
      <w:r w:rsidRPr="00A30CFC">
        <w:rPr>
          <w:sz w:val="20"/>
          <w:szCs w:val="20"/>
        </w:rPr>
        <w:t xml:space="preserve"> </w:t>
      </w:r>
      <w:r w:rsidRPr="004B2E7E">
        <w:rPr>
          <w:szCs w:val="18"/>
        </w:rPr>
        <w:t>Not all refrigerants need to be reported to Customs at the point of import, however all of the major classes of HCFCs and HFCs, the ‘synthetic greenhouse gas’ refrigerants must be reported.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52CCF" w14:textId="77777777" w:rsidR="00AE586A" w:rsidRDefault="00AE586A" w:rsidP="008352D3">
    <w:pPr>
      <w:pStyle w:val="Header"/>
      <w:shd w:val="clear" w:color="auto" w:fill="D9D9D9"/>
    </w:pPr>
  </w:p>
  <w:p w14:paraId="492503CD" w14:textId="77777777" w:rsidR="00AE586A" w:rsidRDefault="00AE586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4CE1D" w14:textId="77777777" w:rsidR="00AE586A" w:rsidRDefault="00AE586A" w:rsidP="00B61B6F">
    <w:pPr>
      <w:pStyle w:val="Header"/>
      <w:shd w:val="clear" w:color="auto" w:fill="D9D9D9"/>
    </w:pPr>
  </w:p>
  <w:p w14:paraId="00B42AFF" w14:textId="77777777" w:rsidR="00AE586A" w:rsidRDefault="00AE58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26A2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02BD2"/>
    <w:multiLevelType w:val="hybridMultilevel"/>
    <w:tmpl w:val="C6BEE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EF1F67"/>
    <w:multiLevelType w:val="multilevel"/>
    <w:tmpl w:val="F59854E6"/>
    <w:lvl w:ilvl="0">
      <w:start w:val="1"/>
      <w:numFmt w:val="decimal"/>
      <w:pStyle w:val="Heading1"/>
      <w:lvlText w:val="%1"/>
      <w:lvlJc w:val="left"/>
      <w:pPr>
        <w:ind w:left="1709" w:hanging="432"/>
      </w:pPr>
    </w:lvl>
    <w:lvl w:ilvl="1">
      <w:start w:val="1"/>
      <w:numFmt w:val="decimal"/>
      <w:pStyle w:val="Heading2"/>
      <w:lvlText w:val="%1.%2"/>
      <w:lvlJc w:val="left"/>
      <w:pPr>
        <w:ind w:left="718"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AF63216"/>
    <w:multiLevelType w:val="hybridMultilevel"/>
    <w:tmpl w:val="04163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E04180"/>
    <w:multiLevelType w:val="hybridMultilevel"/>
    <w:tmpl w:val="2B20DC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5A79E8"/>
    <w:multiLevelType w:val="hybridMultilevel"/>
    <w:tmpl w:val="FD8455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B13FD5"/>
    <w:multiLevelType w:val="hybridMultilevel"/>
    <w:tmpl w:val="B664B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444E92"/>
    <w:multiLevelType w:val="hybridMultilevel"/>
    <w:tmpl w:val="FF7CC6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A35143"/>
    <w:multiLevelType w:val="hybridMultilevel"/>
    <w:tmpl w:val="C6BEE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436B06"/>
    <w:multiLevelType w:val="hybridMultilevel"/>
    <w:tmpl w:val="C6BEE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F34A4B"/>
    <w:multiLevelType w:val="hybridMultilevel"/>
    <w:tmpl w:val="CF626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03B2E"/>
    <w:multiLevelType w:val="hybridMultilevel"/>
    <w:tmpl w:val="B664B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0E021A"/>
    <w:multiLevelType w:val="hybridMultilevel"/>
    <w:tmpl w:val="C6BEE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716D52"/>
    <w:multiLevelType w:val="hybridMultilevel"/>
    <w:tmpl w:val="78FCF346"/>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109404D"/>
    <w:multiLevelType w:val="hybridMultilevel"/>
    <w:tmpl w:val="F4D8B3A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nsid w:val="51446149"/>
    <w:multiLevelType w:val="hybridMultilevel"/>
    <w:tmpl w:val="08309C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A179B6"/>
    <w:multiLevelType w:val="hybridMultilevel"/>
    <w:tmpl w:val="B664B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A5F296F"/>
    <w:multiLevelType w:val="hybridMultilevel"/>
    <w:tmpl w:val="6F9AD6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C5D20C2"/>
    <w:multiLevelType w:val="hybridMultilevel"/>
    <w:tmpl w:val="C6BEE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F69082D"/>
    <w:multiLevelType w:val="hybridMultilevel"/>
    <w:tmpl w:val="CD9C95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542097"/>
    <w:multiLevelType w:val="hybridMultilevel"/>
    <w:tmpl w:val="B664B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473CFE"/>
    <w:multiLevelType w:val="hybridMultilevel"/>
    <w:tmpl w:val="C6BEE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DC26A5F"/>
    <w:multiLevelType w:val="hybridMultilevel"/>
    <w:tmpl w:val="C6BEE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6777E88"/>
    <w:multiLevelType w:val="hybridMultilevel"/>
    <w:tmpl w:val="04163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70142CB"/>
    <w:multiLevelType w:val="hybridMultilevel"/>
    <w:tmpl w:val="6A664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9016470"/>
    <w:multiLevelType w:val="hybridMultilevel"/>
    <w:tmpl w:val="E3C8F7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786B53"/>
    <w:multiLevelType w:val="hybridMultilevel"/>
    <w:tmpl w:val="3FF0660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CB92375"/>
    <w:multiLevelType w:val="hybridMultilevel"/>
    <w:tmpl w:val="C6BEE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6"/>
  </w:num>
  <w:num w:numId="3">
    <w:abstractNumId w:val="15"/>
  </w:num>
  <w:num w:numId="4">
    <w:abstractNumId w:val="4"/>
  </w:num>
  <w:num w:numId="5">
    <w:abstractNumId w:val="17"/>
  </w:num>
  <w:num w:numId="6">
    <w:abstractNumId w:val="0"/>
  </w:num>
  <w:num w:numId="7">
    <w:abstractNumId w:val="18"/>
  </w:num>
  <w:num w:numId="8">
    <w:abstractNumId w:val="16"/>
  </w:num>
  <w:num w:numId="9">
    <w:abstractNumId w:val="23"/>
  </w:num>
  <w:num w:numId="10">
    <w:abstractNumId w:val="13"/>
  </w:num>
  <w:num w:numId="11">
    <w:abstractNumId w:val="3"/>
  </w:num>
  <w:num w:numId="12">
    <w:abstractNumId w:val="7"/>
  </w:num>
  <w:num w:numId="13">
    <w:abstractNumId w:val="27"/>
  </w:num>
  <w:num w:numId="14">
    <w:abstractNumId w:val="22"/>
  </w:num>
  <w:num w:numId="15">
    <w:abstractNumId w:val="12"/>
  </w:num>
  <w:num w:numId="16">
    <w:abstractNumId w:val="8"/>
  </w:num>
  <w:num w:numId="17">
    <w:abstractNumId w:val="9"/>
  </w:num>
  <w:num w:numId="18">
    <w:abstractNumId w:val="6"/>
  </w:num>
  <w:num w:numId="19">
    <w:abstractNumId w:val="5"/>
  </w:num>
  <w:num w:numId="20">
    <w:abstractNumId w:val="24"/>
  </w:num>
  <w:num w:numId="21">
    <w:abstractNumId w:val="25"/>
  </w:num>
  <w:num w:numId="22">
    <w:abstractNumId w:val="21"/>
  </w:num>
  <w:num w:numId="23">
    <w:abstractNumId w:val="20"/>
  </w:num>
  <w:num w:numId="24">
    <w:abstractNumId w:val="14"/>
  </w:num>
  <w:num w:numId="25">
    <w:abstractNumId w:val="11"/>
  </w:num>
  <w:num w:numId="26">
    <w:abstractNumId w:val="10"/>
  </w:num>
  <w:num w:numId="27">
    <w:abstractNumId w:val="1"/>
  </w:num>
  <w:num w:numId="2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99"/>
    <w:rsid w:val="00005F1B"/>
    <w:rsid w:val="0001184F"/>
    <w:rsid w:val="00016F48"/>
    <w:rsid w:val="0002173B"/>
    <w:rsid w:val="000226CB"/>
    <w:rsid w:val="000228ED"/>
    <w:rsid w:val="0002490E"/>
    <w:rsid w:val="00024F0C"/>
    <w:rsid w:val="0002672B"/>
    <w:rsid w:val="000310F6"/>
    <w:rsid w:val="000331C1"/>
    <w:rsid w:val="000340C1"/>
    <w:rsid w:val="000341A2"/>
    <w:rsid w:val="000342FA"/>
    <w:rsid w:val="00041B83"/>
    <w:rsid w:val="00042727"/>
    <w:rsid w:val="00043C8C"/>
    <w:rsid w:val="000443BD"/>
    <w:rsid w:val="00045B67"/>
    <w:rsid w:val="00047359"/>
    <w:rsid w:val="00047821"/>
    <w:rsid w:val="00051199"/>
    <w:rsid w:val="00056ABF"/>
    <w:rsid w:val="000610C5"/>
    <w:rsid w:val="000628FF"/>
    <w:rsid w:val="00062B56"/>
    <w:rsid w:val="0006309A"/>
    <w:rsid w:val="000665BF"/>
    <w:rsid w:val="000665E1"/>
    <w:rsid w:val="00070B76"/>
    <w:rsid w:val="00072AE8"/>
    <w:rsid w:val="0007306E"/>
    <w:rsid w:val="00074002"/>
    <w:rsid w:val="00081A67"/>
    <w:rsid w:val="00082C2C"/>
    <w:rsid w:val="00082CAF"/>
    <w:rsid w:val="000830D7"/>
    <w:rsid w:val="0008469F"/>
    <w:rsid w:val="00087BAB"/>
    <w:rsid w:val="00090B50"/>
    <w:rsid w:val="00090EC6"/>
    <w:rsid w:val="00091F50"/>
    <w:rsid w:val="00092C0F"/>
    <w:rsid w:val="000968D5"/>
    <w:rsid w:val="00097E38"/>
    <w:rsid w:val="000A62D9"/>
    <w:rsid w:val="000A70C4"/>
    <w:rsid w:val="000B0DBC"/>
    <w:rsid w:val="000B268D"/>
    <w:rsid w:val="000B5D38"/>
    <w:rsid w:val="000B7E5E"/>
    <w:rsid w:val="000C0D65"/>
    <w:rsid w:val="000C2D59"/>
    <w:rsid w:val="000C35EE"/>
    <w:rsid w:val="000C5568"/>
    <w:rsid w:val="000D1420"/>
    <w:rsid w:val="000D4B44"/>
    <w:rsid w:val="000E0404"/>
    <w:rsid w:val="000E5148"/>
    <w:rsid w:val="000E61CD"/>
    <w:rsid w:val="000F1262"/>
    <w:rsid w:val="000F3103"/>
    <w:rsid w:val="000F7E3E"/>
    <w:rsid w:val="00100CBD"/>
    <w:rsid w:val="00100E4D"/>
    <w:rsid w:val="00102651"/>
    <w:rsid w:val="001039E2"/>
    <w:rsid w:val="0010457D"/>
    <w:rsid w:val="001045AC"/>
    <w:rsid w:val="0010504F"/>
    <w:rsid w:val="00110111"/>
    <w:rsid w:val="00111AD6"/>
    <w:rsid w:val="00114173"/>
    <w:rsid w:val="00116557"/>
    <w:rsid w:val="0012620B"/>
    <w:rsid w:val="001343DE"/>
    <w:rsid w:val="001347B8"/>
    <w:rsid w:val="00135E24"/>
    <w:rsid w:val="00136ECF"/>
    <w:rsid w:val="001402F6"/>
    <w:rsid w:val="00140F2C"/>
    <w:rsid w:val="00144050"/>
    <w:rsid w:val="0014496E"/>
    <w:rsid w:val="001460E8"/>
    <w:rsid w:val="0014717B"/>
    <w:rsid w:val="001502DB"/>
    <w:rsid w:val="00151738"/>
    <w:rsid w:val="001535E1"/>
    <w:rsid w:val="001542C6"/>
    <w:rsid w:val="00155127"/>
    <w:rsid w:val="001573D9"/>
    <w:rsid w:val="00157D55"/>
    <w:rsid w:val="00157DFD"/>
    <w:rsid w:val="001602F7"/>
    <w:rsid w:val="00162A3F"/>
    <w:rsid w:val="00164672"/>
    <w:rsid w:val="00164992"/>
    <w:rsid w:val="00164A15"/>
    <w:rsid w:val="00165034"/>
    <w:rsid w:val="00166698"/>
    <w:rsid w:val="001672F5"/>
    <w:rsid w:val="0017032F"/>
    <w:rsid w:val="00172EEA"/>
    <w:rsid w:val="00173E25"/>
    <w:rsid w:val="001744ED"/>
    <w:rsid w:val="00176FD3"/>
    <w:rsid w:val="00183AE9"/>
    <w:rsid w:val="001857B2"/>
    <w:rsid w:val="00186844"/>
    <w:rsid w:val="0019019F"/>
    <w:rsid w:val="00193BD0"/>
    <w:rsid w:val="00194C08"/>
    <w:rsid w:val="00195217"/>
    <w:rsid w:val="00195455"/>
    <w:rsid w:val="00195F1C"/>
    <w:rsid w:val="00196462"/>
    <w:rsid w:val="001A1192"/>
    <w:rsid w:val="001A11A1"/>
    <w:rsid w:val="001A5550"/>
    <w:rsid w:val="001A5F15"/>
    <w:rsid w:val="001B0EF1"/>
    <w:rsid w:val="001B21B9"/>
    <w:rsid w:val="001B2D63"/>
    <w:rsid w:val="001B3362"/>
    <w:rsid w:val="001B41E1"/>
    <w:rsid w:val="001C0124"/>
    <w:rsid w:val="001C331C"/>
    <w:rsid w:val="001C3D4D"/>
    <w:rsid w:val="001C40C8"/>
    <w:rsid w:val="001C4288"/>
    <w:rsid w:val="001C52E7"/>
    <w:rsid w:val="001C6255"/>
    <w:rsid w:val="001C6486"/>
    <w:rsid w:val="001C7867"/>
    <w:rsid w:val="001D1518"/>
    <w:rsid w:val="001D1562"/>
    <w:rsid w:val="001D21D8"/>
    <w:rsid w:val="001D6D59"/>
    <w:rsid w:val="001D7F27"/>
    <w:rsid w:val="001D7F45"/>
    <w:rsid w:val="001E3B3D"/>
    <w:rsid w:val="001E489E"/>
    <w:rsid w:val="001E7601"/>
    <w:rsid w:val="001F5E4C"/>
    <w:rsid w:val="002013B1"/>
    <w:rsid w:val="00201C97"/>
    <w:rsid w:val="00206CD4"/>
    <w:rsid w:val="00212D00"/>
    <w:rsid w:val="002137E7"/>
    <w:rsid w:val="0021420A"/>
    <w:rsid w:val="002149BE"/>
    <w:rsid w:val="002157D3"/>
    <w:rsid w:val="00215A1A"/>
    <w:rsid w:val="00215A98"/>
    <w:rsid w:val="00217142"/>
    <w:rsid w:val="00217DDB"/>
    <w:rsid w:val="00220AB1"/>
    <w:rsid w:val="00222D4D"/>
    <w:rsid w:val="00223FDA"/>
    <w:rsid w:val="00230E2E"/>
    <w:rsid w:val="00234DDB"/>
    <w:rsid w:val="002352D9"/>
    <w:rsid w:val="00241A71"/>
    <w:rsid w:val="00244668"/>
    <w:rsid w:val="0026022C"/>
    <w:rsid w:val="00261401"/>
    <w:rsid w:val="002633CA"/>
    <w:rsid w:val="002640F9"/>
    <w:rsid w:val="00265A2C"/>
    <w:rsid w:val="00265A85"/>
    <w:rsid w:val="00272167"/>
    <w:rsid w:val="00272E7C"/>
    <w:rsid w:val="0027449B"/>
    <w:rsid w:val="002744A2"/>
    <w:rsid w:val="00275269"/>
    <w:rsid w:val="002764B9"/>
    <w:rsid w:val="0027679B"/>
    <w:rsid w:val="002837D8"/>
    <w:rsid w:val="00283C04"/>
    <w:rsid w:val="00285EDA"/>
    <w:rsid w:val="00291F2D"/>
    <w:rsid w:val="002938D6"/>
    <w:rsid w:val="00294B13"/>
    <w:rsid w:val="002951A5"/>
    <w:rsid w:val="00297430"/>
    <w:rsid w:val="00297C63"/>
    <w:rsid w:val="002A06F4"/>
    <w:rsid w:val="002A09FC"/>
    <w:rsid w:val="002A30C0"/>
    <w:rsid w:val="002A4337"/>
    <w:rsid w:val="002A5904"/>
    <w:rsid w:val="002A6035"/>
    <w:rsid w:val="002A7FDF"/>
    <w:rsid w:val="002B2870"/>
    <w:rsid w:val="002B297A"/>
    <w:rsid w:val="002B31DF"/>
    <w:rsid w:val="002C099A"/>
    <w:rsid w:val="002C2A4B"/>
    <w:rsid w:val="002C5680"/>
    <w:rsid w:val="002C6456"/>
    <w:rsid w:val="002D27F5"/>
    <w:rsid w:val="002D2AE2"/>
    <w:rsid w:val="002D4C74"/>
    <w:rsid w:val="002E0504"/>
    <w:rsid w:val="002E1194"/>
    <w:rsid w:val="002E123D"/>
    <w:rsid w:val="002E6F59"/>
    <w:rsid w:val="002F2168"/>
    <w:rsid w:val="002F2316"/>
    <w:rsid w:val="002F2889"/>
    <w:rsid w:val="002F68E5"/>
    <w:rsid w:val="002F7B7D"/>
    <w:rsid w:val="00300C2D"/>
    <w:rsid w:val="00301120"/>
    <w:rsid w:val="003018C6"/>
    <w:rsid w:val="00304C10"/>
    <w:rsid w:val="00306BB8"/>
    <w:rsid w:val="00314B55"/>
    <w:rsid w:val="00315322"/>
    <w:rsid w:val="00317144"/>
    <w:rsid w:val="00327C26"/>
    <w:rsid w:val="00333270"/>
    <w:rsid w:val="00333882"/>
    <w:rsid w:val="003353BD"/>
    <w:rsid w:val="00341134"/>
    <w:rsid w:val="00342406"/>
    <w:rsid w:val="00344AC4"/>
    <w:rsid w:val="00344E94"/>
    <w:rsid w:val="003451BB"/>
    <w:rsid w:val="003451C0"/>
    <w:rsid w:val="0034694D"/>
    <w:rsid w:val="00350817"/>
    <w:rsid w:val="0035179A"/>
    <w:rsid w:val="00353232"/>
    <w:rsid w:val="00353D98"/>
    <w:rsid w:val="003549C8"/>
    <w:rsid w:val="00354C3C"/>
    <w:rsid w:val="003554B7"/>
    <w:rsid w:val="0035684B"/>
    <w:rsid w:val="00360460"/>
    <w:rsid w:val="00360F46"/>
    <w:rsid w:val="00362302"/>
    <w:rsid w:val="00366DCB"/>
    <w:rsid w:val="00367F59"/>
    <w:rsid w:val="00372A39"/>
    <w:rsid w:val="003745B7"/>
    <w:rsid w:val="00380E53"/>
    <w:rsid w:val="00381260"/>
    <w:rsid w:val="00381E08"/>
    <w:rsid w:val="00384D78"/>
    <w:rsid w:val="0038734B"/>
    <w:rsid w:val="00390AC1"/>
    <w:rsid w:val="00391135"/>
    <w:rsid w:val="003937A5"/>
    <w:rsid w:val="003949E5"/>
    <w:rsid w:val="003961CE"/>
    <w:rsid w:val="003A2649"/>
    <w:rsid w:val="003A3251"/>
    <w:rsid w:val="003A5B1F"/>
    <w:rsid w:val="003A617E"/>
    <w:rsid w:val="003A6372"/>
    <w:rsid w:val="003B000C"/>
    <w:rsid w:val="003B0686"/>
    <w:rsid w:val="003B13FC"/>
    <w:rsid w:val="003B1944"/>
    <w:rsid w:val="003B1ADB"/>
    <w:rsid w:val="003B2D38"/>
    <w:rsid w:val="003B6CEE"/>
    <w:rsid w:val="003B7367"/>
    <w:rsid w:val="003B74AD"/>
    <w:rsid w:val="003B7666"/>
    <w:rsid w:val="003B7836"/>
    <w:rsid w:val="003C2A2C"/>
    <w:rsid w:val="003C41D6"/>
    <w:rsid w:val="003C6CAB"/>
    <w:rsid w:val="003D10FF"/>
    <w:rsid w:val="003D1E16"/>
    <w:rsid w:val="003D1F51"/>
    <w:rsid w:val="003D5419"/>
    <w:rsid w:val="003E19E1"/>
    <w:rsid w:val="003E3201"/>
    <w:rsid w:val="003E5FF4"/>
    <w:rsid w:val="003E77F1"/>
    <w:rsid w:val="003F0F3E"/>
    <w:rsid w:val="003F5FBD"/>
    <w:rsid w:val="003F628A"/>
    <w:rsid w:val="003F736A"/>
    <w:rsid w:val="003F776D"/>
    <w:rsid w:val="004005E9"/>
    <w:rsid w:val="004006CE"/>
    <w:rsid w:val="00401C62"/>
    <w:rsid w:val="00401D93"/>
    <w:rsid w:val="004036A5"/>
    <w:rsid w:val="00404BD9"/>
    <w:rsid w:val="0040682E"/>
    <w:rsid w:val="0040757F"/>
    <w:rsid w:val="00407783"/>
    <w:rsid w:val="004103AA"/>
    <w:rsid w:val="00410DFA"/>
    <w:rsid w:val="00411351"/>
    <w:rsid w:val="00414AA9"/>
    <w:rsid w:val="00420587"/>
    <w:rsid w:val="0042084E"/>
    <w:rsid w:val="00421852"/>
    <w:rsid w:val="00423626"/>
    <w:rsid w:val="004341A7"/>
    <w:rsid w:val="0043456E"/>
    <w:rsid w:val="00436674"/>
    <w:rsid w:val="00440863"/>
    <w:rsid w:val="00441A11"/>
    <w:rsid w:val="0044565A"/>
    <w:rsid w:val="004528C3"/>
    <w:rsid w:val="004541D3"/>
    <w:rsid w:val="00454431"/>
    <w:rsid w:val="00460724"/>
    <w:rsid w:val="00461990"/>
    <w:rsid w:val="0046213B"/>
    <w:rsid w:val="00463951"/>
    <w:rsid w:val="00464568"/>
    <w:rsid w:val="00464E9B"/>
    <w:rsid w:val="00467BC5"/>
    <w:rsid w:val="00470C8A"/>
    <w:rsid w:val="0047253B"/>
    <w:rsid w:val="004728E2"/>
    <w:rsid w:val="00475E60"/>
    <w:rsid w:val="004808F3"/>
    <w:rsid w:val="00481199"/>
    <w:rsid w:val="00482A8A"/>
    <w:rsid w:val="00482FCD"/>
    <w:rsid w:val="00484748"/>
    <w:rsid w:val="0049008B"/>
    <w:rsid w:val="00490B92"/>
    <w:rsid w:val="00491313"/>
    <w:rsid w:val="0049214B"/>
    <w:rsid w:val="00495ADF"/>
    <w:rsid w:val="004A0306"/>
    <w:rsid w:val="004A03C3"/>
    <w:rsid w:val="004A109D"/>
    <w:rsid w:val="004A1E1A"/>
    <w:rsid w:val="004A7F94"/>
    <w:rsid w:val="004B03DD"/>
    <w:rsid w:val="004B103D"/>
    <w:rsid w:val="004B2E7E"/>
    <w:rsid w:val="004B3881"/>
    <w:rsid w:val="004B38C9"/>
    <w:rsid w:val="004B4210"/>
    <w:rsid w:val="004B441C"/>
    <w:rsid w:val="004B4479"/>
    <w:rsid w:val="004C0184"/>
    <w:rsid w:val="004C1DCD"/>
    <w:rsid w:val="004C3A68"/>
    <w:rsid w:val="004C6805"/>
    <w:rsid w:val="004C702B"/>
    <w:rsid w:val="004D1CF8"/>
    <w:rsid w:val="004D2792"/>
    <w:rsid w:val="004D3C64"/>
    <w:rsid w:val="004D4482"/>
    <w:rsid w:val="004F4D00"/>
    <w:rsid w:val="00500DF0"/>
    <w:rsid w:val="005031CB"/>
    <w:rsid w:val="005043CB"/>
    <w:rsid w:val="0050460C"/>
    <w:rsid w:val="00504954"/>
    <w:rsid w:val="00504BCC"/>
    <w:rsid w:val="00511637"/>
    <w:rsid w:val="00513F57"/>
    <w:rsid w:val="005169C2"/>
    <w:rsid w:val="0052140E"/>
    <w:rsid w:val="00521910"/>
    <w:rsid w:val="00521F81"/>
    <w:rsid w:val="0052299E"/>
    <w:rsid w:val="00522F8F"/>
    <w:rsid w:val="00525F2C"/>
    <w:rsid w:val="005301C9"/>
    <w:rsid w:val="00532907"/>
    <w:rsid w:val="00536FFE"/>
    <w:rsid w:val="00537BDB"/>
    <w:rsid w:val="00541305"/>
    <w:rsid w:val="00541542"/>
    <w:rsid w:val="005441AE"/>
    <w:rsid w:val="00552421"/>
    <w:rsid w:val="00554616"/>
    <w:rsid w:val="00560CAE"/>
    <w:rsid w:val="00561D00"/>
    <w:rsid w:val="00564EE6"/>
    <w:rsid w:val="00571670"/>
    <w:rsid w:val="00571F94"/>
    <w:rsid w:val="00574B1B"/>
    <w:rsid w:val="005803F9"/>
    <w:rsid w:val="00580579"/>
    <w:rsid w:val="00582CDC"/>
    <w:rsid w:val="005861F1"/>
    <w:rsid w:val="005A0B3B"/>
    <w:rsid w:val="005A1640"/>
    <w:rsid w:val="005A40E4"/>
    <w:rsid w:val="005A6EEC"/>
    <w:rsid w:val="005B0601"/>
    <w:rsid w:val="005B27AA"/>
    <w:rsid w:val="005B322C"/>
    <w:rsid w:val="005B797F"/>
    <w:rsid w:val="005B7BFF"/>
    <w:rsid w:val="005C3266"/>
    <w:rsid w:val="005C3586"/>
    <w:rsid w:val="005C44AC"/>
    <w:rsid w:val="005C4F96"/>
    <w:rsid w:val="005C7185"/>
    <w:rsid w:val="005C7A5E"/>
    <w:rsid w:val="005D159D"/>
    <w:rsid w:val="005D210B"/>
    <w:rsid w:val="005D263F"/>
    <w:rsid w:val="005D30C8"/>
    <w:rsid w:val="005D366D"/>
    <w:rsid w:val="005D3BE5"/>
    <w:rsid w:val="005D4082"/>
    <w:rsid w:val="005D4997"/>
    <w:rsid w:val="005D4B7C"/>
    <w:rsid w:val="005D62E2"/>
    <w:rsid w:val="005E0833"/>
    <w:rsid w:val="005E27C5"/>
    <w:rsid w:val="005E42B0"/>
    <w:rsid w:val="005E5BAD"/>
    <w:rsid w:val="005E6DF4"/>
    <w:rsid w:val="005F1352"/>
    <w:rsid w:val="005F20DB"/>
    <w:rsid w:val="005F2CFD"/>
    <w:rsid w:val="005F421E"/>
    <w:rsid w:val="005F4840"/>
    <w:rsid w:val="005F4E7E"/>
    <w:rsid w:val="005F51BB"/>
    <w:rsid w:val="005F55F8"/>
    <w:rsid w:val="005F5B5D"/>
    <w:rsid w:val="005F6A7D"/>
    <w:rsid w:val="005F7A33"/>
    <w:rsid w:val="006035EC"/>
    <w:rsid w:val="0060544B"/>
    <w:rsid w:val="00610E6B"/>
    <w:rsid w:val="00611B00"/>
    <w:rsid w:val="00611F88"/>
    <w:rsid w:val="006149A6"/>
    <w:rsid w:val="00620AEB"/>
    <w:rsid w:val="00621489"/>
    <w:rsid w:val="00624526"/>
    <w:rsid w:val="00624CB7"/>
    <w:rsid w:val="0062578B"/>
    <w:rsid w:val="00625900"/>
    <w:rsid w:val="006276D1"/>
    <w:rsid w:val="00631D4A"/>
    <w:rsid w:val="006332AF"/>
    <w:rsid w:val="006333AB"/>
    <w:rsid w:val="0063444C"/>
    <w:rsid w:val="00634941"/>
    <w:rsid w:val="006370BC"/>
    <w:rsid w:val="00641EF2"/>
    <w:rsid w:val="00644254"/>
    <w:rsid w:val="00644422"/>
    <w:rsid w:val="006456C3"/>
    <w:rsid w:val="00654AC6"/>
    <w:rsid w:val="00654DDB"/>
    <w:rsid w:val="00656285"/>
    <w:rsid w:val="00656E68"/>
    <w:rsid w:val="0066216C"/>
    <w:rsid w:val="0066458E"/>
    <w:rsid w:val="00666350"/>
    <w:rsid w:val="006671F3"/>
    <w:rsid w:val="00670D4B"/>
    <w:rsid w:val="00673288"/>
    <w:rsid w:val="00673721"/>
    <w:rsid w:val="00674E1C"/>
    <w:rsid w:val="006764B5"/>
    <w:rsid w:val="00676D10"/>
    <w:rsid w:val="00677FC8"/>
    <w:rsid w:val="006815E8"/>
    <w:rsid w:val="0068225F"/>
    <w:rsid w:val="0068265E"/>
    <w:rsid w:val="006839E9"/>
    <w:rsid w:val="00690A68"/>
    <w:rsid w:val="0069475E"/>
    <w:rsid w:val="00695F8B"/>
    <w:rsid w:val="00696493"/>
    <w:rsid w:val="00697F52"/>
    <w:rsid w:val="006A3437"/>
    <w:rsid w:val="006A3762"/>
    <w:rsid w:val="006A453A"/>
    <w:rsid w:val="006A572B"/>
    <w:rsid w:val="006A58AC"/>
    <w:rsid w:val="006A610E"/>
    <w:rsid w:val="006B330E"/>
    <w:rsid w:val="006B4FEF"/>
    <w:rsid w:val="006B5E98"/>
    <w:rsid w:val="006B6799"/>
    <w:rsid w:val="006C0926"/>
    <w:rsid w:val="006C6675"/>
    <w:rsid w:val="006C6A60"/>
    <w:rsid w:val="006D0B15"/>
    <w:rsid w:val="006D0D5C"/>
    <w:rsid w:val="006D240A"/>
    <w:rsid w:val="006D621D"/>
    <w:rsid w:val="006D6F09"/>
    <w:rsid w:val="006E228B"/>
    <w:rsid w:val="006E2EDD"/>
    <w:rsid w:val="006E3CDD"/>
    <w:rsid w:val="006E461B"/>
    <w:rsid w:val="006E7A71"/>
    <w:rsid w:val="006F0C7A"/>
    <w:rsid w:val="006F12F7"/>
    <w:rsid w:val="006F1A00"/>
    <w:rsid w:val="006F22DC"/>
    <w:rsid w:val="006F3A04"/>
    <w:rsid w:val="006F3BDA"/>
    <w:rsid w:val="006F4866"/>
    <w:rsid w:val="006F5898"/>
    <w:rsid w:val="0070240A"/>
    <w:rsid w:val="00702EED"/>
    <w:rsid w:val="00702FED"/>
    <w:rsid w:val="00703419"/>
    <w:rsid w:val="00704889"/>
    <w:rsid w:val="00705642"/>
    <w:rsid w:val="00706C1A"/>
    <w:rsid w:val="00710E34"/>
    <w:rsid w:val="00711A6C"/>
    <w:rsid w:val="00713F2C"/>
    <w:rsid w:val="007173FA"/>
    <w:rsid w:val="00724AA2"/>
    <w:rsid w:val="00730E93"/>
    <w:rsid w:val="007355A8"/>
    <w:rsid w:val="00740AB9"/>
    <w:rsid w:val="00745891"/>
    <w:rsid w:val="0074598F"/>
    <w:rsid w:val="00746972"/>
    <w:rsid w:val="007527D5"/>
    <w:rsid w:val="00754A8D"/>
    <w:rsid w:val="00757B89"/>
    <w:rsid w:val="00757D4E"/>
    <w:rsid w:val="00757E6E"/>
    <w:rsid w:val="00760FDC"/>
    <w:rsid w:val="007611CA"/>
    <w:rsid w:val="00761F8A"/>
    <w:rsid w:val="00763010"/>
    <w:rsid w:val="00764FF9"/>
    <w:rsid w:val="00770900"/>
    <w:rsid w:val="00773FBC"/>
    <w:rsid w:val="00774C96"/>
    <w:rsid w:val="007762BE"/>
    <w:rsid w:val="00776748"/>
    <w:rsid w:val="00783A3D"/>
    <w:rsid w:val="00784964"/>
    <w:rsid w:val="0078619C"/>
    <w:rsid w:val="00786419"/>
    <w:rsid w:val="0079172D"/>
    <w:rsid w:val="00794A2E"/>
    <w:rsid w:val="00795C2B"/>
    <w:rsid w:val="00796716"/>
    <w:rsid w:val="007A08A5"/>
    <w:rsid w:val="007A10C0"/>
    <w:rsid w:val="007A3837"/>
    <w:rsid w:val="007A4E6A"/>
    <w:rsid w:val="007B0C64"/>
    <w:rsid w:val="007B48FC"/>
    <w:rsid w:val="007B4D7D"/>
    <w:rsid w:val="007B54A2"/>
    <w:rsid w:val="007B6646"/>
    <w:rsid w:val="007B7A2C"/>
    <w:rsid w:val="007C614C"/>
    <w:rsid w:val="007C6BEF"/>
    <w:rsid w:val="007D1918"/>
    <w:rsid w:val="007E0901"/>
    <w:rsid w:val="007E162B"/>
    <w:rsid w:val="007E168A"/>
    <w:rsid w:val="007E186B"/>
    <w:rsid w:val="007E2F49"/>
    <w:rsid w:val="007E3F08"/>
    <w:rsid w:val="007F05D8"/>
    <w:rsid w:val="007F19EB"/>
    <w:rsid w:val="007F380B"/>
    <w:rsid w:val="007F3EA8"/>
    <w:rsid w:val="007F4BFB"/>
    <w:rsid w:val="007F7AB4"/>
    <w:rsid w:val="0080059B"/>
    <w:rsid w:val="00800F06"/>
    <w:rsid w:val="00801EA4"/>
    <w:rsid w:val="008047D5"/>
    <w:rsid w:val="00804B41"/>
    <w:rsid w:val="00805727"/>
    <w:rsid w:val="008059DB"/>
    <w:rsid w:val="00806CFE"/>
    <w:rsid w:val="00807CA8"/>
    <w:rsid w:val="00807CE1"/>
    <w:rsid w:val="00811B92"/>
    <w:rsid w:val="00811C28"/>
    <w:rsid w:val="008154E0"/>
    <w:rsid w:val="0082124E"/>
    <w:rsid w:val="00821A4E"/>
    <w:rsid w:val="00822BCE"/>
    <w:rsid w:val="00824AE8"/>
    <w:rsid w:val="00833856"/>
    <w:rsid w:val="00834C8F"/>
    <w:rsid w:val="008352D3"/>
    <w:rsid w:val="00835A3D"/>
    <w:rsid w:val="00837924"/>
    <w:rsid w:val="00840B92"/>
    <w:rsid w:val="008426FE"/>
    <w:rsid w:val="00843CB5"/>
    <w:rsid w:val="00844A5D"/>
    <w:rsid w:val="00845EBD"/>
    <w:rsid w:val="008500EA"/>
    <w:rsid w:val="00851D30"/>
    <w:rsid w:val="00853467"/>
    <w:rsid w:val="008552F8"/>
    <w:rsid w:val="00856FDF"/>
    <w:rsid w:val="00860D56"/>
    <w:rsid w:val="0086423D"/>
    <w:rsid w:val="00865893"/>
    <w:rsid w:val="0086637C"/>
    <w:rsid w:val="00866793"/>
    <w:rsid w:val="00866799"/>
    <w:rsid w:val="00866E5A"/>
    <w:rsid w:val="00870CF9"/>
    <w:rsid w:val="00870F76"/>
    <w:rsid w:val="00875CAB"/>
    <w:rsid w:val="00876382"/>
    <w:rsid w:val="00877C77"/>
    <w:rsid w:val="00877E26"/>
    <w:rsid w:val="00880C08"/>
    <w:rsid w:val="008814D5"/>
    <w:rsid w:val="00882606"/>
    <w:rsid w:val="00882F05"/>
    <w:rsid w:val="008840C5"/>
    <w:rsid w:val="008875A1"/>
    <w:rsid w:val="0089013F"/>
    <w:rsid w:val="00891EC7"/>
    <w:rsid w:val="00893E09"/>
    <w:rsid w:val="00896EB9"/>
    <w:rsid w:val="00897E0E"/>
    <w:rsid w:val="008A19E8"/>
    <w:rsid w:val="008A52C8"/>
    <w:rsid w:val="008A6078"/>
    <w:rsid w:val="008B096C"/>
    <w:rsid w:val="008B1C50"/>
    <w:rsid w:val="008B714D"/>
    <w:rsid w:val="008B7D1A"/>
    <w:rsid w:val="008C114F"/>
    <w:rsid w:val="008C1339"/>
    <w:rsid w:val="008C2553"/>
    <w:rsid w:val="008C4425"/>
    <w:rsid w:val="008C5077"/>
    <w:rsid w:val="008C5E3F"/>
    <w:rsid w:val="008C62A4"/>
    <w:rsid w:val="008D145B"/>
    <w:rsid w:val="008D3AE7"/>
    <w:rsid w:val="008D5223"/>
    <w:rsid w:val="008D5A0E"/>
    <w:rsid w:val="008E37C3"/>
    <w:rsid w:val="008E5EFC"/>
    <w:rsid w:val="008E66AD"/>
    <w:rsid w:val="008F2611"/>
    <w:rsid w:val="008F5965"/>
    <w:rsid w:val="008F6E86"/>
    <w:rsid w:val="008F774B"/>
    <w:rsid w:val="0090132C"/>
    <w:rsid w:val="009016E5"/>
    <w:rsid w:val="0090224B"/>
    <w:rsid w:val="009026D9"/>
    <w:rsid w:val="00905F5E"/>
    <w:rsid w:val="0091033E"/>
    <w:rsid w:val="00912691"/>
    <w:rsid w:val="009146CB"/>
    <w:rsid w:val="0091479D"/>
    <w:rsid w:val="00915F7D"/>
    <w:rsid w:val="00916866"/>
    <w:rsid w:val="00916B29"/>
    <w:rsid w:val="00916BF8"/>
    <w:rsid w:val="00917AC2"/>
    <w:rsid w:val="00922054"/>
    <w:rsid w:val="00923102"/>
    <w:rsid w:val="00925DF3"/>
    <w:rsid w:val="0093219B"/>
    <w:rsid w:val="00932C1C"/>
    <w:rsid w:val="0093613B"/>
    <w:rsid w:val="0093777E"/>
    <w:rsid w:val="00943FE1"/>
    <w:rsid w:val="00944EFB"/>
    <w:rsid w:val="009503E6"/>
    <w:rsid w:val="0095043C"/>
    <w:rsid w:val="00950525"/>
    <w:rsid w:val="0095280C"/>
    <w:rsid w:val="0095607D"/>
    <w:rsid w:val="0095632E"/>
    <w:rsid w:val="00962007"/>
    <w:rsid w:val="00966005"/>
    <w:rsid w:val="00967807"/>
    <w:rsid w:val="00967C95"/>
    <w:rsid w:val="0097035C"/>
    <w:rsid w:val="00971B22"/>
    <w:rsid w:val="009720C1"/>
    <w:rsid w:val="00972A80"/>
    <w:rsid w:val="00974632"/>
    <w:rsid w:val="00974E2D"/>
    <w:rsid w:val="00975F99"/>
    <w:rsid w:val="009768D7"/>
    <w:rsid w:val="009771E9"/>
    <w:rsid w:val="009773A9"/>
    <w:rsid w:val="00980E6A"/>
    <w:rsid w:val="00984E06"/>
    <w:rsid w:val="00985CF4"/>
    <w:rsid w:val="00987B4D"/>
    <w:rsid w:val="00990DCD"/>
    <w:rsid w:val="00994EBD"/>
    <w:rsid w:val="00997C94"/>
    <w:rsid w:val="009A02F2"/>
    <w:rsid w:val="009A2A38"/>
    <w:rsid w:val="009A3D7C"/>
    <w:rsid w:val="009A43A3"/>
    <w:rsid w:val="009A60EF"/>
    <w:rsid w:val="009A68DD"/>
    <w:rsid w:val="009B2352"/>
    <w:rsid w:val="009B3E99"/>
    <w:rsid w:val="009C48DA"/>
    <w:rsid w:val="009C6760"/>
    <w:rsid w:val="009D0752"/>
    <w:rsid w:val="009D3A72"/>
    <w:rsid w:val="009D41B9"/>
    <w:rsid w:val="009D708F"/>
    <w:rsid w:val="009E51E4"/>
    <w:rsid w:val="009E7E93"/>
    <w:rsid w:val="009F0103"/>
    <w:rsid w:val="009F2F54"/>
    <w:rsid w:val="009F7800"/>
    <w:rsid w:val="00A004B7"/>
    <w:rsid w:val="00A076A2"/>
    <w:rsid w:val="00A07955"/>
    <w:rsid w:val="00A11767"/>
    <w:rsid w:val="00A123FC"/>
    <w:rsid w:val="00A145CF"/>
    <w:rsid w:val="00A1466E"/>
    <w:rsid w:val="00A14DF7"/>
    <w:rsid w:val="00A1511B"/>
    <w:rsid w:val="00A211A1"/>
    <w:rsid w:val="00A223DC"/>
    <w:rsid w:val="00A23927"/>
    <w:rsid w:val="00A2416C"/>
    <w:rsid w:val="00A260D1"/>
    <w:rsid w:val="00A2756C"/>
    <w:rsid w:val="00A27E31"/>
    <w:rsid w:val="00A31052"/>
    <w:rsid w:val="00A32739"/>
    <w:rsid w:val="00A35229"/>
    <w:rsid w:val="00A36BDE"/>
    <w:rsid w:val="00A4426A"/>
    <w:rsid w:val="00A5223B"/>
    <w:rsid w:val="00A52314"/>
    <w:rsid w:val="00A52787"/>
    <w:rsid w:val="00A55E0B"/>
    <w:rsid w:val="00A5674D"/>
    <w:rsid w:val="00A56BE3"/>
    <w:rsid w:val="00A62E60"/>
    <w:rsid w:val="00A64C9C"/>
    <w:rsid w:val="00A65F9F"/>
    <w:rsid w:val="00A74AAB"/>
    <w:rsid w:val="00A75A86"/>
    <w:rsid w:val="00A76A76"/>
    <w:rsid w:val="00A773D0"/>
    <w:rsid w:val="00A8207B"/>
    <w:rsid w:val="00A85138"/>
    <w:rsid w:val="00A867F2"/>
    <w:rsid w:val="00A9129A"/>
    <w:rsid w:val="00A91985"/>
    <w:rsid w:val="00A949FA"/>
    <w:rsid w:val="00A965D0"/>
    <w:rsid w:val="00A96C7C"/>
    <w:rsid w:val="00AA2B87"/>
    <w:rsid w:val="00AB0757"/>
    <w:rsid w:val="00AB1A59"/>
    <w:rsid w:val="00AC0F6F"/>
    <w:rsid w:val="00AC1A42"/>
    <w:rsid w:val="00AC2DEA"/>
    <w:rsid w:val="00AC396D"/>
    <w:rsid w:val="00AC4121"/>
    <w:rsid w:val="00AC51AD"/>
    <w:rsid w:val="00AD548B"/>
    <w:rsid w:val="00AD7823"/>
    <w:rsid w:val="00AE586A"/>
    <w:rsid w:val="00AE7DD3"/>
    <w:rsid w:val="00AE7EAA"/>
    <w:rsid w:val="00AF1EE1"/>
    <w:rsid w:val="00AF3794"/>
    <w:rsid w:val="00AF37A1"/>
    <w:rsid w:val="00AF383F"/>
    <w:rsid w:val="00AF3C31"/>
    <w:rsid w:val="00AF3F53"/>
    <w:rsid w:val="00AF4DC9"/>
    <w:rsid w:val="00AF7FAA"/>
    <w:rsid w:val="00B00DEB"/>
    <w:rsid w:val="00B028BE"/>
    <w:rsid w:val="00B03D2E"/>
    <w:rsid w:val="00B0541E"/>
    <w:rsid w:val="00B0575B"/>
    <w:rsid w:val="00B11A5B"/>
    <w:rsid w:val="00B11DB0"/>
    <w:rsid w:val="00B13807"/>
    <w:rsid w:val="00B13905"/>
    <w:rsid w:val="00B14C07"/>
    <w:rsid w:val="00B154FE"/>
    <w:rsid w:val="00B1786C"/>
    <w:rsid w:val="00B222B0"/>
    <w:rsid w:val="00B25DCE"/>
    <w:rsid w:val="00B26A45"/>
    <w:rsid w:val="00B309EE"/>
    <w:rsid w:val="00B30F64"/>
    <w:rsid w:val="00B3119A"/>
    <w:rsid w:val="00B32391"/>
    <w:rsid w:val="00B33486"/>
    <w:rsid w:val="00B33DE3"/>
    <w:rsid w:val="00B34C14"/>
    <w:rsid w:val="00B37F8A"/>
    <w:rsid w:val="00B420C9"/>
    <w:rsid w:val="00B45972"/>
    <w:rsid w:val="00B51964"/>
    <w:rsid w:val="00B5351F"/>
    <w:rsid w:val="00B56280"/>
    <w:rsid w:val="00B61B6F"/>
    <w:rsid w:val="00B629FF"/>
    <w:rsid w:val="00B65D8D"/>
    <w:rsid w:val="00B740F5"/>
    <w:rsid w:val="00B751AA"/>
    <w:rsid w:val="00B83873"/>
    <w:rsid w:val="00B86B5B"/>
    <w:rsid w:val="00B92185"/>
    <w:rsid w:val="00B93039"/>
    <w:rsid w:val="00B9397D"/>
    <w:rsid w:val="00B948FC"/>
    <w:rsid w:val="00B9700F"/>
    <w:rsid w:val="00BA3C42"/>
    <w:rsid w:val="00BA4837"/>
    <w:rsid w:val="00BA4856"/>
    <w:rsid w:val="00BB5E17"/>
    <w:rsid w:val="00BB75CC"/>
    <w:rsid w:val="00BC0C6C"/>
    <w:rsid w:val="00BC5E7C"/>
    <w:rsid w:val="00BC72D4"/>
    <w:rsid w:val="00BD1365"/>
    <w:rsid w:val="00BD426E"/>
    <w:rsid w:val="00BD5506"/>
    <w:rsid w:val="00BD58EA"/>
    <w:rsid w:val="00BD5B6C"/>
    <w:rsid w:val="00BD7F44"/>
    <w:rsid w:val="00BE2920"/>
    <w:rsid w:val="00BE3B27"/>
    <w:rsid w:val="00BE458D"/>
    <w:rsid w:val="00BE4B87"/>
    <w:rsid w:val="00BE667F"/>
    <w:rsid w:val="00BE78D9"/>
    <w:rsid w:val="00BF14F6"/>
    <w:rsid w:val="00BF181B"/>
    <w:rsid w:val="00C019D6"/>
    <w:rsid w:val="00C0215F"/>
    <w:rsid w:val="00C02F5E"/>
    <w:rsid w:val="00C03D98"/>
    <w:rsid w:val="00C11025"/>
    <w:rsid w:val="00C13671"/>
    <w:rsid w:val="00C15D03"/>
    <w:rsid w:val="00C16997"/>
    <w:rsid w:val="00C206B5"/>
    <w:rsid w:val="00C20BC2"/>
    <w:rsid w:val="00C2145A"/>
    <w:rsid w:val="00C22DCB"/>
    <w:rsid w:val="00C243EF"/>
    <w:rsid w:val="00C24A86"/>
    <w:rsid w:val="00C25E06"/>
    <w:rsid w:val="00C26112"/>
    <w:rsid w:val="00C27013"/>
    <w:rsid w:val="00C30CC3"/>
    <w:rsid w:val="00C31DDB"/>
    <w:rsid w:val="00C3211A"/>
    <w:rsid w:val="00C3395E"/>
    <w:rsid w:val="00C364C9"/>
    <w:rsid w:val="00C37DCD"/>
    <w:rsid w:val="00C4046E"/>
    <w:rsid w:val="00C408C0"/>
    <w:rsid w:val="00C42604"/>
    <w:rsid w:val="00C42C04"/>
    <w:rsid w:val="00C438B6"/>
    <w:rsid w:val="00C45BA1"/>
    <w:rsid w:val="00C467A5"/>
    <w:rsid w:val="00C4782B"/>
    <w:rsid w:val="00C52907"/>
    <w:rsid w:val="00C52E8E"/>
    <w:rsid w:val="00C5432A"/>
    <w:rsid w:val="00C56ED8"/>
    <w:rsid w:val="00C634E0"/>
    <w:rsid w:val="00C63B55"/>
    <w:rsid w:val="00C74351"/>
    <w:rsid w:val="00C779CF"/>
    <w:rsid w:val="00C8072B"/>
    <w:rsid w:val="00C81143"/>
    <w:rsid w:val="00C84A8B"/>
    <w:rsid w:val="00C87054"/>
    <w:rsid w:val="00C87AB0"/>
    <w:rsid w:val="00C87CA3"/>
    <w:rsid w:val="00C907F2"/>
    <w:rsid w:val="00C94724"/>
    <w:rsid w:val="00C97391"/>
    <w:rsid w:val="00CA1ACB"/>
    <w:rsid w:val="00CA6A67"/>
    <w:rsid w:val="00CA746D"/>
    <w:rsid w:val="00CA7C7C"/>
    <w:rsid w:val="00CB0A23"/>
    <w:rsid w:val="00CB2728"/>
    <w:rsid w:val="00CB2C24"/>
    <w:rsid w:val="00CB3BC3"/>
    <w:rsid w:val="00CB6C27"/>
    <w:rsid w:val="00CC13DC"/>
    <w:rsid w:val="00CC1596"/>
    <w:rsid w:val="00CC3BC4"/>
    <w:rsid w:val="00CC56F1"/>
    <w:rsid w:val="00CC6712"/>
    <w:rsid w:val="00CC6F76"/>
    <w:rsid w:val="00CD08A2"/>
    <w:rsid w:val="00CD1C60"/>
    <w:rsid w:val="00CD2D7B"/>
    <w:rsid w:val="00CD5A5F"/>
    <w:rsid w:val="00CE1EF2"/>
    <w:rsid w:val="00CE3582"/>
    <w:rsid w:val="00CE3CAD"/>
    <w:rsid w:val="00CE428E"/>
    <w:rsid w:val="00CE4E0F"/>
    <w:rsid w:val="00CE517E"/>
    <w:rsid w:val="00CE65CA"/>
    <w:rsid w:val="00CE6AB6"/>
    <w:rsid w:val="00CE7066"/>
    <w:rsid w:val="00CF4EED"/>
    <w:rsid w:val="00CF6747"/>
    <w:rsid w:val="00CF7E35"/>
    <w:rsid w:val="00D003B7"/>
    <w:rsid w:val="00D00A84"/>
    <w:rsid w:val="00D00D60"/>
    <w:rsid w:val="00D0107F"/>
    <w:rsid w:val="00D01852"/>
    <w:rsid w:val="00D01B87"/>
    <w:rsid w:val="00D02254"/>
    <w:rsid w:val="00D05407"/>
    <w:rsid w:val="00D05A74"/>
    <w:rsid w:val="00D060B6"/>
    <w:rsid w:val="00D073AD"/>
    <w:rsid w:val="00D078A3"/>
    <w:rsid w:val="00D10AF8"/>
    <w:rsid w:val="00D133DC"/>
    <w:rsid w:val="00D16B26"/>
    <w:rsid w:val="00D21118"/>
    <w:rsid w:val="00D24FE4"/>
    <w:rsid w:val="00D262CF"/>
    <w:rsid w:val="00D266F8"/>
    <w:rsid w:val="00D3062F"/>
    <w:rsid w:val="00D30BD7"/>
    <w:rsid w:val="00D33338"/>
    <w:rsid w:val="00D34319"/>
    <w:rsid w:val="00D355A7"/>
    <w:rsid w:val="00D36EB6"/>
    <w:rsid w:val="00D37A89"/>
    <w:rsid w:val="00D37CDD"/>
    <w:rsid w:val="00D4014E"/>
    <w:rsid w:val="00D42D0B"/>
    <w:rsid w:val="00D4326E"/>
    <w:rsid w:val="00D444C8"/>
    <w:rsid w:val="00D509BE"/>
    <w:rsid w:val="00D5138D"/>
    <w:rsid w:val="00D53723"/>
    <w:rsid w:val="00D5380B"/>
    <w:rsid w:val="00D53A86"/>
    <w:rsid w:val="00D560FE"/>
    <w:rsid w:val="00D564EF"/>
    <w:rsid w:val="00D5711A"/>
    <w:rsid w:val="00D601CC"/>
    <w:rsid w:val="00D60C05"/>
    <w:rsid w:val="00D62725"/>
    <w:rsid w:val="00D65088"/>
    <w:rsid w:val="00D67D1B"/>
    <w:rsid w:val="00D77B81"/>
    <w:rsid w:val="00D80044"/>
    <w:rsid w:val="00D82F99"/>
    <w:rsid w:val="00D84277"/>
    <w:rsid w:val="00D8436C"/>
    <w:rsid w:val="00D84B19"/>
    <w:rsid w:val="00D85E3A"/>
    <w:rsid w:val="00D87424"/>
    <w:rsid w:val="00D901B1"/>
    <w:rsid w:val="00D9082D"/>
    <w:rsid w:val="00D931E9"/>
    <w:rsid w:val="00D93F9C"/>
    <w:rsid w:val="00D95B5B"/>
    <w:rsid w:val="00DA4852"/>
    <w:rsid w:val="00DA6F9E"/>
    <w:rsid w:val="00DB0993"/>
    <w:rsid w:val="00DB7A5A"/>
    <w:rsid w:val="00DC54B3"/>
    <w:rsid w:val="00DC5D2B"/>
    <w:rsid w:val="00DC7347"/>
    <w:rsid w:val="00DD2F90"/>
    <w:rsid w:val="00DD4BD5"/>
    <w:rsid w:val="00DE56EC"/>
    <w:rsid w:val="00DF47EA"/>
    <w:rsid w:val="00DF4C15"/>
    <w:rsid w:val="00DF7F84"/>
    <w:rsid w:val="00E00099"/>
    <w:rsid w:val="00E003C7"/>
    <w:rsid w:val="00E037BC"/>
    <w:rsid w:val="00E04867"/>
    <w:rsid w:val="00E04B64"/>
    <w:rsid w:val="00E12DD9"/>
    <w:rsid w:val="00E141EE"/>
    <w:rsid w:val="00E14C8A"/>
    <w:rsid w:val="00E15574"/>
    <w:rsid w:val="00E15AE6"/>
    <w:rsid w:val="00E202E8"/>
    <w:rsid w:val="00E20AFD"/>
    <w:rsid w:val="00E233FC"/>
    <w:rsid w:val="00E24BC9"/>
    <w:rsid w:val="00E25ECB"/>
    <w:rsid w:val="00E31659"/>
    <w:rsid w:val="00E32CEC"/>
    <w:rsid w:val="00E4085D"/>
    <w:rsid w:val="00E44294"/>
    <w:rsid w:val="00E47AD7"/>
    <w:rsid w:val="00E47B65"/>
    <w:rsid w:val="00E51DB1"/>
    <w:rsid w:val="00E52D0F"/>
    <w:rsid w:val="00E52F3E"/>
    <w:rsid w:val="00E541F5"/>
    <w:rsid w:val="00E61EC1"/>
    <w:rsid w:val="00E633DA"/>
    <w:rsid w:val="00E642D2"/>
    <w:rsid w:val="00E643E3"/>
    <w:rsid w:val="00E702C6"/>
    <w:rsid w:val="00E703BB"/>
    <w:rsid w:val="00E70600"/>
    <w:rsid w:val="00E713EC"/>
    <w:rsid w:val="00E716AF"/>
    <w:rsid w:val="00E7218A"/>
    <w:rsid w:val="00E733E5"/>
    <w:rsid w:val="00E73CB7"/>
    <w:rsid w:val="00E73EBF"/>
    <w:rsid w:val="00E77130"/>
    <w:rsid w:val="00E77ABC"/>
    <w:rsid w:val="00E822AC"/>
    <w:rsid w:val="00E837D8"/>
    <w:rsid w:val="00E8704E"/>
    <w:rsid w:val="00E90290"/>
    <w:rsid w:val="00E94A55"/>
    <w:rsid w:val="00E95B66"/>
    <w:rsid w:val="00E96D15"/>
    <w:rsid w:val="00EA7137"/>
    <w:rsid w:val="00EB1127"/>
    <w:rsid w:val="00EB1AD0"/>
    <w:rsid w:val="00EB4751"/>
    <w:rsid w:val="00EB7315"/>
    <w:rsid w:val="00EB7732"/>
    <w:rsid w:val="00EC02DB"/>
    <w:rsid w:val="00EC0E17"/>
    <w:rsid w:val="00EC3BD0"/>
    <w:rsid w:val="00ED6CC8"/>
    <w:rsid w:val="00EE24C5"/>
    <w:rsid w:val="00EE334A"/>
    <w:rsid w:val="00EE7DB8"/>
    <w:rsid w:val="00EF051C"/>
    <w:rsid w:val="00EF0A0C"/>
    <w:rsid w:val="00EF293B"/>
    <w:rsid w:val="00EF7EDD"/>
    <w:rsid w:val="00F01FA8"/>
    <w:rsid w:val="00F03C87"/>
    <w:rsid w:val="00F07244"/>
    <w:rsid w:val="00F07648"/>
    <w:rsid w:val="00F10094"/>
    <w:rsid w:val="00F104B7"/>
    <w:rsid w:val="00F10584"/>
    <w:rsid w:val="00F1297F"/>
    <w:rsid w:val="00F153C3"/>
    <w:rsid w:val="00F15DD0"/>
    <w:rsid w:val="00F21B2A"/>
    <w:rsid w:val="00F2225B"/>
    <w:rsid w:val="00F22869"/>
    <w:rsid w:val="00F22973"/>
    <w:rsid w:val="00F23087"/>
    <w:rsid w:val="00F240A9"/>
    <w:rsid w:val="00F2741C"/>
    <w:rsid w:val="00F27CE6"/>
    <w:rsid w:val="00F34624"/>
    <w:rsid w:val="00F34BB6"/>
    <w:rsid w:val="00F36566"/>
    <w:rsid w:val="00F418ED"/>
    <w:rsid w:val="00F438E4"/>
    <w:rsid w:val="00F440F7"/>
    <w:rsid w:val="00F46A2C"/>
    <w:rsid w:val="00F46DCC"/>
    <w:rsid w:val="00F4734E"/>
    <w:rsid w:val="00F47E8A"/>
    <w:rsid w:val="00F50CD8"/>
    <w:rsid w:val="00F53119"/>
    <w:rsid w:val="00F532C6"/>
    <w:rsid w:val="00F53D13"/>
    <w:rsid w:val="00F575C6"/>
    <w:rsid w:val="00F57C76"/>
    <w:rsid w:val="00F6036E"/>
    <w:rsid w:val="00F612EC"/>
    <w:rsid w:val="00F627F9"/>
    <w:rsid w:val="00F62B9B"/>
    <w:rsid w:val="00F642ED"/>
    <w:rsid w:val="00F70B91"/>
    <w:rsid w:val="00F7635A"/>
    <w:rsid w:val="00F82605"/>
    <w:rsid w:val="00F83136"/>
    <w:rsid w:val="00F84336"/>
    <w:rsid w:val="00F85ABE"/>
    <w:rsid w:val="00F85C28"/>
    <w:rsid w:val="00F87193"/>
    <w:rsid w:val="00F87E45"/>
    <w:rsid w:val="00F90537"/>
    <w:rsid w:val="00F94BC5"/>
    <w:rsid w:val="00F959CC"/>
    <w:rsid w:val="00FA2444"/>
    <w:rsid w:val="00FA4A5B"/>
    <w:rsid w:val="00FA5B51"/>
    <w:rsid w:val="00FA5B85"/>
    <w:rsid w:val="00FA5FAB"/>
    <w:rsid w:val="00FA6866"/>
    <w:rsid w:val="00FA6F05"/>
    <w:rsid w:val="00FB1208"/>
    <w:rsid w:val="00FB14D3"/>
    <w:rsid w:val="00FB1B3B"/>
    <w:rsid w:val="00FB7BB2"/>
    <w:rsid w:val="00FC2E99"/>
    <w:rsid w:val="00FC5A4E"/>
    <w:rsid w:val="00FC6F65"/>
    <w:rsid w:val="00FD0A42"/>
    <w:rsid w:val="00FD19AE"/>
    <w:rsid w:val="00FE0D9F"/>
    <w:rsid w:val="00FE52B7"/>
    <w:rsid w:val="00FE7030"/>
    <w:rsid w:val="00FF1158"/>
    <w:rsid w:val="00FF2E8B"/>
    <w:rsid w:val="00FF3075"/>
    <w:rsid w:val="00FF5B07"/>
    <w:rsid w:val="00FF7C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37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 w:unhideWhenUsed="0" w:qFormat="1"/>
    <w:lsdException w:name="Date" w:uiPriority="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03"/>
    <w:pPr>
      <w:spacing w:before="120"/>
      <w:jc w:val="both"/>
    </w:pPr>
    <w:rPr>
      <w:rFonts w:ascii="Times New Roman" w:hAnsi="Times New Roman"/>
      <w:sz w:val="22"/>
      <w:lang w:val="en-GB"/>
    </w:rPr>
  </w:style>
  <w:style w:type="paragraph" w:styleId="Heading1">
    <w:name w:val="heading 1"/>
    <w:basedOn w:val="Normal"/>
    <w:next w:val="Normal"/>
    <w:link w:val="Heading1Char"/>
    <w:qFormat/>
    <w:rsid w:val="003937A5"/>
    <w:pPr>
      <w:keepNext/>
      <w:numPr>
        <w:numId w:val="1"/>
      </w:numPr>
      <w:spacing w:before="240" w:after="60"/>
      <w:ind w:left="432"/>
      <w:jc w:val="left"/>
      <w:outlineLvl w:val="0"/>
    </w:pPr>
    <w:rPr>
      <w:rFonts w:ascii="Calibri" w:eastAsia="Times New Roman" w:hAnsi="Calibri" w:cs="Times New Roman"/>
      <w:b/>
      <w:bCs/>
      <w:kern w:val="32"/>
      <w:sz w:val="32"/>
      <w:szCs w:val="32"/>
      <w:lang w:val="en-US"/>
    </w:rPr>
  </w:style>
  <w:style w:type="paragraph" w:styleId="Heading2">
    <w:name w:val="heading 2"/>
    <w:basedOn w:val="Normal"/>
    <w:next w:val="Normal"/>
    <w:link w:val="Heading2Char"/>
    <w:qFormat/>
    <w:rsid w:val="003937A5"/>
    <w:pPr>
      <w:keepNext/>
      <w:numPr>
        <w:ilvl w:val="1"/>
        <w:numId w:val="1"/>
      </w:numPr>
      <w:spacing w:before="240" w:after="60"/>
      <w:jc w:val="left"/>
      <w:outlineLvl w:val="1"/>
    </w:pPr>
    <w:rPr>
      <w:rFonts w:ascii="Calibri" w:eastAsia="Times New Roman" w:hAnsi="Calibri" w:cs="Times New Roman"/>
      <w:b/>
      <w:bCs/>
      <w:i/>
      <w:iCs/>
      <w:sz w:val="28"/>
      <w:szCs w:val="28"/>
      <w:lang w:val="en-US"/>
    </w:rPr>
  </w:style>
  <w:style w:type="paragraph" w:styleId="Heading3">
    <w:name w:val="heading 3"/>
    <w:basedOn w:val="Normal"/>
    <w:next w:val="Normal"/>
    <w:link w:val="Heading3Char"/>
    <w:qFormat/>
    <w:rsid w:val="003937A5"/>
    <w:pPr>
      <w:keepNext/>
      <w:numPr>
        <w:ilvl w:val="2"/>
        <w:numId w:val="1"/>
      </w:numPr>
      <w:spacing w:before="240" w:after="60"/>
      <w:jc w:val="left"/>
      <w:outlineLvl w:val="2"/>
    </w:pPr>
    <w:rPr>
      <w:rFonts w:ascii="Calibri" w:eastAsia="Times New Roman" w:hAnsi="Calibri" w:cs="Times New Roman"/>
      <w:b/>
      <w:bCs/>
      <w:sz w:val="26"/>
      <w:szCs w:val="26"/>
      <w:lang w:val="en-US"/>
    </w:rPr>
  </w:style>
  <w:style w:type="paragraph" w:styleId="Heading4">
    <w:name w:val="heading 4"/>
    <w:basedOn w:val="Normal"/>
    <w:next w:val="Normal"/>
    <w:link w:val="Heading4Char"/>
    <w:qFormat/>
    <w:rsid w:val="003937A5"/>
    <w:pPr>
      <w:keepNext/>
      <w:numPr>
        <w:ilvl w:val="3"/>
        <w:numId w:val="1"/>
      </w:numPr>
      <w:spacing w:before="240" w:after="60"/>
      <w:jc w:val="left"/>
      <w:outlineLvl w:val="3"/>
    </w:pPr>
    <w:rPr>
      <w:rFonts w:ascii="Cambria" w:eastAsia="Times New Roman" w:hAnsi="Cambria" w:cs="Times New Roman"/>
      <w:b/>
      <w:bCs/>
      <w:sz w:val="28"/>
      <w:szCs w:val="28"/>
      <w:lang w:val="en-US"/>
    </w:rPr>
  </w:style>
  <w:style w:type="paragraph" w:styleId="Heading5">
    <w:name w:val="heading 5"/>
    <w:basedOn w:val="Normal"/>
    <w:next w:val="Normal"/>
    <w:link w:val="Heading5Char"/>
    <w:qFormat/>
    <w:rsid w:val="003937A5"/>
    <w:pPr>
      <w:numPr>
        <w:ilvl w:val="4"/>
        <w:numId w:val="1"/>
      </w:numPr>
      <w:spacing w:before="240" w:after="60"/>
      <w:jc w:val="left"/>
      <w:outlineLvl w:val="4"/>
    </w:pPr>
    <w:rPr>
      <w:rFonts w:ascii="Cambria" w:eastAsia="Times New Roman" w:hAnsi="Cambria" w:cs="Times New Roman"/>
      <w:b/>
      <w:bCs/>
      <w:i/>
      <w:iCs/>
      <w:sz w:val="26"/>
      <w:szCs w:val="26"/>
      <w:lang w:val="en-US"/>
    </w:rPr>
  </w:style>
  <w:style w:type="paragraph" w:styleId="Heading6">
    <w:name w:val="heading 6"/>
    <w:basedOn w:val="Normal"/>
    <w:next w:val="Normal"/>
    <w:link w:val="Heading6Char"/>
    <w:qFormat/>
    <w:rsid w:val="003937A5"/>
    <w:pPr>
      <w:numPr>
        <w:ilvl w:val="5"/>
        <w:numId w:val="1"/>
      </w:numPr>
      <w:spacing w:before="240" w:after="60"/>
      <w:jc w:val="left"/>
      <w:outlineLvl w:val="5"/>
    </w:pPr>
    <w:rPr>
      <w:rFonts w:ascii="Cambria" w:eastAsia="Times New Roman" w:hAnsi="Cambria" w:cs="Times New Roman"/>
      <w:b/>
      <w:bCs/>
      <w:szCs w:val="22"/>
      <w:lang w:val="en-US"/>
    </w:rPr>
  </w:style>
  <w:style w:type="paragraph" w:styleId="Heading7">
    <w:name w:val="heading 7"/>
    <w:basedOn w:val="Normal"/>
    <w:next w:val="Normal"/>
    <w:link w:val="Heading7Char"/>
    <w:qFormat/>
    <w:rsid w:val="003937A5"/>
    <w:pPr>
      <w:numPr>
        <w:ilvl w:val="6"/>
        <w:numId w:val="1"/>
      </w:numPr>
      <w:spacing w:before="240" w:after="60"/>
      <w:jc w:val="left"/>
      <w:outlineLvl w:val="6"/>
    </w:pPr>
    <w:rPr>
      <w:rFonts w:ascii="Cambria" w:eastAsia="Times New Roman" w:hAnsi="Cambria" w:cs="Times New Roman"/>
      <w:sz w:val="24"/>
      <w:lang w:val="en-US"/>
    </w:rPr>
  </w:style>
  <w:style w:type="paragraph" w:styleId="Heading8">
    <w:name w:val="heading 8"/>
    <w:basedOn w:val="Normal"/>
    <w:next w:val="Normal"/>
    <w:link w:val="Heading8Char"/>
    <w:qFormat/>
    <w:rsid w:val="003937A5"/>
    <w:pPr>
      <w:numPr>
        <w:ilvl w:val="7"/>
        <w:numId w:val="1"/>
      </w:numPr>
      <w:spacing w:before="240" w:after="60"/>
      <w:jc w:val="left"/>
      <w:outlineLvl w:val="7"/>
    </w:pPr>
    <w:rPr>
      <w:rFonts w:ascii="Cambria" w:eastAsia="Times New Roman" w:hAnsi="Cambria" w:cs="Times New Roman"/>
      <w:i/>
      <w:iCs/>
      <w:sz w:val="24"/>
      <w:lang w:val="en-US"/>
    </w:rPr>
  </w:style>
  <w:style w:type="paragraph" w:styleId="Heading9">
    <w:name w:val="heading 9"/>
    <w:basedOn w:val="Normal"/>
    <w:next w:val="Normal"/>
    <w:link w:val="Heading9Char"/>
    <w:qFormat/>
    <w:rsid w:val="003937A5"/>
    <w:pPr>
      <w:numPr>
        <w:ilvl w:val="8"/>
        <w:numId w:val="1"/>
      </w:numPr>
      <w:spacing w:before="240" w:after="60"/>
      <w:jc w:val="left"/>
      <w:outlineLvl w:val="8"/>
    </w:pPr>
    <w:rPr>
      <w:rFonts w:ascii="Calibri" w:eastAsia="Times New Roman"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0F3103"/>
    <w:rPr>
      <w:rFonts w:asciiTheme="majorHAnsi" w:hAnsiTheme="majorHAnsi"/>
      <w:sz w:val="22"/>
      <w:vertAlign w:val="superscript"/>
    </w:rPr>
  </w:style>
  <w:style w:type="paragraph" w:styleId="FootnoteText">
    <w:name w:val="footnote text"/>
    <w:basedOn w:val="Normal"/>
    <w:link w:val="FootnoteTextChar"/>
    <w:uiPriority w:val="99"/>
    <w:unhideWhenUsed/>
    <w:rsid w:val="000F3103"/>
    <w:pPr>
      <w:spacing w:before="0"/>
    </w:pPr>
    <w:rPr>
      <w:rFonts w:asciiTheme="majorHAnsi" w:hAnsiTheme="majorHAnsi"/>
      <w:i/>
      <w:sz w:val="18"/>
    </w:rPr>
  </w:style>
  <w:style w:type="character" w:customStyle="1" w:styleId="FootnoteTextChar">
    <w:name w:val="Footnote Text Char"/>
    <w:basedOn w:val="DefaultParagraphFont"/>
    <w:link w:val="FootnoteText"/>
    <w:uiPriority w:val="99"/>
    <w:rsid w:val="000F3103"/>
    <w:rPr>
      <w:rFonts w:asciiTheme="majorHAnsi" w:hAnsiTheme="majorHAnsi"/>
      <w:i/>
      <w:sz w:val="18"/>
      <w:lang w:val="en-AU"/>
    </w:rPr>
  </w:style>
  <w:style w:type="paragraph" w:styleId="NoSpacing">
    <w:name w:val="No Spacing"/>
    <w:link w:val="NoSpacingChar"/>
    <w:qFormat/>
    <w:rsid w:val="00F6036E"/>
    <w:rPr>
      <w:rFonts w:ascii="PMingLiU" w:hAnsi="PMingLiU"/>
      <w:sz w:val="22"/>
      <w:szCs w:val="22"/>
    </w:rPr>
  </w:style>
  <w:style w:type="character" w:customStyle="1" w:styleId="NoSpacingChar">
    <w:name w:val="No Spacing Char"/>
    <w:basedOn w:val="DefaultParagraphFont"/>
    <w:link w:val="NoSpacing"/>
    <w:rsid w:val="00F6036E"/>
    <w:rPr>
      <w:rFonts w:ascii="PMingLiU" w:hAnsi="PMingLiU"/>
      <w:sz w:val="22"/>
      <w:szCs w:val="22"/>
    </w:rPr>
  </w:style>
  <w:style w:type="paragraph" w:styleId="Subtitle">
    <w:name w:val="Subtitle"/>
    <w:basedOn w:val="Normal"/>
    <w:next w:val="Normal"/>
    <w:link w:val="SubtitleChar"/>
    <w:uiPriority w:val="1"/>
    <w:rsid w:val="00F6036E"/>
    <w:pPr>
      <w:numPr>
        <w:ilvl w:val="1"/>
      </w:numPr>
      <w:spacing w:before="60" w:after="480"/>
      <w:jc w:val="right"/>
    </w:pPr>
    <w:rPr>
      <w:rFonts w:asciiTheme="minorHAnsi" w:hAnsiTheme="minorHAnsi"/>
      <w:iCs/>
      <w:color w:val="595959" w:themeColor="text1" w:themeTint="A6"/>
      <w:sz w:val="28"/>
      <w:szCs w:val="28"/>
      <w:lang w:val="en-US"/>
    </w:rPr>
  </w:style>
  <w:style w:type="character" w:customStyle="1" w:styleId="SubtitleChar">
    <w:name w:val="Subtitle Char"/>
    <w:basedOn w:val="DefaultParagraphFont"/>
    <w:link w:val="Subtitle"/>
    <w:uiPriority w:val="1"/>
    <w:rsid w:val="00F6036E"/>
    <w:rPr>
      <w:iCs/>
      <w:color w:val="595959" w:themeColor="text1" w:themeTint="A6"/>
      <w:sz w:val="28"/>
      <w:szCs w:val="28"/>
    </w:rPr>
  </w:style>
  <w:style w:type="paragraph" w:styleId="Date">
    <w:name w:val="Date"/>
    <w:basedOn w:val="Normal"/>
    <w:next w:val="Normal"/>
    <w:link w:val="DateChar"/>
    <w:uiPriority w:val="1"/>
    <w:rsid w:val="00F6036E"/>
    <w:pPr>
      <w:spacing w:before="0" w:line="276" w:lineRule="auto"/>
      <w:jc w:val="right"/>
    </w:pPr>
    <w:rPr>
      <w:rFonts w:asciiTheme="minorHAnsi" w:hAnsiTheme="minorHAnsi"/>
      <w:color w:val="4F81BD" w:themeColor="accent1"/>
      <w:sz w:val="24"/>
      <w:lang w:val="en-US"/>
    </w:rPr>
  </w:style>
  <w:style w:type="character" w:customStyle="1" w:styleId="DateChar">
    <w:name w:val="Date Char"/>
    <w:basedOn w:val="DefaultParagraphFont"/>
    <w:link w:val="Date"/>
    <w:uiPriority w:val="1"/>
    <w:rsid w:val="00F6036E"/>
    <w:rPr>
      <w:color w:val="4F81BD" w:themeColor="accent1"/>
    </w:rPr>
  </w:style>
  <w:style w:type="paragraph" w:styleId="BalloonText">
    <w:name w:val="Balloon Text"/>
    <w:basedOn w:val="Normal"/>
    <w:link w:val="BalloonTextChar"/>
    <w:uiPriority w:val="99"/>
    <w:unhideWhenUsed/>
    <w:rsid w:val="00F6036E"/>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36E"/>
    <w:rPr>
      <w:rFonts w:ascii="Lucida Grande" w:hAnsi="Lucida Grande" w:cs="Lucida Grande"/>
      <w:sz w:val="18"/>
      <w:szCs w:val="18"/>
      <w:lang w:val="en-AU"/>
    </w:rPr>
  </w:style>
  <w:style w:type="character" w:customStyle="1" w:styleId="Heading1Char">
    <w:name w:val="Heading 1 Char"/>
    <w:basedOn w:val="DefaultParagraphFont"/>
    <w:link w:val="Heading1"/>
    <w:rsid w:val="003937A5"/>
    <w:rPr>
      <w:rFonts w:ascii="Calibri" w:eastAsia="Times New Roman" w:hAnsi="Calibri" w:cs="Times New Roman"/>
      <w:b/>
      <w:bCs/>
      <w:kern w:val="32"/>
      <w:sz w:val="32"/>
      <w:szCs w:val="32"/>
    </w:rPr>
  </w:style>
  <w:style w:type="character" w:customStyle="1" w:styleId="Heading2Char">
    <w:name w:val="Heading 2 Char"/>
    <w:basedOn w:val="DefaultParagraphFont"/>
    <w:link w:val="Heading2"/>
    <w:rsid w:val="003937A5"/>
    <w:rPr>
      <w:rFonts w:ascii="Calibri" w:eastAsia="Times New Roman" w:hAnsi="Calibri" w:cs="Times New Roman"/>
      <w:b/>
      <w:bCs/>
      <w:i/>
      <w:iCs/>
      <w:sz w:val="28"/>
      <w:szCs w:val="28"/>
    </w:rPr>
  </w:style>
  <w:style w:type="character" w:customStyle="1" w:styleId="Heading3Char">
    <w:name w:val="Heading 3 Char"/>
    <w:basedOn w:val="DefaultParagraphFont"/>
    <w:link w:val="Heading3"/>
    <w:rsid w:val="003937A5"/>
    <w:rPr>
      <w:rFonts w:ascii="Calibri" w:eastAsia="Times New Roman" w:hAnsi="Calibri" w:cs="Times New Roman"/>
      <w:b/>
      <w:bCs/>
      <w:sz w:val="26"/>
      <w:szCs w:val="26"/>
    </w:rPr>
  </w:style>
  <w:style w:type="character" w:customStyle="1" w:styleId="Heading4Char">
    <w:name w:val="Heading 4 Char"/>
    <w:basedOn w:val="DefaultParagraphFont"/>
    <w:link w:val="Heading4"/>
    <w:rsid w:val="003937A5"/>
    <w:rPr>
      <w:rFonts w:ascii="Cambria" w:eastAsia="Times New Roman" w:hAnsi="Cambria" w:cs="Times New Roman"/>
      <w:b/>
      <w:bCs/>
      <w:sz w:val="28"/>
      <w:szCs w:val="28"/>
    </w:rPr>
  </w:style>
  <w:style w:type="character" w:customStyle="1" w:styleId="Heading5Char">
    <w:name w:val="Heading 5 Char"/>
    <w:basedOn w:val="DefaultParagraphFont"/>
    <w:link w:val="Heading5"/>
    <w:rsid w:val="003937A5"/>
    <w:rPr>
      <w:rFonts w:ascii="Cambria" w:eastAsia="Times New Roman" w:hAnsi="Cambria" w:cs="Times New Roman"/>
      <w:b/>
      <w:bCs/>
      <w:i/>
      <w:iCs/>
      <w:sz w:val="26"/>
      <w:szCs w:val="26"/>
    </w:rPr>
  </w:style>
  <w:style w:type="character" w:customStyle="1" w:styleId="Heading6Char">
    <w:name w:val="Heading 6 Char"/>
    <w:basedOn w:val="DefaultParagraphFont"/>
    <w:link w:val="Heading6"/>
    <w:rsid w:val="003937A5"/>
    <w:rPr>
      <w:rFonts w:ascii="Cambria" w:eastAsia="Times New Roman" w:hAnsi="Cambria" w:cs="Times New Roman"/>
      <w:b/>
      <w:bCs/>
      <w:sz w:val="22"/>
      <w:szCs w:val="22"/>
    </w:rPr>
  </w:style>
  <w:style w:type="character" w:customStyle="1" w:styleId="Heading7Char">
    <w:name w:val="Heading 7 Char"/>
    <w:basedOn w:val="DefaultParagraphFont"/>
    <w:link w:val="Heading7"/>
    <w:rsid w:val="003937A5"/>
    <w:rPr>
      <w:rFonts w:ascii="Cambria" w:eastAsia="Times New Roman" w:hAnsi="Cambria" w:cs="Times New Roman"/>
    </w:rPr>
  </w:style>
  <w:style w:type="character" w:customStyle="1" w:styleId="Heading8Char">
    <w:name w:val="Heading 8 Char"/>
    <w:basedOn w:val="DefaultParagraphFont"/>
    <w:link w:val="Heading8"/>
    <w:rsid w:val="003937A5"/>
    <w:rPr>
      <w:rFonts w:ascii="Cambria" w:eastAsia="Times New Roman" w:hAnsi="Cambria" w:cs="Times New Roman"/>
      <w:i/>
      <w:iCs/>
    </w:rPr>
  </w:style>
  <w:style w:type="character" w:customStyle="1" w:styleId="Heading9Char">
    <w:name w:val="Heading 9 Char"/>
    <w:basedOn w:val="DefaultParagraphFont"/>
    <w:link w:val="Heading9"/>
    <w:rsid w:val="003937A5"/>
    <w:rPr>
      <w:rFonts w:ascii="Calibri" w:eastAsia="Times New Roman" w:hAnsi="Calibri" w:cs="Times New Roman"/>
      <w:sz w:val="22"/>
      <w:szCs w:val="22"/>
    </w:rPr>
  </w:style>
  <w:style w:type="paragraph" w:styleId="Header">
    <w:name w:val="header"/>
    <w:basedOn w:val="Normal"/>
    <w:link w:val="HeaderChar"/>
    <w:rsid w:val="003937A5"/>
    <w:pPr>
      <w:tabs>
        <w:tab w:val="center" w:pos="4320"/>
        <w:tab w:val="right" w:pos="8640"/>
      </w:tabs>
      <w:spacing w:before="0"/>
      <w:jc w:val="left"/>
    </w:pPr>
    <w:rPr>
      <w:rFonts w:eastAsia="Times New Roman" w:cs="Times New Roman"/>
      <w:sz w:val="24"/>
      <w:lang w:val="en-US"/>
    </w:rPr>
  </w:style>
  <w:style w:type="character" w:customStyle="1" w:styleId="HeaderChar">
    <w:name w:val="Header Char"/>
    <w:basedOn w:val="DefaultParagraphFont"/>
    <w:link w:val="Header"/>
    <w:rsid w:val="003937A5"/>
    <w:rPr>
      <w:rFonts w:ascii="Times New Roman" w:eastAsia="Times New Roman" w:hAnsi="Times New Roman" w:cs="Times New Roman"/>
    </w:rPr>
  </w:style>
  <w:style w:type="character" w:styleId="PageNumber">
    <w:name w:val="page number"/>
    <w:basedOn w:val="DefaultParagraphFont"/>
    <w:rsid w:val="003937A5"/>
  </w:style>
  <w:style w:type="character" w:styleId="Hyperlink">
    <w:name w:val="Hyperlink"/>
    <w:uiPriority w:val="99"/>
    <w:rsid w:val="003937A5"/>
    <w:rPr>
      <w:color w:val="0000FF"/>
      <w:u w:val="single"/>
    </w:rPr>
  </w:style>
  <w:style w:type="paragraph" w:styleId="Footer">
    <w:name w:val="footer"/>
    <w:basedOn w:val="Normal"/>
    <w:link w:val="FooterChar"/>
    <w:uiPriority w:val="99"/>
    <w:rsid w:val="003937A5"/>
    <w:pPr>
      <w:tabs>
        <w:tab w:val="center" w:pos="4320"/>
        <w:tab w:val="right" w:pos="8640"/>
      </w:tabs>
      <w:spacing w:before="0"/>
      <w:jc w:val="left"/>
    </w:pPr>
    <w:rPr>
      <w:rFonts w:eastAsia="Times New Roman" w:cs="Times New Roman"/>
      <w:sz w:val="24"/>
      <w:lang w:val="en-US"/>
    </w:rPr>
  </w:style>
  <w:style w:type="character" w:customStyle="1" w:styleId="FooterChar">
    <w:name w:val="Footer Char"/>
    <w:basedOn w:val="DefaultParagraphFont"/>
    <w:link w:val="Footer"/>
    <w:uiPriority w:val="99"/>
    <w:rsid w:val="003937A5"/>
    <w:rPr>
      <w:rFonts w:ascii="Times New Roman" w:eastAsia="Times New Roman" w:hAnsi="Times New Roman" w:cs="Times New Roman"/>
    </w:rPr>
  </w:style>
  <w:style w:type="table" w:styleId="TableGrid">
    <w:name w:val="Table Grid"/>
    <w:basedOn w:val="TableNormal"/>
    <w:uiPriority w:val="59"/>
    <w:rsid w:val="003937A5"/>
    <w:rPr>
      <w:rFonts w:ascii="Times New Roman" w:eastAsia="Times New Roman" w:hAnsi="Times New Roman" w:cs="Times New Roman"/>
      <w:sz w:val="20"/>
      <w:szCs w:val="20"/>
      <w:lang w:val="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DA-1">
    <w:name w:val="CDA - 1"/>
    <w:aliases w:val="2,3"/>
    <w:rsid w:val="003937A5"/>
    <w:pPr>
      <w:widowControl w:val="0"/>
      <w:spacing w:after="283" w:line="328" w:lineRule="atLeast"/>
      <w:ind w:left="567"/>
      <w:jc w:val="both"/>
    </w:pPr>
    <w:rPr>
      <w:rFonts w:ascii="TimesNewRomanPS" w:eastAsia="Times New Roman" w:hAnsi="TimesNewRomanPS" w:cs="Times New Roman"/>
      <w:snapToGrid w:val="0"/>
      <w:color w:val="000000"/>
      <w:szCs w:val="20"/>
    </w:rPr>
  </w:style>
  <w:style w:type="paragraph" w:styleId="TOC1">
    <w:name w:val="toc 1"/>
    <w:basedOn w:val="Normal"/>
    <w:next w:val="Normal"/>
    <w:autoRedefine/>
    <w:uiPriority w:val="39"/>
    <w:rsid w:val="00B83873"/>
    <w:pPr>
      <w:tabs>
        <w:tab w:val="left" w:pos="362"/>
        <w:tab w:val="right" w:leader="dot" w:pos="9622"/>
      </w:tabs>
      <w:jc w:val="left"/>
    </w:pPr>
    <w:rPr>
      <w:rFonts w:ascii="Calibri" w:eastAsia="Times New Roman" w:hAnsi="Calibri" w:cs="Times New Roman"/>
      <w:b/>
      <w:noProof/>
      <w:color w:val="31849B" w:themeColor="accent5" w:themeShade="BF"/>
      <w:sz w:val="24"/>
      <w:lang w:val="en-US"/>
    </w:rPr>
  </w:style>
  <w:style w:type="paragraph" w:styleId="TOC2">
    <w:name w:val="toc 2"/>
    <w:basedOn w:val="Normal"/>
    <w:next w:val="Normal"/>
    <w:autoRedefine/>
    <w:uiPriority w:val="39"/>
    <w:rsid w:val="005F421E"/>
    <w:pPr>
      <w:tabs>
        <w:tab w:val="left" w:pos="529"/>
        <w:tab w:val="right" w:leader="dot" w:pos="9639"/>
      </w:tabs>
      <w:spacing w:before="0"/>
      <w:jc w:val="left"/>
    </w:pPr>
    <w:rPr>
      <w:rFonts w:ascii="Cambria" w:eastAsia="Times New Roman" w:hAnsi="Cambria" w:cs="Times New Roman"/>
      <w:szCs w:val="22"/>
      <w:lang w:val="en-US"/>
    </w:rPr>
  </w:style>
  <w:style w:type="paragraph" w:styleId="TOC3">
    <w:name w:val="toc 3"/>
    <w:basedOn w:val="Normal"/>
    <w:next w:val="Normal"/>
    <w:autoRedefine/>
    <w:uiPriority w:val="39"/>
    <w:rsid w:val="00A91985"/>
    <w:pPr>
      <w:tabs>
        <w:tab w:val="left" w:pos="916"/>
        <w:tab w:val="right" w:leader="dot" w:pos="9622"/>
      </w:tabs>
      <w:spacing w:before="0"/>
      <w:jc w:val="left"/>
    </w:pPr>
    <w:rPr>
      <w:rFonts w:ascii="Cambria" w:eastAsia="Times New Roman" w:hAnsi="Cambria" w:cs="Times New Roman"/>
      <w:i/>
      <w:szCs w:val="22"/>
      <w:lang w:val="en-US"/>
    </w:rPr>
  </w:style>
  <w:style w:type="paragraph" w:styleId="TOC4">
    <w:name w:val="toc 4"/>
    <w:basedOn w:val="Normal"/>
    <w:next w:val="Normal"/>
    <w:autoRedefine/>
    <w:uiPriority w:val="39"/>
    <w:rsid w:val="003937A5"/>
    <w:pPr>
      <w:pBdr>
        <w:between w:val="double" w:sz="6" w:space="0" w:color="auto"/>
      </w:pBdr>
      <w:spacing w:before="0"/>
      <w:ind w:left="480"/>
      <w:jc w:val="left"/>
    </w:pPr>
    <w:rPr>
      <w:rFonts w:ascii="Cambria" w:eastAsia="Times New Roman" w:hAnsi="Cambria" w:cs="Times New Roman"/>
      <w:sz w:val="20"/>
      <w:szCs w:val="20"/>
      <w:lang w:val="en-US"/>
    </w:rPr>
  </w:style>
  <w:style w:type="paragraph" w:styleId="TOC5">
    <w:name w:val="toc 5"/>
    <w:basedOn w:val="Normal"/>
    <w:next w:val="Normal"/>
    <w:autoRedefine/>
    <w:uiPriority w:val="39"/>
    <w:rsid w:val="003937A5"/>
    <w:pPr>
      <w:pBdr>
        <w:between w:val="double" w:sz="6" w:space="0" w:color="auto"/>
      </w:pBdr>
      <w:spacing w:before="0"/>
      <w:ind w:left="720"/>
      <w:jc w:val="left"/>
    </w:pPr>
    <w:rPr>
      <w:rFonts w:ascii="Cambria" w:eastAsia="Times New Roman" w:hAnsi="Cambria" w:cs="Times New Roman"/>
      <w:sz w:val="20"/>
      <w:szCs w:val="20"/>
      <w:lang w:val="en-US"/>
    </w:rPr>
  </w:style>
  <w:style w:type="paragraph" w:styleId="TOC6">
    <w:name w:val="toc 6"/>
    <w:basedOn w:val="Normal"/>
    <w:next w:val="Normal"/>
    <w:autoRedefine/>
    <w:uiPriority w:val="39"/>
    <w:rsid w:val="003937A5"/>
    <w:pPr>
      <w:pBdr>
        <w:between w:val="double" w:sz="6" w:space="0" w:color="auto"/>
      </w:pBdr>
      <w:spacing w:before="0"/>
      <w:ind w:left="960"/>
      <w:jc w:val="left"/>
    </w:pPr>
    <w:rPr>
      <w:rFonts w:ascii="Cambria" w:eastAsia="Times New Roman" w:hAnsi="Cambria" w:cs="Times New Roman"/>
      <w:sz w:val="20"/>
      <w:szCs w:val="20"/>
      <w:lang w:val="en-US"/>
    </w:rPr>
  </w:style>
  <w:style w:type="paragraph" w:styleId="TOC7">
    <w:name w:val="toc 7"/>
    <w:basedOn w:val="Normal"/>
    <w:next w:val="Normal"/>
    <w:autoRedefine/>
    <w:uiPriority w:val="39"/>
    <w:rsid w:val="003937A5"/>
    <w:pPr>
      <w:pBdr>
        <w:between w:val="double" w:sz="6" w:space="0" w:color="auto"/>
      </w:pBdr>
      <w:spacing w:before="0"/>
      <w:ind w:left="1200"/>
      <w:jc w:val="left"/>
    </w:pPr>
    <w:rPr>
      <w:rFonts w:ascii="Cambria" w:eastAsia="Times New Roman" w:hAnsi="Cambria" w:cs="Times New Roman"/>
      <w:sz w:val="20"/>
      <w:szCs w:val="20"/>
      <w:lang w:val="en-US"/>
    </w:rPr>
  </w:style>
  <w:style w:type="paragraph" w:styleId="TOC8">
    <w:name w:val="toc 8"/>
    <w:basedOn w:val="Normal"/>
    <w:next w:val="Normal"/>
    <w:autoRedefine/>
    <w:uiPriority w:val="39"/>
    <w:rsid w:val="003937A5"/>
    <w:pPr>
      <w:pBdr>
        <w:between w:val="double" w:sz="6" w:space="0" w:color="auto"/>
      </w:pBdr>
      <w:spacing w:before="0"/>
      <w:ind w:left="1440"/>
      <w:jc w:val="left"/>
    </w:pPr>
    <w:rPr>
      <w:rFonts w:ascii="Cambria" w:eastAsia="Times New Roman" w:hAnsi="Cambria" w:cs="Times New Roman"/>
      <w:sz w:val="20"/>
      <w:szCs w:val="20"/>
      <w:lang w:val="en-US"/>
    </w:rPr>
  </w:style>
  <w:style w:type="paragraph" w:styleId="TOC9">
    <w:name w:val="toc 9"/>
    <w:basedOn w:val="Normal"/>
    <w:next w:val="Normal"/>
    <w:autoRedefine/>
    <w:uiPriority w:val="39"/>
    <w:rsid w:val="003937A5"/>
    <w:pPr>
      <w:pBdr>
        <w:between w:val="double" w:sz="6" w:space="0" w:color="auto"/>
      </w:pBdr>
      <w:spacing w:before="0"/>
      <w:ind w:left="1680"/>
      <w:jc w:val="left"/>
    </w:pPr>
    <w:rPr>
      <w:rFonts w:ascii="Cambria" w:eastAsia="Times New Roman" w:hAnsi="Cambria" w:cs="Times New Roman"/>
      <w:sz w:val="20"/>
      <w:szCs w:val="20"/>
      <w:lang w:val="en-US"/>
    </w:rPr>
  </w:style>
  <w:style w:type="character" w:styleId="FollowedHyperlink">
    <w:name w:val="FollowedHyperlink"/>
    <w:rsid w:val="003937A5"/>
    <w:rPr>
      <w:color w:val="800080"/>
      <w:u w:val="single"/>
    </w:rPr>
  </w:style>
  <w:style w:type="character" w:styleId="CommentReference">
    <w:name w:val="annotation reference"/>
    <w:uiPriority w:val="99"/>
    <w:rsid w:val="003937A5"/>
    <w:rPr>
      <w:sz w:val="16"/>
      <w:szCs w:val="16"/>
    </w:rPr>
  </w:style>
  <w:style w:type="paragraph" w:styleId="CommentText">
    <w:name w:val="annotation text"/>
    <w:basedOn w:val="Normal"/>
    <w:link w:val="CommentTextChar"/>
    <w:uiPriority w:val="99"/>
    <w:rsid w:val="003937A5"/>
    <w:pPr>
      <w:spacing w:before="0"/>
      <w:jc w:val="left"/>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3937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937A5"/>
    <w:rPr>
      <w:b/>
      <w:bCs/>
    </w:rPr>
  </w:style>
  <w:style w:type="character" w:customStyle="1" w:styleId="CommentSubjectChar">
    <w:name w:val="Comment Subject Char"/>
    <w:basedOn w:val="CommentTextChar"/>
    <w:link w:val="CommentSubject"/>
    <w:rsid w:val="003937A5"/>
    <w:rPr>
      <w:rFonts w:ascii="Times New Roman" w:eastAsia="Times New Roman" w:hAnsi="Times New Roman" w:cs="Times New Roman"/>
      <w:b/>
      <w:bCs/>
      <w:sz w:val="20"/>
      <w:szCs w:val="20"/>
    </w:rPr>
  </w:style>
  <w:style w:type="paragraph" w:customStyle="1" w:styleId="MediumList1-Accent61">
    <w:name w:val="Medium List 1 - Accent 61"/>
    <w:basedOn w:val="Normal"/>
    <w:uiPriority w:val="34"/>
    <w:qFormat/>
    <w:rsid w:val="003937A5"/>
    <w:pPr>
      <w:spacing w:before="0"/>
      <w:ind w:left="720"/>
      <w:contextualSpacing/>
      <w:jc w:val="left"/>
    </w:pPr>
    <w:rPr>
      <w:rFonts w:ascii="Cambria" w:eastAsia="Cambria" w:hAnsi="Cambria" w:cs="Times New Roman"/>
      <w:sz w:val="24"/>
      <w:lang w:val="en-US"/>
    </w:rPr>
  </w:style>
  <w:style w:type="paragraph" w:customStyle="1" w:styleId="DarkList-Accent51">
    <w:name w:val="Dark List - Accent 51"/>
    <w:basedOn w:val="Normal"/>
    <w:rsid w:val="003937A5"/>
    <w:pPr>
      <w:spacing w:before="0"/>
      <w:ind w:left="720"/>
      <w:contextualSpacing/>
      <w:jc w:val="left"/>
    </w:pPr>
    <w:rPr>
      <w:rFonts w:ascii="Cambria" w:eastAsia="Cambria" w:hAnsi="Cambria" w:cs="Times New Roman"/>
      <w:sz w:val="24"/>
      <w:lang w:val="en-US"/>
    </w:rPr>
  </w:style>
  <w:style w:type="paragraph" w:styleId="Index1">
    <w:name w:val="index 1"/>
    <w:basedOn w:val="Normal"/>
    <w:next w:val="Normal"/>
    <w:autoRedefine/>
    <w:rsid w:val="003937A5"/>
    <w:pPr>
      <w:spacing w:before="0"/>
      <w:ind w:left="240" w:hanging="240"/>
      <w:jc w:val="left"/>
    </w:pPr>
    <w:rPr>
      <w:rFonts w:eastAsia="Times New Roman" w:cs="Times New Roman"/>
      <w:sz w:val="24"/>
      <w:lang w:val="en-US"/>
    </w:rPr>
  </w:style>
  <w:style w:type="paragraph" w:styleId="Index2">
    <w:name w:val="index 2"/>
    <w:basedOn w:val="Normal"/>
    <w:next w:val="Normal"/>
    <w:autoRedefine/>
    <w:rsid w:val="003937A5"/>
    <w:pPr>
      <w:spacing w:before="0"/>
      <w:ind w:left="480" w:hanging="240"/>
      <w:jc w:val="left"/>
    </w:pPr>
    <w:rPr>
      <w:rFonts w:eastAsia="Times New Roman" w:cs="Times New Roman"/>
      <w:sz w:val="24"/>
      <w:lang w:val="en-US"/>
    </w:rPr>
  </w:style>
  <w:style w:type="paragraph" w:styleId="Index3">
    <w:name w:val="index 3"/>
    <w:basedOn w:val="Normal"/>
    <w:next w:val="Normal"/>
    <w:autoRedefine/>
    <w:rsid w:val="003937A5"/>
    <w:pPr>
      <w:spacing w:before="0"/>
      <w:ind w:left="720" w:hanging="240"/>
      <w:jc w:val="left"/>
    </w:pPr>
    <w:rPr>
      <w:rFonts w:eastAsia="Times New Roman" w:cs="Times New Roman"/>
      <w:sz w:val="24"/>
      <w:lang w:val="en-US"/>
    </w:rPr>
  </w:style>
  <w:style w:type="paragraph" w:styleId="Index4">
    <w:name w:val="index 4"/>
    <w:basedOn w:val="Normal"/>
    <w:next w:val="Normal"/>
    <w:autoRedefine/>
    <w:rsid w:val="003937A5"/>
    <w:pPr>
      <w:spacing w:before="0"/>
      <w:ind w:left="960" w:hanging="240"/>
      <w:jc w:val="left"/>
    </w:pPr>
    <w:rPr>
      <w:rFonts w:eastAsia="Times New Roman" w:cs="Times New Roman"/>
      <w:sz w:val="24"/>
      <w:lang w:val="en-US"/>
    </w:rPr>
  </w:style>
  <w:style w:type="paragraph" w:styleId="Index5">
    <w:name w:val="index 5"/>
    <w:basedOn w:val="Normal"/>
    <w:next w:val="Normal"/>
    <w:autoRedefine/>
    <w:rsid w:val="003937A5"/>
    <w:pPr>
      <w:spacing w:before="0"/>
      <w:ind w:left="1200" w:hanging="240"/>
      <w:jc w:val="left"/>
    </w:pPr>
    <w:rPr>
      <w:rFonts w:eastAsia="Times New Roman" w:cs="Times New Roman"/>
      <w:sz w:val="24"/>
      <w:lang w:val="en-US"/>
    </w:rPr>
  </w:style>
  <w:style w:type="paragraph" w:styleId="Index6">
    <w:name w:val="index 6"/>
    <w:basedOn w:val="Normal"/>
    <w:next w:val="Normal"/>
    <w:autoRedefine/>
    <w:rsid w:val="003937A5"/>
    <w:pPr>
      <w:spacing w:before="0"/>
      <w:ind w:left="1440" w:hanging="240"/>
      <w:jc w:val="left"/>
    </w:pPr>
    <w:rPr>
      <w:rFonts w:eastAsia="Times New Roman" w:cs="Times New Roman"/>
      <w:sz w:val="24"/>
      <w:lang w:val="en-US"/>
    </w:rPr>
  </w:style>
  <w:style w:type="paragraph" w:styleId="Index7">
    <w:name w:val="index 7"/>
    <w:basedOn w:val="Normal"/>
    <w:next w:val="Normal"/>
    <w:autoRedefine/>
    <w:rsid w:val="003937A5"/>
    <w:pPr>
      <w:spacing w:before="0"/>
      <w:ind w:left="1680" w:hanging="240"/>
      <w:jc w:val="left"/>
    </w:pPr>
    <w:rPr>
      <w:rFonts w:eastAsia="Times New Roman" w:cs="Times New Roman"/>
      <w:sz w:val="24"/>
      <w:lang w:val="en-US"/>
    </w:rPr>
  </w:style>
  <w:style w:type="paragraph" w:styleId="Index8">
    <w:name w:val="index 8"/>
    <w:basedOn w:val="Normal"/>
    <w:next w:val="Normal"/>
    <w:autoRedefine/>
    <w:rsid w:val="003937A5"/>
    <w:pPr>
      <w:spacing w:before="0"/>
      <w:ind w:left="1920" w:hanging="240"/>
      <w:jc w:val="left"/>
    </w:pPr>
    <w:rPr>
      <w:rFonts w:eastAsia="Times New Roman" w:cs="Times New Roman"/>
      <w:sz w:val="24"/>
      <w:lang w:val="en-US"/>
    </w:rPr>
  </w:style>
  <w:style w:type="paragraph" w:styleId="Index9">
    <w:name w:val="index 9"/>
    <w:basedOn w:val="Normal"/>
    <w:next w:val="Normal"/>
    <w:autoRedefine/>
    <w:rsid w:val="003937A5"/>
    <w:pPr>
      <w:spacing w:before="0"/>
      <w:ind w:left="2160" w:hanging="240"/>
      <w:jc w:val="left"/>
    </w:pPr>
    <w:rPr>
      <w:rFonts w:eastAsia="Times New Roman" w:cs="Times New Roman"/>
      <w:sz w:val="24"/>
      <w:lang w:val="en-US"/>
    </w:rPr>
  </w:style>
  <w:style w:type="paragraph" w:styleId="IndexHeading">
    <w:name w:val="index heading"/>
    <w:basedOn w:val="Normal"/>
    <w:next w:val="Index1"/>
    <w:rsid w:val="003937A5"/>
    <w:pPr>
      <w:spacing w:before="0"/>
      <w:jc w:val="left"/>
    </w:pPr>
    <w:rPr>
      <w:rFonts w:eastAsia="Times New Roman" w:cs="Times New Roman"/>
      <w:sz w:val="24"/>
      <w:lang w:val="en-US"/>
    </w:rPr>
  </w:style>
  <w:style w:type="paragraph" w:customStyle="1" w:styleId="ColorfulShading-Accent31">
    <w:name w:val="Colorful Shading - Accent 31"/>
    <w:basedOn w:val="Normal"/>
    <w:qFormat/>
    <w:rsid w:val="003937A5"/>
    <w:pPr>
      <w:spacing w:before="0"/>
      <w:ind w:left="720"/>
      <w:contextualSpacing/>
      <w:jc w:val="left"/>
    </w:pPr>
    <w:rPr>
      <w:rFonts w:ascii="Cambria" w:eastAsia="Cambria" w:hAnsi="Cambria" w:cs="Times New Roman"/>
      <w:sz w:val="24"/>
      <w:lang w:val="en-US"/>
    </w:rPr>
  </w:style>
  <w:style w:type="paragraph" w:styleId="NormalWeb">
    <w:name w:val="Normal (Web)"/>
    <w:basedOn w:val="Normal"/>
    <w:uiPriority w:val="99"/>
    <w:rsid w:val="003937A5"/>
    <w:pPr>
      <w:spacing w:before="100" w:beforeAutospacing="1" w:after="100" w:afterAutospacing="1"/>
      <w:jc w:val="left"/>
    </w:pPr>
    <w:rPr>
      <w:rFonts w:eastAsia="Times New Roman" w:cs="Times New Roman"/>
      <w:sz w:val="24"/>
      <w:lang w:val="en-US"/>
    </w:rPr>
  </w:style>
  <w:style w:type="character" w:customStyle="1" w:styleId="BalloonTextChar1">
    <w:name w:val="Balloon Text Char1"/>
    <w:uiPriority w:val="99"/>
    <w:rsid w:val="003937A5"/>
    <w:rPr>
      <w:rFonts w:ascii="Tahoma" w:hAnsi="Tahoma" w:cs="Tahoma"/>
      <w:sz w:val="16"/>
      <w:szCs w:val="16"/>
      <w:lang w:val="en-US"/>
    </w:rPr>
  </w:style>
  <w:style w:type="paragraph" w:styleId="BodyText">
    <w:name w:val="Body Text"/>
    <w:basedOn w:val="Normal"/>
    <w:link w:val="BodyTextChar"/>
    <w:rsid w:val="003937A5"/>
    <w:pPr>
      <w:spacing w:before="0" w:after="120"/>
    </w:pPr>
    <w:rPr>
      <w:rFonts w:ascii="Cambria" w:eastAsia="Times New Roman" w:hAnsi="Cambria" w:cs="Times New Roman"/>
      <w:lang w:val="en-US"/>
    </w:rPr>
  </w:style>
  <w:style w:type="character" w:customStyle="1" w:styleId="BodyTextChar">
    <w:name w:val="Body Text Char"/>
    <w:basedOn w:val="DefaultParagraphFont"/>
    <w:link w:val="BodyText"/>
    <w:rsid w:val="003937A5"/>
    <w:rPr>
      <w:rFonts w:ascii="Cambria" w:eastAsia="Times New Roman" w:hAnsi="Cambria" w:cs="Times New Roman"/>
      <w:sz w:val="22"/>
    </w:rPr>
  </w:style>
  <w:style w:type="paragraph" w:styleId="EndnoteText">
    <w:name w:val="endnote text"/>
    <w:basedOn w:val="Normal"/>
    <w:link w:val="EndnoteTextChar"/>
    <w:rsid w:val="003937A5"/>
    <w:pPr>
      <w:spacing w:before="0"/>
      <w:jc w:val="left"/>
    </w:pPr>
    <w:rPr>
      <w:rFonts w:eastAsia="Times New Roman" w:cs="Times New Roman"/>
      <w:sz w:val="20"/>
      <w:szCs w:val="20"/>
      <w:lang w:val="en-US"/>
    </w:rPr>
  </w:style>
  <w:style w:type="character" w:customStyle="1" w:styleId="EndnoteTextChar">
    <w:name w:val="Endnote Text Char"/>
    <w:basedOn w:val="DefaultParagraphFont"/>
    <w:link w:val="EndnoteText"/>
    <w:rsid w:val="003937A5"/>
    <w:rPr>
      <w:rFonts w:ascii="Times New Roman" w:eastAsia="Times New Roman" w:hAnsi="Times New Roman" w:cs="Times New Roman"/>
      <w:sz w:val="20"/>
      <w:szCs w:val="20"/>
    </w:rPr>
  </w:style>
  <w:style w:type="character" w:styleId="EndnoteReference">
    <w:name w:val="endnote reference"/>
    <w:rsid w:val="003937A5"/>
    <w:rPr>
      <w:vertAlign w:val="superscript"/>
    </w:rPr>
  </w:style>
  <w:style w:type="character" w:customStyle="1" w:styleId="text">
    <w:name w:val="text"/>
    <w:rsid w:val="003937A5"/>
  </w:style>
  <w:style w:type="character" w:customStyle="1" w:styleId="comment-body">
    <w:name w:val="comment-body"/>
    <w:rsid w:val="003937A5"/>
  </w:style>
  <w:style w:type="paragraph" w:customStyle="1" w:styleId="summary">
    <w:name w:val="summary"/>
    <w:basedOn w:val="Normal"/>
    <w:rsid w:val="003937A5"/>
    <w:pPr>
      <w:spacing w:before="100" w:beforeAutospacing="1" w:after="100" w:afterAutospacing="1"/>
      <w:jc w:val="left"/>
    </w:pPr>
    <w:rPr>
      <w:rFonts w:eastAsia="Times New Roman" w:cs="Times New Roman"/>
      <w:sz w:val="24"/>
      <w:lang w:eastAsia="en-AU"/>
    </w:rPr>
  </w:style>
  <w:style w:type="paragraph" w:styleId="ListParagraph">
    <w:name w:val="List Paragraph"/>
    <w:basedOn w:val="Normal"/>
    <w:uiPriority w:val="34"/>
    <w:qFormat/>
    <w:rsid w:val="003937A5"/>
    <w:pPr>
      <w:spacing w:before="0" w:after="200" w:line="276" w:lineRule="auto"/>
      <w:ind w:left="720"/>
      <w:contextualSpacing/>
      <w:jc w:val="left"/>
    </w:pPr>
    <w:rPr>
      <w:rFonts w:ascii="Calibri" w:eastAsia="Calibri" w:hAnsi="Calibri" w:cs="Times New Roman"/>
      <w:szCs w:val="22"/>
    </w:rPr>
  </w:style>
  <w:style w:type="paragraph" w:styleId="Caption">
    <w:name w:val="caption"/>
    <w:basedOn w:val="Normal"/>
    <w:next w:val="Normal"/>
    <w:unhideWhenUsed/>
    <w:qFormat/>
    <w:rsid w:val="003937A5"/>
    <w:pPr>
      <w:spacing w:before="0"/>
      <w:jc w:val="left"/>
    </w:pPr>
    <w:rPr>
      <w:rFonts w:eastAsia="Times New Roman" w:cs="Times New Roman"/>
      <w:b/>
      <w:bCs/>
      <w:sz w:val="20"/>
      <w:szCs w:val="20"/>
      <w:lang w:val="en-US"/>
    </w:rPr>
  </w:style>
  <w:style w:type="paragraph" w:styleId="TableofFigures">
    <w:name w:val="table of figures"/>
    <w:basedOn w:val="Normal"/>
    <w:next w:val="Normal"/>
    <w:uiPriority w:val="99"/>
    <w:rsid w:val="003937A5"/>
    <w:pPr>
      <w:spacing w:before="0"/>
      <w:ind w:left="480" w:hanging="480"/>
      <w:jc w:val="left"/>
    </w:pPr>
    <w:rPr>
      <w:rFonts w:asciiTheme="majorHAnsi" w:eastAsia="Times New Roman" w:hAnsiTheme="majorHAnsi" w:cs="Times New Roman"/>
      <w:sz w:val="20"/>
      <w:lang w:val="en-US"/>
    </w:rPr>
  </w:style>
  <w:style w:type="paragraph" w:styleId="ListBullet">
    <w:name w:val="List Bullet"/>
    <w:basedOn w:val="Normal"/>
    <w:uiPriority w:val="99"/>
    <w:unhideWhenUsed/>
    <w:rsid w:val="00E24BC9"/>
    <w:pPr>
      <w:numPr>
        <w:numId w:val="6"/>
      </w:numPr>
      <w:contextualSpacing/>
    </w:pPr>
  </w:style>
  <w:style w:type="paragraph" w:styleId="DocumentMap">
    <w:name w:val="Document Map"/>
    <w:basedOn w:val="Normal"/>
    <w:link w:val="DocumentMapChar"/>
    <w:uiPriority w:val="99"/>
    <w:semiHidden/>
    <w:unhideWhenUsed/>
    <w:rsid w:val="00B948FC"/>
    <w:pPr>
      <w:spacing w:before="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948FC"/>
    <w:rPr>
      <w:rFonts w:ascii="Lucida Grande" w:hAnsi="Lucida Grande" w:cs="Lucida Grande"/>
      <w:lang w:val="en-GB"/>
    </w:rPr>
  </w:style>
  <w:style w:type="paragraph" w:styleId="Revision">
    <w:name w:val="Revision"/>
    <w:hidden/>
    <w:uiPriority w:val="99"/>
    <w:semiHidden/>
    <w:rsid w:val="002837D8"/>
    <w:rPr>
      <w:rFonts w:ascii="Times New Roman" w:hAnsi="Times New Roman"/>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 w:unhideWhenUsed="0" w:qFormat="1"/>
    <w:lsdException w:name="Date" w:uiPriority="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03"/>
    <w:pPr>
      <w:spacing w:before="120"/>
      <w:jc w:val="both"/>
    </w:pPr>
    <w:rPr>
      <w:rFonts w:ascii="Times New Roman" w:hAnsi="Times New Roman"/>
      <w:sz w:val="22"/>
      <w:lang w:val="en-GB"/>
    </w:rPr>
  </w:style>
  <w:style w:type="paragraph" w:styleId="Heading1">
    <w:name w:val="heading 1"/>
    <w:basedOn w:val="Normal"/>
    <w:next w:val="Normal"/>
    <w:link w:val="Heading1Char"/>
    <w:qFormat/>
    <w:rsid w:val="003937A5"/>
    <w:pPr>
      <w:keepNext/>
      <w:numPr>
        <w:numId w:val="1"/>
      </w:numPr>
      <w:spacing w:before="240" w:after="60"/>
      <w:ind w:left="432"/>
      <w:jc w:val="left"/>
      <w:outlineLvl w:val="0"/>
    </w:pPr>
    <w:rPr>
      <w:rFonts w:ascii="Calibri" w:eastAsia="Times New Roman" w:hAnsi="Calibri" w:cs="Times New Roman"/>
      <w:b/>
      <w:bCs/>
      <w:kern w:val="32"/>
      <w:sz w:val="32"/>
      <w:szCs w:val="32"/>
      <w:lang w:val="en-US"/>
    </w:rPr>
  </w:style>
  <w:style w:type="paragraph" w:styleId="Heading2">
    <w:name w:val="heading 2"/>
    <w:basedOn w:val="Normal"/>
    <w:next w:val="Normal"/>
    <w:link w:val="Heading2Char"/>
    <w:qFormat/>
    <w:rsid w:val="003937A5"/>
    <w:pPr>
      <w:keepNext/>
      <w:numPr>
        <w:ilvl w:val="1"/>
        <w:numId w:val="1"/>
      </w:numPr>
      <w:spacing w:before="240" w:after="60"/>
      <w:jc w:val="left"/>
      <w:outlineLvl w:val="1"/>
    </w:pPr>
    <w:rPr>
      <w:rFonts w:ascii="Calibri" w:eastAsia="Times New Roman" w:hAnsi="Calibri" w:cs="Times New Roman"/>
      <w:b/>
      <w:bCs/>
      <w:i/>
      <w:iCs/>
      <w:sz w:val="28"/>
      <w:szCs w:val="28"/>
      <w:lang w:val="en-US"/>
    </w:rPr>
  </w:style>
  <w:style w:type="paragraph" w:styleId="Heading3">
    <w:name w:val="heading 3"/>
    <w:basedOn w:val="Normal"/>
    <w:next w:val="Normal"/>
    <w:link w:val="Heading3Char"/>
    <w:qFormat/>
    <w:rsid w:val="003937A5"/>
    <w:pPr>
      <w:keepNext/>
      <w:numPr>
        <w:ilvl w:val="2"/>
        <w:numId w:val="1"/>
      </w:numPr>
      <w:spacing w:before="240" w:after="60"/>
      <w:jc w:val="left"/>
      <w:outlineLvl w:val="2"/>
    </w:pPr>
    <w:rPr>
      <w:rFonts w:ascii="Calibri" w:eastAsia="Times New Roman" w:hAnsi="Calibri" w:cs="Times New Roman"/>
      <w:b/>
      <w:bCs/>
      <w:sz w:val="26"/>
      <w:szCs w:val="26"/>
      <w:lang w:val="en-US"/>
    </w:rPr>
  </w:style>
  <w:style w:type="paragraph" w:styleId="Heading4">
    <w:name w:val="heading 4"/>
    <w:basedOn w:val="Normal"/>
    <w:next w:val="Normal"/>
    <w:link w:val="Heading4Char"/>
    <w:qFormat/>
    <w:rsid w:val="003937A5"/>
    <w:pPr>
      <w:keepNext/>
      <w:numPr>
        <w:ilvl w:val="3"/>
        <w:numId w:val="1"/>
      </w:numPr>
      <w:spacing w:before="240" w:after="60"/>
      <w:jc w:val="left"/>
      <w:outlineLvl w:val="3"/>
    </w:pPr>
    <w:rPr>
      <w:rFonts w:ascii="Cambria" w:eastAsia="Times New Roman" w:hAnsi="Cambria" w:cs="Times New Roman"/>
      <w:b/>
      <w:bCs/>
      <w:sz w:val="28"/>
      <w:szCs w:val="28"/>
      <w:lang w:val="en-US"/>
    </w:rPr>
  </w:style>
  <w:style w:type="paragraph" w:styleId="Heading5">
    <w:name w:val="heading 5"/>
    <w:basedOn w:val="Normal"/>
    <w:next w:val="Normal"/>
    <w:link w:val="Heading5Char"/>
    <w:qFormat/>
    <w:rsid w:val="003937A5"/>
    <w:pPr>
      <w:numPr>
        <w:ilvl w:val="4"/>
        <w:numId w:val="1"/>
      </w:numPr>
      <w:spacing w:before="240" w:after="60"/>
      <w:jc w:val="left"/>
      <w:outlineLvl w:val="4"/>
    </w:pPr>
    <w:rPr>
      <w:rFonts w:ascii="Cambria" w:eastAsia="Times New Roman" w:hAnsi="Cambria" w:cs="Times New Roman"/>
      <w:b/>
      <w:bCs/>
      <w:i/>
      <w:iCs/>
      <w:sz w:val="26"/>
      <w:szCs w:val="26"/>
      <w:lang w:val="en-US"/>
    </w:rPr>
  </w:style>
  <w:style w:type="paragraph" w:styleId="Heading6">
    <w:name w:val="heading 6"/>
    <w:basedOn w:val="Normal"/>
    <w:next w:val="Normal"/>
    <w:link w:val="Heading6Char"/>
    <w:qFormat/>
    <w:rsid w:val="003937A5"/>
    <w:pPr>
      <w:numPr>
        <w:ilvl w:val="5"/>
        <w:numId w:val="1"/>
      </w:numPr>
      <w:spacing w:before="240" w:after="60"/>
      <w:jc w:val="left"/>
      <w:outlineLvl w:val="5"/>
    </w:pPr>
    <w:rPr>
      <w:rFonts w:ascii="Cambria" w:eastAsia="Times New Roman" w:hAnsi="Cambria" w:cs="Times New Roman"/>
      <w:b/>
      <w:bCs/>
      <w:szCs w:val="22"/>
      <w:lang w:val="en-US"/>
    </w:rPr>
  </w:style>
  <w:style w:type="paragraph" w:styleId="Heading7">
    <w:name w:val="heading 7"/>
    <w:basedOn w:val="Normal"/>
    <w:next w:val="Normal"/>
    <w:link w:val="Heading7Char"/>
    <w:qFormat/>
    <w:rsid w:val="003937A5"/>
    <w:pPr>
      <w:numPr>
        <w:ilvl w:val="6"/>
        <w:numId w:val="1"/>
      </w:numPr>
      <w:spacing w:before="240" w:after="60"/>
      <w:jc w:val="left"/>
      <w:outlineLvl w:val="6"/>
    </w:pPr>
    <w:rPr>
      <w:rFonts w:ascii="Cambria" w:eastAsia="Times New Roman" w:hAnsi="Cambria" w:cs="Times New Roman"/>
      <w:sz w:val="24"/>
      <w:lang w:val="en-US"/>
    </w:rPr>
  </w:style>
  <w:style w:type="paragraph" w:styleId="Heading8">
    <w:name w:val="heading 8"/>
    <w:basedOn w:val="Normal"/>
    <w:next w:val="Normal"/>
    <w:link w:val="Heading8Char"/>
    <w:qFormat/>
    <w:rsid w:val="003937A5"/>
    <w:pPr>
      <w:numPr>
        <w:ilvl w:val="7"/>
        <w:numId w:val="1"/>
      </w:numPr>
      <w:spacing w:before="240" w:after="60"/>
      <w:jc w:val="left"/>
      <w:outlineLvl w:val="7"/>
    </w:pPr>
    <w:rPr>
      <w:rFonts w:ascii="Cambria" w:eastAsia="Times New Roman" w:hAnsi="Cambria" w:cs="Times New Roman"/>
      <w:i/>
      <w:iCs/>
      <w:sz w:val="24"/>
      <w:lang w:val="en-US"/>
    </w:rPr>
  </w:style>
  <w:style w:type="paragraph" w:styleId="Heading9">
    <w:name w:val="heading 9"/>
    <w:basedOn w:val="Normal"/>
    <w:next w:val="Normal"/>
    <w:link w:val="Heading9Char"/>
    <w:qFormat/>
    <w:rsid w:val="003937A5"/>
    <w:pPr>
      <w:numPr>
        <w:ilvl w:val="8"/>
        <w:numId w:val="1"/>
      </w:numPr>
      <w:spacing w:before="240" w:after="60"/>
      <w:jc w:val="left"/>
      <w:outlineLvl w:val="8"/>
    </w:pPr>
    <w:rPr>
      <w:rFonts w:ascii="Calibri" w:eastAsia="Times New Roman"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0F3103"/>
    <w:rPr>
      <w:rFonts w:asciiTheme="majorHAnsi" w:hAnsiTheme="majorHAnsi"/>
      <w:sz w:val="22"/>
      <w:vertAlign w:val="superscript"/>
    </w:rPr>
  </w:style>
  <w:style w:type="paragraph" w:styleId="FootnoteText">
    <w:name w:val="footnote text"/>
    <w:basedOn w:val="Normal"/>
    <w:link w:val="FootnoteTextChar"/>
    <w:uiPriority w:val="99"/>
    <w:unhideWhenUsed/>
    <w:rsid w:val="000F3103"/>
    <w:pPr>
      <w:spacing w:before="0"/>
    </w:pPr>
    <w:rPr>
      <w:rFonts w:asciiTheme="majorHAnsi" w:hAnsiTheme="majorHAnsi"/>
      <w:i/>
      <w:sz w:val="18"/>
    </w:rPr>
  </w:style>
  <w:style w:type="character" w:customStyle="1" w:styleId="FootnoteTextChar">
    <w:name w:val="Footnote Text Char"/>
    <w:basedOn w:val="DefaultParagraphFont"/>
    <w:link w:val="FootnoteText"/>
    <w:uiPriority w:val="99"/>
    <w:rsid w:val="000F3103"/>
    <w:rPr>
      <w:rFonts w:asciiTheme="majorHAnsi" w:hAnsiTheme="majorHAnsi"/>
      <w:i/>
      <w:sz w:val="18"/>
      <w:lang w:val="en-AU"/>
    </w:rPr>
  </w:style>
  <w:style w:type="paragraph" w:styleId="NoSpacing">
    <w:name w:val="No Spacing"/>
    <w:link w:val="NoSpacingChar"/>
    <w:qFormat/>
    <w:rsid w:val="00F6036E"/>
    <w:rPr>
      <w:rFonts w:ascii="PMingLiU" w:hAnsi="PMingLiU"/>
      <w:sz w:val="22"/>
      <w:szCs w:val="22"/>
    </w:rPr>
  </w:style>
  <w:style w:type="character" w:customStyle="1" w:styleId="NoSpacingChar">
    <w:name w:val="No Spacing Char"/>
    <w:basedOn w:val="DefaultParagraphFont"/>
    <w:link w:val="NoSpacing"/>
    <w:rsid w:val="00F6036E"/>
    <w:rPr>
      <w:rFonts w:ascii="PMingLiU" w:hAnsi="PMingLiU"/>
      <w:sz w:val="22"/>
      <w:szCs w:val="22"/>
    </w:rPr>
  </w:style>
  <w:style w:type="paragraph" w:styleId="Subtitle">
    <w:name w:val="Subtitle"/>
    <w:basedOn w:val="Normal"/>
    <w:next w:val="Normal"/>
    <w:link w:val="SubtitleChar"/>
    <w:uiPriority w:val="1"/>
    <w:rsid w:val="00F6036E"/>
    <w:pPr>
      <w:numPr>
        <w:ilvl w:val="1"/>
      </w:numPr>
      <w:spacing w:before="60" w:after="480"/>
      <w:jc w:val="right"/>
    </w:pPr>
    <w:rPr>
      <w:rFonts w:asciiTheme="minorHAnsi" w:hAnsiTheme="minorHAnsi"/>
      <w:iCs/>
      <w:color w:val="595959" w:themeColor="text1" w:themeTint="A6"/>
      <w:sz w:val="28"/>
      <w:szCs w:val="28"/>
      <w:lang w:val="en-US"/>
    </w:rPr>
  </w:style>
  <w:style w:type="character" w:customStyle="1" w:styleId="SubtitleChar">
    <w:name w:val="Subtitle Char"/>
    <w:basedOn w:val="DefaultParagraphFont"/>
    <w:link w:val="Subtitle"/>
    <w:uiPriority w:val="1"/>
    <w:rsid w:val="00F6036E"/>
    <w:rPr>
      <w:iCs/>
      <w:color w:val="595959" w:themeColor="text1" w:themeTint="A6"/>
      <w:sz w:val="28"/>
      <w:szCs w:val="28"/>
    </w:rPr>
  </w:style>
  <w:style w:type="paragraph" w:styleId="Date">
    <w:name w:val="Date"/>
    <w:basedOn w:val="Normal"/>
    <w:next w:val="Normal"/>
    <w:link w:val="DateChar"/>
    <w:uiPriority w:val="1"/>
    <w:rsid w:val="00F6036E"/>
    <w:pPr>
      <w:spacing w:before="0" w:line="276" w:lineRule="auto"/>
      <w:jc w:val="right"/>
    </w:pPr>
    <w:rPr>
      <w:rFonts w:asciiTheme="minorHAnsi" w:hAnsiTheme="minorHAnsi"/>
      <w:color w:val="4F81BD" w:themeColor="accent1"/>
      <w:sz w:val="24"/>
      <w:lang w:val="en-US"/>
    </w:rPr>
  </w:style>
  <w:style w:type="character" w:customStyle="1" w:styleId="DateChar">
    <w:name w:val="Date Char"/>
    <w:basedOn w:val="DefaultParagraphFont"/>
    <w:link w:val="Date"/>
    <w:uiPriority w:val="1"/>
    <w:rsid w:val="00F6036E"/>
    <w:rPr>
      <w:color w:val="4F81BD" w:themeColor="accent1"/>
    </w:rPr>
  </w:style>
  <w:style w:type="paragraph" w:styleId="BalloonText">
    <w:name w:val="Balloon Text"/>
    <w:basedOn w:val="Normal"/>
    <w:link w:val="BalloonTextChar"/>
    <w:uiPriority w:val="99"/>
    <w:unhideWhenUsed/>
    <w:rsid w:val="00F6036E"/>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36E"/>
    <w:rPr>
      <w:rFonts w:ascii="Lucida Grande" w:hAnsi="Lucida Grande" w:cs="Lucida Grande"/>
      <w:sz w:val="18"/>
      <w:szCs w:val="18"/>
      <w:lang w:val="en-AU"/>
    </w:rPr>
  </w:style>
  <w:style w:type="character" w:customStyle="1" w:styleId="Heading1Char">
    <w:name w:val="Heading 1 Char"/>
    <w:basedOn w:val="DefaultParagraphFont"/>
    <w:link w:val="Heading1"/>
    <w:rsid w:val="003937A5"/>
    <w:rPr>
      <w:rFonts w:ascii="Calibri" w:eastAsia="Times New Roman" w:hAnsi="Calibri" w:cs="Times New Roman"/>
      <w:b/>
      <w:bCs/>
      <w:kern w:val="32"/>
      <w:sz w:val="32"/>
      <w:szCs w:val="32"/>
    </w:rPr>
  </w:style>
  <w:style w:type="character" w:customStyle="1" w:styleId="Heading2Char">
    <w:name w:val="Heading 2 Char"/>
    <w:basedOn w:val="DefaultParagraphFont"/>
    <w:link w:val="Heading2"/>
    <w:rsid w:val="003937A5"/>
    <w:rPr>
      <w:rFonts w:ascii="Calibri" w:eastAsia="Times New Roman" w:hAnsi="Calibri" w:cs="Times New Roman"/>
      <w:b/>
      <w:bCs/>
      <w:i/>
      <w:iCs/>
      <w:sz w:val="28"/>
      <w:szCs w:val="28"/>
    </w:rPr>
  </w:style>
  <w:style w:type="character" w:customStyle="1" w:styleId="Heading3Char">
    <w:name w:val="Heading 3 Char"/>
    <w:basedOn w:val="DefaultParagraphFont"/>
    <w:link w:val="Heading3"/>
    <w:rsid w:val="003937A5"/>
    <w:rPr>
      <w:rFonts w:ascii="Calibri" w:eastAsia="Times New Roman" w:hAnsi="Calibri" w:cs="Times New Roman"/>
      <w:b/>
      <w:bCs/>
      <w:sz w:val="26"/>
      <w:szCs w:val="26"/>
    </w:rPr>
  </w:style>
  <w:style w:type="character" w:customStyle="1" w:styleId="Heading4Char">
    <w:name w:val="Heading 4 Char"/>
    <w:basedOn w:val="DefaultParagraphFont"/>
    <w:link w:val="Heading4"/>
    <w:rsid w:val="003937A5"/>
    <w:rPr>
      <w:rFonts w:ascii="Cambria" w:eastAsia="Times New Roman" w:hAnsi="Cambria" w:cs="Times New Roman"/>
      <w:b/>
      <w:bCs/>
      <w:sz w:val="28"/>
      <w:szCs w:val="28"/>
    </w:rPr>
  </w:style>
  <w:style w:type="character" w:customStyle="1" w:styleId="Heading5Char">
    <w:name w:val="Heading 5 Char"/>
    <w:basedOn w:val="DefaultParagraphFont"/>
    <w:link w:val="Heading5"/>
    <w:rsid w:val="003937A5"/>
    <w:rPr>
      <w:rFonts w:ascii="Cambria" w:eastAsia="Times New Roman" w:hAnsi="Cambria" w:cs="Times New Roman"/>
      <w:b/>
      <w:bCs/>
      <w:i/>
      <w:iCs/>
      <w:sz w:val="26"/>
      <w:szCs w:val="26"/>
    </w:rPr>
  </w:style>
  <w:style w:type="character" w:customStyle="1" w:styleId="Heading6Char">
    <w:name w:val="Heading 6 Char"/>
    <w:basedOn w:val="DefaultParagraphFont"/>
    <w:link w:val="Heading6"/>
    <w:rsid w:val="003937A5"/>
    <w:rPr>
      <w:rFonts w:ascii="Cambria" w:eastAsia="Times New Roman" w:hAnsi="Cambria" w:cs="Times New Roman"/>
      <w:b/>
      <w:bCs/>
      <w:sz w:val="22"/>
      <w:szCs w:val="22"/>
    </w:rPr>
  </w:style>
  <w:style w:type="character" w:customStyle="1" w:styleId="Heading7Char">
    <w:name w:val="Heading 7 Char"/>
    <w:basedOn w:val="DefaultParagraphFont"/>
    <w:link w:val="Heading7"/>
    <w:rsid w:val="003937A5"/>
    <w:rPr>
      <w:rFonts w:ascii="Cambria" w:eastAsia="Times New Roman" w:hAnsi="Cambria" w:cs="Times New Roman"/>
    </w:rPr>
  </w:style>
  <w:style w:type="character" w:customStyle="1" w:styleId="Heading8Char">
    <w:name w:val="Heading 8 Char"/>
    <w:basedOn w:val="DefaultParagraphFont"/>
    <w:link w:val="Heading8"/>
    <w:rsid w:val="003937A5"/>
    <w:rPr>
      <w:rFonts w:ascii="Cambria" w:eastAsia="Times New Roman" w:hAnsi="Cambria" w:cs="Times New Roman"/>
      <w:i/>
      <w:iCs/>
    </w:rPr>
  </w:style>
  <w:style w:type="character" w:customStyle="1" w:styleId="Heading9Char">
    <w:name w:val="Heading 9 Char"/>
    <w:basedOn w:val="DefaultParagraphFont"/>
    <w:link w:val="Heading9"/>
    <w:rsid w:val="003937A5"/>
    <w:rPr>
      <w:rFonts w:ascii="Calibri" w:eastAsia="Times New Roman" w:hAnsi="Calibri" w:cs="Times New Roman"/>
      <w:sz w:val="22"/>
      <w:szCs w:val="22"/>
    </w:rPr>
  </w:style>
  <w:style w:type="paragraph" w:styleId="Header">
    <w:name w:val="header"/>
    <w:basedOn w:val="Normal"/>
    <w:link w:val="HeaderChar"/>
    <w:rsid w:val="003937A5"/>
    <w:pPr>
      <w:tabs>
        <w:tab w:val="center" w:pos="4320"/>
        <w:tab w:val="right" w:pos="8640"/>
      </w:tabs>
      <w:spacing w:before="0"/>
      <w:jc w:val="left"/>
    </w:pPr>
    <w:rPr>
      <w:rFonts w:eastAsia="Times New Roman" w:cs="Times New Roman"/>
      <w:sz w:val="24"/>
      <w:lang w:val="en-US"/>
    </w:rPr>
  </w:style>
  <w:style w:type="character" w:customStyle="1" w:styleId="HeaderChar">
    <w:name w:val="Header Char"/>
    <w:basedOn w:val="DefaultParagraphFont"/>
    <w:link w:val="Header"/>
    <w:rsid w:val="003937A5"/>
    <w:rPr>
      <w:rFonts w:ascii="Times New Roman" w:eastAsia="Times New Roman" w:hAnsi="Times New Roman" w:cs="Times New Roman"/>
    </w:rPr>
  </w:style>
  <w:style w:type="character" w:styleId="PageNumber">
    <w:name w:val="page number"/>
    <w:basedOn w:val="DefaultParagraphFont"/>
    <w:rsid w:val="003937A5"/>
  </w:style>
  <w:style w:type="character" w:styleId="Hyperlink">
    <w:name w:val="Hyperlink"/>
    <w:uiPriority w:val="99"/>
    <w:rsid w:val="003937A5"/>
    <w:rPr>
      <w:color w:val="0000FF"/>
      <w:u w:val="single"/>
    </w:rPr>
  </w:style>
  <w:style w:type="paragraph" w:styleId="Footer">
    <w:name w:val="footer"/>
    <w:basedOn w:val="Normal"/>
    <w:link w:val="FooterChar"/>
    <w:uiPriority w:val="99"/>
    <w:rsid w:val="003937A5"/>
    <w:pPr>
      <w:tabs>
        <w:tab w:val="center" w:pos="4320"/>
        <w:tab w:val="right" w:pos="8640"/>
      </w:tabs>
      <w:spacing w:before="0"/>
      <w:jc w:val="left"/>
    </w:pPr>
    <w:rPr>
      <w:rFonts w:eastAsia="Times New Roman" w:cs="Times New Roman"/>
      <w:sz w:val="24"/>
      <w:lang w:val="en-US"/>
    </w:rPr>
  </w:style>
  <w:style w:type="character" w:customStyle="1" w:styleId="FooterChar">
    <w:name w:val="Footer Char"/>
    <w:basedOn w:val="DefaultParagraphFont"/>
    <w:link w:val="Footer"/>
    <w:uiPriority w:val="99"/>
    <w:rsid w:val="003937A5"/>
    <w:rPr>
      <w:rFonts w:ascii="Times New Roman" w:eastAsia="Times New Roman" w:hAnsi="Times New Roman" w:cs="Times New Roman"/>
    </w:rPr>
  </w:style>
  <w:style w:type="table" w:styleId="TableGrid">
    <w:name w:val="Table Grid"/>
    <w:basedOn w:val="TableNormal"/>
    <w:uiPriority w:val="59"/>
    <w:rsid w:val="003937A5"/>
    <w:rPr>
      <w:rFonts w:ascii="Times New Roman" w:eastAsia="Times New Roman" w:hAnsi="Times New Roman" w:cs="Times New Roman"/>
      <w:sz w:val="20"/>
      <w:szCs w:val="20"/>
      <w:lang w:val="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DA-1">
    <w:name w:val="CDA - 1"/>
    <w:aliases w:val="2,3"/>
    <w:rsid w:val="003937A5"/>
    <w:pPr>
      <w:widowControl w:val="0"/>
      <w:spacing w:after="283" w:line="328" w:lineRule="atLeast"/>
      <w:ind w:left="567"/>
      <w:jc w:val="both"/>
    </w:pPr>
    <w:rPr>
      <w:rFonts w:ascii="TimesNewRomanPS" w:eastAsia="Times New Roman" w:hAnsi="TimesNewRomanPS" w:cs="Times New Roman"/>
      <w:snapToGrid w:val="0"/>
      <w:color w:val="000000"/>
      <w:szCs w:val="20"/>
    </w:rPr>
  </w:style>
  <w:style w:type="paragraph" w:styleId="TOC1">
    <w:name w:val="toc 1"/>
    <w:basedOn w:val="Normal"/>
    <w:next w:val="Normal"/>
    <w:autoRedefine/>
    <w:uiPriority w:val="39"/>
    <w:rsid w:val="00B83873"/>
    <w:pPr>
      <w:tabs>
        <w:tab w:val="left" w:pos="362"/>
        <w:tab w:val="right" w:leader="dot" w:pos="9622"/>
      </w:tabs>
      <w:jc w:val="left"/>
    </w:pPr>
    <w:rPr>
      <w:rFonts w:ascii="Calibri" w:eastAsia="Times New Roman" w:hAnsi="Calibri" w:cs="Times New Roman"/>
      <w:b/>
      <w:noProof/>
      <w:color w:val="31849B" w:themeColor="accent5" w:themeShade="BF"/>
      <w:sz w:val="24"/>
      <w:lang w:val="en-US"/>
    </w:rPr>
  </w:style>
  <w:style w:type="paragraph" w:styleId="TOC2">
    <w:name w:val="toc 2"/>
    <w:basedOn w:val="Normal"/>
    <w:next w:val="Normal"/>
    <w:autoRedefine/>
    <w:uiPriority w:val="39"/>
    <w:rsid w:val="005F421E"/>
    <w:pPr>
      <w:tabs>
        <w:tab w:val="left" w:pos="529"/>
        <w:tab w:val="right" w:leader="dot" w:pos="9639"/>
      </w:tabs>
      <w:spacing w:before="0"/>
      <w:jc w:val="left"/>
    </w:pPr>
    <w:rPr>
      <w:rFonts w:ascii="Cambria" w:eastAsia="Times New Roman" w:hAnsi="Cambria" w:cs="Times New Roman"/>
      <w:szCs w:val="22"/>
      <w:lang w:val="en-US"/>
    </w:rPr>
  </w:style>
  <w:style w:type="paragraph" w:styleId="TOC3">
    <w:name w:val="toc 3"/>
    <w:basedOn w:val="Normal"/>
    <w:next w:val="Normal"/>
    <w:autoRedefine/>
    <w:uiPriority w:val="39"/>
    <w:rsid w:val="00A91985"/>
    <w:pPr>
      <w:tabs>
        <w:tab w:val="left" w:pos="916"/>
        <w:tab w:val="right" w:leader="dot" w:pos="9622"/>
      </w:tabs>
      <w:spacing w:before="0"/>
      <w:jc w:val="left"/>
    </w:pPr>
    <w:rPr>
      <w:rFonts w:ascii="Cambria" w:eastAsia="Times New Roman" w:hAnsi="Cambria" w:cs="Times New Roman"/>
      <w:i/>
      <w:szCs w:val="22"/>
      <w:lang w:val="en-US"/>
    </w:rPr>
  </w:style>
  <w:style w:type="paragraph" w:styleId="TOC4">
    <w:name w:val="toc 4"/>
    <w:basedOn w:val="Normal"/>
    <w:next w:val="Normal"/>
    <w:autoRedefine/>
    <w:uiPriority w:val="39"/>
    <w:rsid w:val="003937A5"/>
    <w:pPr>
      <w:pBdr>
        <w:between w:val="double" w:sz="6" w:space="0" w:color="auto"/>
      </w:pBdr>
      <w:spacing w:before="0"/>
      <w:ind w:left="480"/>
      <w:jc w:val="left"/>
    </w:pPr>
    <w:rPr>
      <w:rFonts w:ascii="Cambria" w:eastAsia="Times New Roman" w:hAnsi="Cambria" w:cs="Times New Roman"/>
      <w:sz w:val="20"/>
      <w:szCs w:val="20"/>
      <w:lang w:val="en-US"/>
    </w:rPr>
  </w:style>
  <w:style w:type="paragraph" w:styleId="TOC5">
    <w:name w:val="toc 5"/>
    <w:basedOn w:val="Normal"/>
    <w:next w:val="Normal"/>
    <w:autoRedefine/>
    <w:uiPriority w:val="39"/>
    <w:rsid w:val="003937A5"/>
    <w:pPr>
      <w:pBdr>
        <w:between w:val="double" w:sz="6" w:space="0" w:color="auto"/>
      </w:pBdr>
      <w:spacing w:before="0"/>
      <w:ind w:left="720"/>
      <w:jc w:val="left"/>
    </w:pPr>
    <w:rPr>
      <w:rFonts w:ascii="Cambria" w:eastAsia="Times New Roman" w:hAnsi="Cambria" w:cs="Times New Roman"/>
      <w:sz w:val="20"/>
      <w:szCs w:val="20"/>
      <w:lang w:val="en-US"/>
    </w:rPr>
  </w:style>
  <w:style w:type="paragraph" w:styleId="TOC6">
    <w:name w:val="toc 6"/>
    <w:basedOn w:val="Normal"/>
    <w:next w:val="Normal"/>
    <w:autoRedefine/>
    <w:uiPriority w:val="39"/>
    <w:rsid w:val="003937A5"/>
    <w:pPr>
      <w:pBdr>
        <w:between w:val="double" w:sz="6" w:space="0" w:color="auto"/>
      </w:pBdr>
      <w:spacing w:before="0"/>
      <w:ind w:left="960"/>
      <w:jc w:val="left"/>
    </w:pPr>
    <w:rPr>
      <w:rFonts w:ascii="Cambria" w:eastAsia="Times New Roman" w:hAnsi="Cambria" w:cs="Times New Roman"/>
      <w:sz w:val="20"/>
      <w:szCs w:val="20"/>
      <w:lang w:val="en-US"/>
    </w:rPr>
  </w:style>
  <w:style w:type="paragraph" w:styleId="TOC7">
    <w:name w:val="toc 7"/>
    <w:basedOn w:val="Normal"/>
    <w:next w:val="Normal"/>
    <w:autoRedefine/>
    <w:uiPriority w:val="39"/>
    <w:rsid w:val="003937A5"/>
    <w:pPr>
      <w:pBdr>
        <w:between w:val="double" w:sz="6" w:space="0" w:color="auto"/>
      </w:pBdr>
      <w:spacing w:before="0"/>
      <w:ind w:left="1200"/>
      <w:jc w:val="left"/>
    </w:pPr>
    <w:rPr>
      <w:rFonts w:ascii="Cambria" w:eastAsia="Times New Roman" w:hAnsi="Cambria" w:cs="Times New Roman"/>
      <w:sz w:val="20"/>
      <w:szCs w:val="20"/>
      <w:lang w:val="en-US"/>
    </w:rPr>
  </w:style>
  <w:style w:type="paragraph" w:styleId="TOC8">
    <w:name w:val="toc 8"/>
    <w:basedOn w:val="Normal"/>
    <w:next w:val="Normal"/>
    <w:autoRedefine/>
    <w:uiPriority w:val="39"/>
    <w:rsid w:val="003937A5"/>
    <w:pPr>
      <w:pBdr>
        <w:between w:val="double" w:sz="6" w:space="0" w:color="auto"/>
      </w:pBdr>
      <w:spacing w:before="0"/>
      <w:ind w:left="1440"/>
      <w:jc w:val="left"/>
    </w:pPr>
    <w:rPr>
      <w:rFonts w:ascii="Cambria" w:eastAsia="Times New Roman" w:hAnsi="Cambria" w:cs="Times New Roman"/>
      <w:sz w:val="20"/>
      <w:szCs w:val="20"/>
      <w:lang w:val="en-US"/>
    </w:rPr>
  </w:style>
  <w:style w:type="paragraph" w:styleId="TOC9">
    <w:name w:val="toc 9"/>
    <w:basedOn w:val="Normal"/>
    <w:next w:val="Normal"/>
    <w:autoRedefine/>
    <w:uiPriority w:val="39"/>
    <w:rsid w:val="003937A5"/>
    <w:pPr>
      <w:pBdr>
        <w:between w:val="double" w:sz="6" w:space="0" w:color="auto"/>
      </w:pBdr>
      <w:spacing w:before="0"/>
      <w:ind w:left="1680"/>
      <w:jc w:val="left"/>
    </w:pPr>
    <w:rPr>
      <w:rFonts w:ascii="Cambria" w:eastAsia="Times New Roman" w:hAnsi="Cambria" w:cs="Times New Roman"/>
      <w:sz w:val="20"/>
      <w:szCs w:val="20"/>
      <w:lang w:val="en-US"/>
    </w:rPr>
  </w:style>
  <w:style w:type="character" w:styleId="FollowedHyperlink">
    <w:name w:val="FollowedHyperlink"/>
    <w:rsid w:val="003937A5"/>
    <w:rPr>
      <w:color w:val="800080"/>
      <w:u w:val="single"/>
    </w:rPr>
  </w:style>
  <w:style w:type="character" w:styleId="CommentReference">
    <w:name w:val="annotation reference"/>
    <w:uiPriority w:val="99"/>
    <w:rsid w:val="003937A5"/>
    <w:rPr>
      <w:sz w:val="16"/>
      <w:szCs w:val="16"/>
    </w:rPr>
  </w:style>
  <w:style w:type="paragraph" w:styleId="CommentText">
    <w:name w:val="annotation text"/>
    <w:basedOn w:val="Normal"/>
    <w:link w:val="CommentTextChar"/>
    <w:uiPriority w:val="99"/>
    <w:rsid w:val="003937A5"/>
    <w:pPr>
      <w:spacing w:before="0"/>
      <w:jc w:val="left"/>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3937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937A5"/>
    <w:rPr>
      <w:b/>
      <w:bCs/>
    </w:rPr>
  </w:style>
  <w:style w:type="character" w:customStyle="1" w:styleId="CommentSubjectChar">
    <w:name w:val="Comment Subject Char"/>
    <w:basedOn w:val="CommentTextChar"/>
    <w:link w:val="CommentSubject"/>
    <w:rsid w:val="003937A5"/>
    <w:rPr>
      <w:rFonts w:ascii="Times New Roman" w:eastAsia="Times New Roman" w:hAnsi="Times New Roman" w:cs="Times New Roman"/>
      <w:b/>
      <w:bCs/>
      <w:sz w:val="20"/>
      <w:szCs w:val="20"/>
    </w:rPr>
  </w:style>
  <w:style w:type="paragraph" w:customStyle="1" w:styleId="MediumList1-Accent61">
    <w:name w:val="Medium List 1 - Accent 61"/>
    <w:basedOn w:val="Normal"/>
    <w:uiPriority w:val="34"/>
    <w:qFormat/>
    <w:rsid w:val="003937A5"/>
    <w:pPr>
      <w:spacing w:before="0"/>
      <w:ind w:left="720"/>
      <w:contextualSpacing/>
      <w:jc w:val="left"/>
    </w:pPr>
    <w:rPr>
      <w:rFonts w:ascii="Cambria" w:eastAsia="Cambria" w:hAnsi="Cambria" w:cs="Times New Roman"/>
      <w:sz w:val="24"/>
      <w:lang w:val="en-US"/>
    </w:rPr>
  </w:style>
  <w:style w:type="paragraph" w:customStyle="1" w:styleId="DarkList-Accent51">
    <w:name w:val="Dark List - Accent 51"/>
    <w:basedOn w:val="Normal"/>
    <w:rsid w:val="003937A5"/>
    <w:pPr>
      <w:spacing w:before="0"/>
      <w:ind w:left="720"/>
      <w:contextualSpacing/>
      <w:jc w:val="left"/>
    </w:pPr>
    <w:rPr>
      <w:rFonts w:ascii="Cambria" w:eastAsia="Cambria" w:hAnsi="Cambria" w:cs="Times New Roman"/>
      <w:sz w:val="24"/>
      <w:lang w:val="en-US"/>
    </w:rPr>
  </w:style>
  <w:style w:type="paragraph" w:styleId="Index1">
    <w:name w:val="index 1"/>
    <w:basedOn w:val="Normal"/>
    <w:next w:val="Normal"/>
    <w:autoRedefine/>
    <w:rsid w:val="003937A5"/>
    <w:pPr>
      <w:spacing w:before="0"/>
      <w:ind w:left="240" w:hanging="240"/>
      <w:jc w:val="left"/>
    </w:pPr>
    <w:rPr>
      <w:rFonts w:eastAsia="Times New Roman" w:cs="Times New Roman"/>
      <w:sz w:val="24"/>
      <w:lang w:val="en-US"/>
    </w:rPr>
  </w:style>
  <w:style w:type="paragraph" w:styleId="Index2">
    <w:name w:val="index 2"/>
    <w:basedOn w:val="Normal"/>
    <w:next w:val="Normal"/>
    <w:autoRedefine/>
    <w:rsid w:val="003937A5"/>
    <w:pPr>
      <w:spacing w:before="0"/>
      <w:ind w:left="480" w:hanging="240"/>
      <w:jc w:val="left"/>
    </w:pPr>
    <w:rPr>
      <w:rFonts w:eastAsia="Times New Roman" w:cs="Times New Roman"/>
      <w:sz w:val="24"/>
      <w:lang w:val="en-US"/>
    </w:rPr>
  </w:style>
  <w:style w:type="paragraph" w:styleId="Index3">
    <w:name w:val="index 3"/>
    <w:basedOn w:val="Normal"/>
    <w:next w:val="Normal"/>
    <w:autoRedefine/>
    <w:rsid w:val="003937A5"/>
    <w:pPr>
      <w:spacing w:before="0"/>
      <w:ind w:left="720" w:hanging="240"/>
      <w:jc w:val="left"/>
    </w:pPr>
    <w:rPr>
      <w:rFonts w:eastAsia="Times New Roman" w:cs="Times New Roman"/>
      <w:sz w:val="24"/>
      <w:lang w:val="en-US"/>
    </w:rPr>
  </w:style>
  <w:style w:type="paragraph" w:styleId="Index4">
    <w:name w:val="index 4"/>
    <w:basedOn w:val="Normal"/>
    <w:next w:val="Normal"/>
    <w:autoRedefine/>
    <w:rsid w:val="003937A5"/>
    <w:pPr>
      <w:spacing w:before="0"/>
      <w:ind w:left="960" w:hanging="240"/>
      <w:jc w:val="left"/>
    </w:pPr>
    <w:rPr>
      <w:rFonts w:eastAsia="Times New Roman" w:cs="Times New Roman"/>
      <w:sz w:val="24"/>
      <w:lang w:val="en-US"/>
    </w:rPr>
  </w:style>
  <w:style w:type="paragraph" w:styleId="Index5">
    <w:name w:val="index 5"/>
    <w:basedOn w:val="Normal"/>
    <w:next w:val="Normal"/>
    <w:autoRedefine/>
    <w:rsid w:val="003937A5"/>
    <w:pPr>
      <w:spacing w:before="0"/>
      <w:ind w:left="1200" w:hanging="240"/>
      <w:jc w:val="left"/>
    </w:pPr>
    <w:rPr>
      <w:rFonts w:eastAsia="Times New Roman" w:cs="Times New Roman"/>
      <w:sz w:val="24"/>
      <w:lang w:val="en-US"/>
    </w:rPr>
  </w:style>
  <w:style w:type="paragraph" w:styleId="Index6">
    <w:name w:val="index 6"/>
    <w:basedOn w:val="Normal"/>
    <w:next w:val="Normal"/>
    <w:autoRedefine/>
    <w:rsid w:val="003937A5"/>
    <w:pPr>
      <w:spacing w:before="0"/>
      <w:ind w:left="1440" w:hanging="240"/>
      <w:jc w:val="left"/>
    </w:pPr>
    <w:rPr>
      <w:rFonts w:eastAsia="Times New Roman" w:cs="Times New Roman"/>
      <w:sz w:val="24"/>
      <w:lang w:val="en-US"/>
    </w:rPr>
  </w:style>
  <w:style w:type="paragraph" w:styleId="Index7">
    <w:name w:val="index 7"/>
    <w:basedOn w:val="Normal"/>
    <w:next w:val="Normal"/>
    <w:autoRedefine/>
    <w:rsid w:val="003937A5"/>
    <w:pPr>
      <w:spacing w:before="0"/>
      <w:ind w:left="1680" w:hanging="240"/>
      <w:jc w:val="left"/>
    </w:pPr>
    <w:rPr>
      <w:rFonts w:eastAsia="Times New Roman" w:cs="Times New Roman"/>
      <w:sz w:val="24"/>
      <w:lang w:val="en-US"/>
    </w:rPr>
  </w:style>
  <w:style w:type="paragraph" w:styleId="Index8">
    <w:name w:val="index 8"/>
    <w:basedOn w:val="Normal"/>
    <w:next w:val="Normal"/>
    <w:autoRedefine/>
    <w:rsid w:val="003937A5"/>
    <w:pPr>
      <w:spacing w:before="0"/>
      <w:ind w:left="1920" w:hanging="240"/>
      <w:jc w:val="left"/>
    </w:pPr>
    <w:rPr>
      <w:rFonts w:eastAsia="Times New Roman" w:cs="Times New Roman"/>
      <w:sz w:val="24"/>
      <w:lang w:val="en-US"/>
    </w:rPr>
  </w:style>
  <w:style w:type="paragraph" w:styleId="Index9">
    <w:name w:val="index 9"/>
    <w:basedOn w:val="Normal"/>
    <w:next w:val="Normal"/>
    <w:autoRedefine/>
    <w:rsid w:val="003937A5"/>
    <w:pPr>
      <w:spacing w:before="0"/>
      <w:ind w:left="2160" w:hanging="240"/>
      <w:jc w:val="left"/>
    </w:pPr>
    <w:rPr>
      <w:rFonts w:eastAsia="Times New Roman" w:cs="Times New Roman"/>
      <w:sz w:val="24"/>
      <w:lang w:val="en-US"/>
    </w:rPr>
  </w:style>
  <w:style w:type="paragraph" w:styleId="IndexHeading">
    <w:name w:val="index heading"/>
    <w:basedOn w:val="Normal"/>
    <w:next w:val="Index1"/>
    <w:rsid w:val="003937A5"/>
    <w:pPr>
      <w:spacing w:before="0"/>
      <w:jc w:val="left"/>
    </w:pPr>
    <w:rPr>
      <w:rFonts w:eastAsia="Times New Roman" w:cs="Times New Roman"/>
      <w:sz w:val="24"/>
      <w:lang w:val="en-US"/>
    </w:rPr>
  </w:style>
  <w:style w:type="paragraph" w:customStyle="1" w:styleId="ColorfulShading-Accent31">
    <w:name w:val="Colorful Shading - Accent 31"/>
    <w:basedOn w:val="Normal"/>
    <w:qFormat/>
    <w:rsid w:val="003937A5"/>
    <w:pPr>
      <w:spacing w:before="0"/>
      <w:ind w:left="720"/>
      <w:contextualSpacing/>
      <w:jc w:val="left"/>
    </w:pPr>
    <w:rPr>
      <w:rFonts w:ascii="Cambria" w:eastAsia="Cambria" w:hAnsi="Cambria" w:cs="Times New Roman"/>
      <w:sz w:val="24"/>
      <w:lang w:val="en-US"/>
    </w:rPr>
  </w:style>
  <w:style w:type="paragraph" w:styleId="NormalWeb">
    <w:name w:val="Normal (Web)"/>
    <w:basedOn w:val="Normal"/>
    <w:uiPriority w:val="99"/>
    <w:rsid w:val="003937A5"/>
    <w:pPr>
      <w:spacing w:before="100" w:beforeAutospacing="1" w:after="100" w:afterAutospacing="1"/>
      <w:jc w:val="left"/>
    </w:pPr>
    <w:rPr>
      <w:rFonts w:eastAsia="Times New Roman" w:cs="Times New Roman"/>
      <w:sz w:val="24"/>
      <w:lang w:val="en-US"/>
    </w:rPr>
  </w:style>
  <w:style w:type="character" w:customStyle="1" w:styleId="BalloonTextChar1">
    <w:name w:val="Balloon Text Char1"/>
    <w:uiPriority w:val="99"/>
    <w:rsid w:val="003937A5"/>
    <w:rPr>
      <w:rFonts w:ascii="Tahoma" w:hAnsi="Tahoma" w:cs="Tahoma"/>
      <w:sz w:val="16"/>
      <w:szCs w:val="16"/>
      <w:lang w:val="en-US"/>
    </w:rPr>
  </w:style>
  <w:style w:type="paragraph" w:styleId="BodyText">
    <w:name w:val="Body Text"/>
    <w:basedOn w:val="Normal"/>
    <w:link w:val="BodyTextChar"/>
    <w:rsid w:val="003937A5"/>
    <w:pPr>
      <w:spacing w:before="0" w:after="120"/>
    </w:pPr>
    <w:rPr>
      <w:rFonts w:ascii="Cambria" w:eastAsia="Times New Roman" w:hAnsi="Cambria" w:cs="Times New Roman"/>
      <w:lang w:val="en-US"/>
    </w:rPr>
  </w:style>
  <w:style w:type="character" w:customStyle="1" w:styleId="BodyTextChar">
    <w:name w:val="Body Text Char"/>
    <w:basedOn w:val="DefaultParagraphFont"/>
    <w:link w:val="BodyText"/>
    <w:rsid w:val="003937A5"/>
    <w:rPr>
      <w:rFonts w:ascii="Cambria" w:eastAsia="Times New Roman" w:hAnsi="Cambria" w:cs="Times New Roman"/>
      <w:sz w:val="22"/>
    </w:rPr>
  </w:style>
  <w:style w:type="paragraph" w:styleId="EndnoteText">
    <w:name w:val="endnote text"/>
    <w:basedOn w:val="Normal"/>
    <w:link w:val="EndnoteTextChar"/>
    <w:rsid w:val="003937A5"/>
    <w:pPr>
      <w:spacing w:before="0"/>
      <w:jc w:val="left"/>
    </w:pPr>
    <w:rPr>
      <w:rFonts w:eastAsia="Times New Roman" w:cs="Times New Roman"/>
      <w:sz w:val="20"/>
      <w:szCs w:val="20"/>
      <w:lang w:val="en-US"/>
    </w:rPr>
  </w:style>
  <w:style w:type="character" w:customStyle="1" w:styleId="EndnoteTextChar">
    <w:name w:val="Endnote Text Char"/>
    <w:basedOn w:val="DefaultParagraphFont"/>
    <w:link w:val="EndnoteText"/>
    <w:rsid w:val="003937A5"/>
    <w:rPr>
      <w:rFonts w:ascii="Times New Roman" w:eastAsia="Times New Roman" w:hAnsi="Times New Roman" w:cs="Times New Roman"/>
      <w:sz w:val="20"/>
      <w:szCs w:val="20"/>
    </w:rPr>
  </w:style>
  <w:style w:type="character" w:styleId="EndnoteReference">
    <w:name w:val="endnote reference"/>
    <w:rsid w:val="003937A5"/>
    <w:rPr>
      <w:vertAlign w:val="superscript"/>
    </w:rPr>
  </w:style>
  <w:style w:type="character" w:customStyle="1" w:styleId="text">
    <w:name w:val="text"/>
    <w:rsid w:val="003937A5"/>
  </w:style>
  <w:style w:type="character" w:customStyle="1" w:styleId="comment-body">
    <w:name w:val="comment-body"/>
    <w:rsid w:val="003937A5"/>
  </w:style>
  <w:style w:type="paragraph" w:customStyle="1" w:styleId="summary">
    <w:name w:val="summary"/>
    <w:basedOn w:val="Normal"/>
    <w:rsid w:val="003937A5"/>
    <w:pPr>
      <w:spacing w:before="100" w:beforeAutospacing="1" w:after="100" w:afterAutospacing="1"/>
      <w:jc w:val="left"/>
    </w:pPr>
    <w:rPr>
      <w:rFonts w:eastAsia="Times New Roman" w:cs="Times New Roman"/>
      <w:sz w:val="24"/>
      <w:lang w:eastAsia="en-AU"/>
    </w:rPr>
  </w:style>
  <w:style w:type="paragraph" w:styleId="ListParagraph">
    <w:name w:val="List Paragraph"/>
    <w:basedOn w:val="Normal"/>
    <w:uiPriority w:val="34"/>
    <w:qFormat/>
    <w:rsid w:val="003937A5"/>
    <w:pPr>
      <w:spacing w:before="0" w:after="200" w:line="276" w:lineRule="auto"/>
      <w:ind w:left="720"/>
      <w:contextualSpacing/>
      <w:jc w:val="left"/>
    </w:pPr>
    <w:rPr>
      <w:rFonts w:ascii="Calibri" w:eastAsia="Calibri" w:hAnsi="Calibri" w:cs="Times New Roman"/>
      <w:szCs w:val="22"/>
    </w:rPr>
  </w:style>
  <w:style w:type="paragraph" w:styleId="Caption">
    <w:name w:val="caption"/>
    <w:basedOn w:val="Normal"/>
    <w:next w:val="Normal"/>
    <w:unhideWhenUsed/>
    <w:qFormat/>
    <w:rsid w:val="003937A5"/>
    <w:pPr>
      <w:spacing w:before="0"/>
      <w:jc w:val="left"/>
    </w:pPr>
    <w:rPr>
      <w:rFonts w:eastAsia="Times New Roman" w:cs="Times New Roman"/>
      <w:b/>
      <w:bCs/>
      <w:sz w:val="20"/>
      <w:szCs w:val="20"/>
      <w:lang w:val="en-US"/>
    </w:rPr>
  </w:style>
  <w:style w:type="paragraph" w:styleId="TableofFigures">
    <w:name w:val="table of figures"/>
    <w:basedOn w:val="Normal"/>
    <w:next w:val="Normal"/>
    <w:uiPriority w:val="99"/>
    <w:rsid w:val="003937A5"/>
    <w:pPr>
      <w:spacing w:before="0"/>
      <w:ind w:left="480" w:hanging="480"/>
      <w:jc w:val="left"/>
    </w:pPr>
    <w:rPr>
      <w:rFonts w:asciiTheme="majorHAnsi" w:eastAsia="Times New Roman" w:hAnsiTheme="majorHAnsi" w:cs="Times New Roman"/>
      <w:sz w:val="20"/>
      <w:lang w:val="en-US"/>
    </w:rPr>
  </w:style>
  <w:style w:type="paragraph" w:styleId="ListBullet">
    <w:name w:val="List Bullet"/>
    <w:basedOn w:val="Normal"/>
    <w:uiPriority w:val="99"/>
    <w:unhideWhenUsed/>
    <w:rsid w:val="00E24BC9"/>
    <w:pPr>
      <w:numPr>
        <w:numId w:val="6"/>
      </w:numPr>
      <w:contextualSpacing/>
    </w:pPr>
  </w:style>
  <w:style w:type="paragraph" w:styleId="DocumentMap">
    <w:name w:val="Document Map"/>
    <w:basedOn w:val="Normal"/>
    <w:link w:val="DocumentMapChar"/>
    <w:uiPriority w:val="99"/>
    <w:semiHidden/>
    <w:unhideWhenUsed/>
    <w:rsid w:val="00B948FC"/>
    <w:pPr>
      <w:spacing w:before="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948FC"/>
    <w:rPr>
      <w:rFonts w:ascii="Lucida Grande" w:hAnsi="Lucida Grande" w:cs="Lucida Grande"/>
      <w:lang w:val="en-GB"/>
    </w:rPr>
  </w:style>
  <w:style w:type="paragraph" w:styleId="Revision">
    <w:name w:val="Revision"/>
    <w:hidden/>
    <w:uiPriority w:val="99"/>
    <w:semiHidden/>
    <w:rsid w:val="002837D8"/>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72840">
      <w:bodyDiv w:val="1"/>
      <w:marLeft w:val="0"/>
      <w:marRight w:val="0"/>
      <w:marTop w:val="0"/>
      <w:marBottom w:val="0"/>
      <w:divBdr>
        <w:top w:val="none" w:sz="0" w:space="0" w:color="auto"/>
        <w:left w:val="none" w:sz="0" w:space="0" w:color="auto"/>
        <w:bottom w:val="none" w:sz="0" w:space="0" w:color="auto"/>
        <w:right w:val="none" w:sz="0" w:space="0" w:color="auto"/>
      </w:divBdr>
    </w:div>
    <w:div w:id="1948154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6.xml"/><Relationship Id="rId21" Type="http://schemas.openxmlformats.org/officeDocument/2006/relationships/chart" Target="charts/chart7.xml"/><Relationship Id="rId22" Type="http://schemas.openxmlformats.org/officeDocument/2006/relationships/chart" Target="charts/chart8.xml"/><Relationship Id="rId23" Type="http://schemas.openxmlformats.org/officeDocument/2006/relationships/chart" Target="charts/chart9.xml"/><Relationship Id="rId24" Type="http://schemas.openxmlformats.org/officeDocument/2006/relationships/chart" Target="charts/chart10.xml"/><Relationship Id="rId25" Type="http://schemas.openxmlformats.org/officeDocument/2006/relationships/chart" Target="charts/chart11.xml"/><Relationship Id="rId26" Type="http://schemas.openxmlformats.org/officeDocument/2006/relationships/chart" Target="charts/chart12.xml"/><Relationship Id="rId27" Type="http://schemas.openxmlformats.org/officeDocument/2006/relationships/chart" Target="charts/chart13.xml"/><Relationship Id="rId28" Type="http://schemas.openxmlformats.org/officeDocument/2006/relationships/chart" Target="charts/chart14.xml"/><Relationship Id="rId29" Type="http://schemas.openxmlformats.org/officeDocument/2006/relationships/chart" Target="charts/chart1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chart" Target="charts/chart16.xml"/><Relationship Id="rId31" Type="http://schemas.openxmlformats.org/officeDocument/2006/relationships/chart" Target="charts/chart17.xml"/><Relationship Id="rId32" Type="http://schemas.openxmlformats.org/officeDocument/2006/relationships/chart" Target="charts/chart18.xml"/><Relationship Id="rId9" Type="http://schemas.openxmlformats.org/officeDocument/2006/relationships/image" Target="media/image1.jp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chart" Target="charts/chart19.xml"/><Relationship Id="rId34" Type="http://schemas.openxmlformats.org/officeDocument/2006/relationships/chart" Target="charts/chart20.xml"/><Relationship Id="rId35" Type="http://schemas.openxmlformats.org/officeDocument/2006/relationships/chart" Target="charts/chart21.xml"/><Relationship Id="rId36" Type="http://schemas.openxmlformats.org/officeDocument/2006/relationships/header" Target="header2.xml"/><Relationship Id="rId10" Type="http://schemas.openxmlformats.org/officeDocument/2006/relationships/image" Target="media/image2.png"/><Relationship Id="rId11" Type="http://schemas.openxmlformats.org/officeDocument/2006/relationships/image" Target="media/image2.jpg"/><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hyperlink" Target="mailto:public.affairs@environment.gov.au" TargetMode="External"/><Relationship Id="rId15" Type="http://schemas.openxmlformats.org/officeDocument/2006/relationships/chart" Target="charts/chart1.xml"/><Relationship Id="rId16" Type="http://schemas.openxmlformats.org/officeDocument/2006/relationships/chart" Target="charts/chart2.xml"/><Relationship Id="rId17" Type="http://schemas.openxmlformats.org/officeDocument/2006/relationships/chart" Target="charts/chart3.xml"/><Relationship Id="rId18" Type="http://schemas.openxmlformats.org/officeDocument/2006/relationships/chart" Target="charts/chart4.xml"/><Relationship Id="rId19" Type="http://schemas.openxmlformats.org/officeDocument/2006/relationships/chart" Target="charts/chart5.xml"/><Relationship Id="rId37" Type="http://schemas.openxmlformats.org/officeDocument/2006/relationships/footer" Target="footer2.xml"/><Relationship Id="rId38" Type="http://schemas.openxmlformats.org/officeDocument/2006/relationships/fontTable" Target="fontTable.xml"/><Relationship Id="rId3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CHF2:Models:CHF2%20Master%20V6.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CHF2:Models:CHF2%20Master%20V6.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CHF2:Models:CHF2%20Master%20V6.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CHF2:Models:CHF2%20Master%20V6.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PITTSH\RPROJECTS\CC2\2010\051-100\CC10082\21P%20-%20Internal%20Memos%20Notes\Draft%20Model\NRBuild%20version%201point4%20(July%20201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PITTSH\RPROJECTS\CC2\2010\051-100\CC10082\21P%20-%20Internal%20Memos%20Notes\Draft%20Model\NRBuild%20version%201point4%20(July%20201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PITTSH\RPROJECTS\CC2\2010\051-100\CC10082\21P%20-%20Internal%20Memos%20Notes\Draft%20Model\NRBuild%20version%201point4%20(July%20201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CHF2:Models:CHF2%20Master%20V6.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CHF2:Models:CHF2%20Master%20V6.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CHF2:Models:CHF2%20Master%20V6.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CHF2:Models:CHF2%20Master%20V6.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CHF2:Models:CHF2%20Master%20V6.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PITTSH\RPROJECTS\CC\2010\051-100\CC10082\21P%20-%20Internal%20Memos%20Notes\Draft%20Model\NRBuild%20version%201point1%20(Report%20version).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PITTSH\RPROJECTS\CC\2010\051-100\CC10082\21P%20-%20Internal%20Memos%20Notes\Draft%20Model\NRBuild%20version%201point1%20(Report%20vers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CHF2:Models:CHF2%20Master%20V6.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CHF2:Models:CHF2%20Master%20V6.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CHF2:Models:CHF2%20Master%20V6.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CHF2:Models:CHF2%20Master%20V6.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CHF2:Models:CHF2%20Master%20V6.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peterbrodribb:Documents:Expert%20Group:Current%20activities:CHF2:Models:CHF2%20Master%20V6.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peterbrodribb:Desktop:TW%20ODS-SGG%20destruction%20model%20Final%20Bank%20Chart.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Lbls>
            <c:dLbl>
              <c:idx val="6"/>
              <c:delete val="1"/>
            </c:dLbl>
            <c:showLegendKey val="0"/>
            <c:showVal val="0"/>
            <c:showCatName val="0"/>
            <c:showSerName val="0"/>
            <c:showPercent val="1"/>
            <c:showBubbleSize val="0"/>
            <c:showLeaderLines val="1"/>
          </c:dLbls>
          <c:cat>
            <c:strRef>
              <c:f>'1f Bank by equipment segment'!$B$88:$B$94</c:f>
              <c:strCache>
                <c:ptCount val="7"/>
                <c:pt idx="0">
                  <c:v>HCFC-22</c:v>
                </c:pt>
                <c:pt idx="1">
                  <c:v>HCFC Mix</c:v>
                </c:pt>
                <c:pt idx="2">
                  <c:v>HFC-134a</c:v>
                </c:pt>
                <c:pt idx="3">
                  <c:v>HFC-404A</c:v>
                </c:pt>
                <c:pt idx="4">
                  <c:v>HFC-407C</c:v>
                </c:pt>
                <c:pt idx="5">
                  <c:v>HFC-410A</c:v>
                </c:pt>
                <c:pt idx="6">
                  <c:v>HFC-Mix</c:v>
                </c:pt>
              </c:strCache>
            </c:strRef>
          </c:cat>
          <c:val>
            <c:numRef>
              <c:f>'1f Bank by equipment segment'!$C$88:$C$94</c:f>
              <c:numCache>
                <c:formatCode>#,##0</c:formatCode>
                <c:ptCount val="7"/>
                <c:pt idx="0">
                  <c:v>11280.0</c:v>
                </c:pt>
                <c:pt idx="1">
                  <c:v>595.0</c:v>
                </c:pt>
                <c:pt idx="2">
                  <c:v>11389.0</c:v>
                </c:pt>
                <c:pt idx="3">
                  <c:v>3412.0</c:v>
                </c:pt>
                <c:pt idx="4">
                  <c:v>711.0</c:v>
                </c:pt>
                <c:pt idx="5">
                  <c:v>2782.0</c:v>
                </c:pt>
                <c:pt idx="6">
                  <c:v>0.0</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1"/>
          <c:order val="1"/>
          <c:dLbls>
            <c:dLbl>
              <c:idx val="0"/>
              <c:layout/>
              <c:tx>
                <c:rich>
                  <a:bodyPr/>
                  <a:lstStyle/>
                  <a:p>
                    <a:r>
                      <a:rPr lang="en-US"/>
                      <a:t>36,845, (62%)</a:t>
                    </a:r>
                  </a:p>
                </c:rich>
              </c:tx>
              <c:showLegendKey val="0"/>
              <c:showVal val="1"/>
              <c:showCatName val="0"/>
              <c:showSerName val="0"/>
              <c:showPercent val="1"/>
              <c:showBubbleSize val="0"/>
            </c:dLbl>
            <c:dLbl>
              <c:idx val="1"/>
              <c:delete val="1"/>
            </c:dLbl>
            <c:dLbl>
              <c:idx val="2"/>
              <c:layout/>
              <c:tx>
                <c:rich>
                  <a:bodyPr/>
                  <a:lstStyle/>
                  <a:p>
                    <a:r>
                      <a:rPr lang="en-US"/>
                      <a:t>7,474, (13%)</a:t>
                    </a:r>
                  </a:p>
                </c:rich>
              </c:tx>
              <c:showLegendKey val="0"/>
              <c:showVal val="1"/>
              <c:showCatName val="0"/>
              <c:showSerName val="0"/>
              <c:showPercent val="1"/>
              <c:showBubbleSize val="0"/>
            </c:dLbl>
            <c:dLbl>
              <c:idx val="3"/>
              <c:delete val="1"/>
            </c:dLbl>
            <c:dLbl>
              <c:idx val="4"/>
              <c:layout/>
              <c:tx>
                <c:rich>
                  <a:bodyPr/>
                  <a:lstStyle/>
                  <a:p>
                    <a:r>
                      <a:rPr lang="en-US"/>
                      <a:t>14,657, (25%)</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'1e Emissions by segment'!$S$6:$S$10</c:f>
              <c:strCache>
                <c:ptCount val="5"/>
                <c:pt idx="0">
                  <c:v>Stationary AC</c:v>
                </c:pt>
                <c:pt idx="1">
                  <c:v>Mobile AC</c:v>
                </c:pt>
                <c:pt idx="2">
                  <c:v>Domestic refrigeration</c:v>
                </c:pt>
                <c:pt idx="3">
                  <c:v>Transport refrigeration</c:v>
                </c:pt>
                <c:pt idx="4">
                  <c:v>Refrigerated cold food chain</c:v>
                </c:pt>
              </c:strCache>
            </c:strRef>
          </c:cat>
          <c:val>
            <c:numRef>
              <c:f>'1e Emissions by segment'!$T$6:$T$10</c:f>
              <c:numCache>
                <c:formatCode>#,##0</c:formatCode>
                <c:ptCount val="5"/>
                <c:pt idx="0">
                  <c:v>36844.9066780426</c:v>
                </c:pt>
                <c:pt idx="1">
                  <c:v>0.0</c:v>
                </c:pt>
                <c:pt idx="2">
                  <c:v>7473.758171940498</c:v>
                </c:pt>
                <c:pt idx="3">
                  <c:v>0.0</c:v>
                </c:pt>
                <c:pt idx="4">
                  <c:v>14656.86422797343</c:v>
                </c:pt>
              </c:numCache>
            </c:numRef>
          </c:val>
        </c:ser>
        <c:ser>
          <c:idx val="0"/>
          <c:order val="0"/>
          <c:dLbls>
            <c:showLegendKey val="0"/>
            <c:showVal val="1"/>
            <c:showCatName val="0"/>
            <c:showSerName val="0"/>
            <c:showPercent val="0"/>
            <c:showBubbleSize val="0"/>
            <c:showLeaderLines val="1"/>
          </c:dLbls>
          <c:cat>
            <c:strRef>
              <c:f>'1e Emissions by segment'!$S$6:$S$10</c:f>
              <c:strCache>
                <c:ptCount val="5"/>
                <c:pt idx="0">
                  <c:v>Stationary AC</c:v>
                </c:pt>
                <c:pt idx="1">
                  <c:v>Mobile AC</c:v>
                </c:pt>
                <c:pt idx="2">
                  <c:v>Domestic refrigeration</c:v>
                </c:pt>
                <c:pt idx="3">
                  <c:v>Transport refrigeration</c:v>
                </c:pt>
                <c:pt idx="4">
                  <c:v>Refrigerated cold food chain</c:v>
                </c:pt>
              </c:strCache>
            </c:strRef>
          </c:cat>
          <c:val>
            <c:numRef>
              <c:f>'1e Emissions by segment'!$T$6:$T$10</c:f>
              <c:numCache>
                <c:formatCode>#,##0</c:formatCode>
                <c:ptCount val="5"/>
                <c:pt idx="0">
                  <c:v>36844.9066780426</c:v>
                </c:pt>
                <c:pt idx="1">
                  <c:v>0.0</c:v>
                </c:pt>
                <c:pt idx="2">
                  <c:v>7473.758171940498</c:v>
                </c:pt>
                <c:pt idx="3">
                  <c:v>0.0</c:v>
                </c:pt>
                <c:pt idx="4">
                  <c:v>14656.86422797343</c:v>
                </c:pt>
              </c:numCache>
            </c:numRef>
          </c:val>
        </c:ser>
        <c:dLbls>
          <c:showLegendKey val="0"/>
          <c:showVal val="1"/>
          <c:showCatName val="0"/>
          <c:showSerName val="0"/>
          <c:showPercent val="0"/>
          <c:showBubbleSize val="0"/>
          <c:showLeaderLines val="1"/>
        </c:dLbls>
        <c:firstSliceAng val="0"/>
      </c:pieChart>
    </c:plotArea>
    <c:legend>
      <c:legendPos val="r"/>
      <c:legendEntry>
        <c:idx val="1"/>
        <c:delete val="1"/>
      </c:legendEntry>
      <c:legendEntry>
        <c:idx val="3"/>
        <c:delete val="1"/>
      </c:legendEntry>
      <c:layout/>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1"/>
          <c:order val="1"/>
          <c:dLbls>
            <c:dLbl>
              <c:idx val="0"/>
              <c:layout/>
              <c:tx>
                <c:rich>
                  <a:bodyPr/>
                  <a:lstStyle/>
                  <a:p>
                    <a:r>
                      <a:rPr lang="en-US"/>
                      <a:t>132.6, (51%)</a:t>
                    </a:r>
                  </a:p>
                </c:rich>
              </c:tx>
              <c:showLegendKey val="0"/>
              <c:showVal val="1"/>
              <c:showCatName val="0"/>
              <c:showSerName val="0"/>
              <c:showPercent val="1"/>
              <c:showBubbleSize val="0"/>
            </c:dLbl>
            <c:dLbl>
              <c:idx val="1"/>
              <c:layout/>
              <c:tx>
                <c:rich>
                  <a:bodyPr/>
                  <a:lstStyle/>
                  <a:p>
                    <a:r>
                      <a:rPr lang="en-US"/>
                      <a:t>43.59, (17%)</a:t>
                    </a:r>
                  </a:p>
                </c:rich>
              </c:tx>
              <c:showLegendKey val="0"/>
              <c:showVal val="1"/>
              <c:showCatName val="0"/>
              <c:showSerName val="0"/>
              <c:showPercent val="1"/>
              <c:showBubbleSize val="0"/>
            </c:dLbl>
            <c:dLbl>
              <c:idx val="2"/>
              <c:layout/>
              <c:tx>
                <c:rich>
                  <a:bodyPr/>
                  <a:lstStyle/>
                  <a:p>
                    <a:r>
                      <a:rPr lang="en-US"/>
                      <a:t>26.9, (11%)</a:t>
                    </a:r>
                  </a:p>
                </c:rich>
              </c:tx>
              <c:showLegendKey val="0"/>
              <c:showVal val="1"/>
              <c:showCatName val="0"/>
              <c:showSerName val="0"/>
              <c:showPercent val="1"/>
              <c:showBubbleSize val="0"/>
            </c:dLbl>
            <c:dLbl>
              <c:idx val="3"/>
              <c:layout/>
              <c:tx>
                <c:rich>
                  <a:bodyPr/>
                  <a:lstStyle/>
                  <a:p>
                    <a:r>
                      <a:rPr lang="en-US"/>
                      <a:t>3.0, (1%)</a:t>
                    </a:r>
                  </a:p>
                </c:rich>
              </c:tx>
              <c:showLegendKey val="0"/>
              <c:showVal val="1"/>
              <c:showCatName val="0"/>
              <c:showSerName val="0"/>
              <c:showPercent val="1"/>
              <c:showBubbleSize val="0"/>
            </c:dLbl>
            <c:dLbl>
              <c:idx val="4"/>
              <c:layout/>
              <c:tx>
                <c:rich>
                  <a:bodyPr/>
                  <a:lstStyle/>
                  <a:p>
                    <a:r>
                      <a:rPr lang="en-US"/>
                      <a:t>52.8, (20%)</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'1e Emissions by segment'!$S$6:$S$10</c:f>
              <c:strCache>
                <c:ptCount val="5"/>
                <c:pt idx="0">
                  <c:v>Stationary AC</c:v>
                </c:pt>
                <c:pt idx="1">
                  <c:v>Mobile AC</c:v>
                </c:pt>
                <c:pt idx="2">
                  <c:v>Domestic refrigeration</c:v>
                </c:pt>
                <c:pt idx="3">
                  <c:v>Transport refrigeration</c:v>
                </c:pt>
                <c:pt idx="4">
                  <c:v>Refrigerated cold food chain</c:v>
                </c:pt>
              </c:strCache>
            </c:strRef>
          </c:cat>
          <c:val>
            <c:numRef>
              <c:f>'1e Emissions by segment'!$U$6:$U$10</c:f>
              <c:numCache>
                <c:formatCode>#,##0.00</c:formatCode>
                <c:ptCount val="5"/>
                <c:pt idx="0" formatCode="#,##0.0">
                  <c:v>132.6416640409532</c:v>
                </c:pt>
                <c:pt idx="1">
                  <c:v>43.59102956166684</c:v>
                </c:pt>
                <c:pt idx="2" formatCode="#,##0.0">
                  <c:v>26.90552941898578</c:v>
                </c:pt>
                <c:pt idx="3" formatCode="#,##0.0">
                  <c:v>3.004279770249747</c:v>
                </c:pt>
                <c:pt idx="4" formatCode="#,##0.0">
                  <c:v>52.76471122070434</c:v>
                </c:pt>
              </c:numCache>
            </c:numRef>
          </c:val>
        </c:ser>
        <c:ser>
          <c:idx val="0"/>
          <c:order val="0"/>
          <c:dLbls>
            <c:showLegendKey val="0"/>
            <c:showVal val="0"/>
            <c:showCatName val="0"/>
            <c:showSerName val="0"/>
            <c:showPercent val="1"/>
            <c:showBubbleSize val="0"/>
            <c:showLeaderLines val="1"/>
          </c:dLbls>
          <c:cat>
            <c:strRef>
              <c:f>'1e Emissions by segment'!$S$6:$S$10</c:f>
              <c:strCache>
                <c:ptCount val="5"/>
                <c:pt idx="0">
                  <c:v>Stationary AC</c:v>
                </c:pt>
                <c:pt idx="1">
                  <c:v>Mobile AC</c:v>
                </c:pt>
                <c:pt idx="2">
                  <c:v>Domestic refrigeration</c:v>
                </c:pt>
                <c:pt idx="3">
                  <c:v>Transport refrigeration</c:v>
                </c:pt>
                <c:pt idx="4">
                  <c:v>Refrigerated cold food chain</c:v>
                </c:pt>
              </c:strCache>
            </c:strRef>
          </c:cat>
          <c:val>
            <c:numRef>
              <c:f>'1e Emissions by segment'!$T$6:$T$10</c:f>
              <c:numCache>
                <c:formatCode>#,##0</c:formatCode>
                <c:ptCount val="5"/>
                <c:pt idx="0">
                  <c:v>36844.9066780426</c:v>
                </c:pt>
                <c:pt idx="1">
                  <c:v>0.0</c:v>
                </c:pt>
                <c:pt idx="2">
                  <c:v>7473.758171940498</c:v>
                </c:pt>
                <c:pt idx="3">
                  <c:v>0.0</c:v>
                </c:pt>
                <c:pt idx="4">
                  <c:v>14656.86422797343</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1"/>
          <c:order val="1"/>
          <c:dLbls>
            <c:dLbl>
              <c:idx val="0"/>
              <c:layout/>
              <c:tx>
                <c:rich>
                  <a:bodyPr/>
                  <a:lstStyle/>
                  <a:p>
                    <a:r>
                      <a:rPr lang="en-US"/>
                      <a:t>33.7, (59%)</a:t>
                    </a:r>
                  </a:p>
                </c:rich>
              </c:tx>
              <c:showLegendKey val="0"/>
              <c:showVal val="1"/>
              <c:showCatName val="0"/>
              <c:showSerName val="0"/>
              <c:showPercent val="1"/>
              <c:showBubbleSize val="0"/>
            </c:dLbl>
            <c:dLbl>
              <c:idx val="1"/>
              <c:layout/>
              <c:tx>
                <c:rich>
                  <a:bodyPr/>
                  <a:lstStyle/>
                  <a:p>
                    <a:r>
                      <a:rPr lang="en-US"/>
                      <a:t>3.0, (5%)</a:t>
                    </a:r>
                  </a:p>
                </c:rich>
              </c:tx>
              <c:showLegendKey val="0"/>
              <c:showVal val="1"/>
              <c:showCatName val="0"/>
              <c:showSerName val="0"/>
              <c:showPercent val="1"/>
              <c:showBubbleSize val="0"/>
            </c:dLbl>
            <c:dLbl>
              <c:idx val="2"/>
              <c:layout/>
              <c:tx>
                <c:rich>
                  <a:bodyPr/>
                  <a:lstStyle/>
                  <a:p>
                    <a:r>
                      <a:rPr lang="en-US"/>
                      <a:t>6.8, (12%)</a:t>
                    </a:r>
                  </a:p>
                </c:rich>
              </c:tx>
              <c:showLegendKey val="0"/>
              <c:showVal val="1"/>
              <c:showCatName val="0"/>
              <c:showSerName val="0"/>
              <c:showPercent val="1"/>
              <c:showBubbleSize val="0"/>
            </c:dLbl>
            <c:dLbl>
              <c:idx val="3"/>
              <c:layout/>
              <c:tx>
                <c:rich>
                  <a:bodyPr/>
                  <a:lstStyle/>
                  <a:p>
                    <a:r>
                      <a:rPr lang="en-US"/>
                      <a:t>13.6, (24%)</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'1e Emissions by segment'!$L$6:$L$9</c:f>
              <c:strCache>
                <c:ptCount val="4"/>
                <c:pt idx="0">
                  <c:v>Stationary AC</c:v>
                </c:pt>
                <c:pt idx="1">
                  <c:v>Mobile AC</c:v>
                </c:pt>
                <c:pt idx="2">
                  <c:v>Domestic refrigeration</c:v>
                </c:pt>
                <c:pt idx="3">
                  <c:v>Refrigerated cold food chain</c:v>
                </c:pt>
              </c:strCache>
            </c:strRef>
          </c:cat>
          <c:val>
            <c:numRef>
              <c:f>'1e Emissions by segment'!$M$6:$M$9</c:f>
              <c:numCache>
                <c:formatCode>#,##0.0</c:formatCode>
                <c:ptCount val="4"/>
                <c:pt idx="0">
                  <c:v>33.67164406548599</c:v>
                </c:pt>
                <c:pt idx="1">
                  <c:v>3.03320996533403</c:v>
                </c:pt>
                <c:pt idx="2">
                  <c:v>6.830081758547895</c:v>
                </c:pt>
                <c:pt idx="3">
                  <c:v>13.60243993552591</c:v>
                </c:pt>
              </c:numCache>
            </c:numRef>
          </c:val>
        </c:ser>
        <c:ser>
          <c:idx val="0"/>
          <c:order val="0"/>
          <c:dLbls>
            <c:showLegendKey val="0"/>
            <c:showVal val="0"/>
            <c:showCatName val="0"/>
            <c:showSerName val="0"/>
            <c:showPercent val="1"/>
            <c:showBubbleSize val="0"/>
            <c:showLeaderLines val="1"/>
          </c:dLbls>
          <c:cat>
            <c:strRef>
              <c:f>'1e Emissions by segment'!$L$6:$L$9</c:f>
              <c:strCache>
                <c:ptCount val="4"/>
                <c:pt idx="0">
                  <c:v>Stationary AC</c:v>
                </c:pt>
                <c:pt idx="1">
                  <c:v>Mobile AC</c:v>
                </c:pt>
                <c:pt idx="2">
                  <c:v>Domestic refrigeration</c:v>
                </c:pt>
                <c:pt idx="3">
                  <c:v>Refrigerated cold food chain</c:v>
                </c:pt>
              </c:strCache>
            </c:strRef>
          </c:cat>
          <c:val>
            <c:numRef>
              <c:f>'1e Emissions by segment'!$T$6:$T$10</c:f>
              <c:numCache>
                <c:formatCode>#,##0</c:formatCode>
                <c:ptCount val="5"/>
                <c:pt idx="0">
                  <c:v>36844.9066780426</c:v>
                </c:pt>
                <c:pt idx="1">
                  <c:v>0.0</c:v>
                </c:pt>
                <c:pt idx="2">
                  <c:v>7473.758171940498</c:v>
                </c:pt>
                <c:pt idx="3">
                  <c:v>0.0</c:v>
                </c:pt>
                <c:pt idx="4">
                  <c:v>14656.86422797343</c:v>
                </c:pt>
              </c:numCache>
            </c:numRef>
          </c:val>
        </c:ser>
        <c:dLbls>
          <c:showLegendKey val="0"/>
          <c:showVal val="0"/>
          <c:showCatName val="0"/>
          <c:showSerName val="0"/>
          <c:showPercent val="1"/>
          <c:showBubbleSize val="0"/>
          <c:showLeaderLines val="1"/>
        </c:dLbls>
        <c:firstSliceAng val="0"/>
      </c:pieChart>
    </c:plotArea>
    <c:legend>
      <c:legendPos val="r"/>
      <c:legendEntry>
        <c:idx val="4"/>
        <c:delete val="1"/>
      </c:legendEntry>
      <c:layout/>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49031745718332"/>
          <c:y val="0.0886664170139924"/>
          <c:w val="0.539662523254621"/>
          <c:h val="0.778549856079177"/>
        </c:manualLayout>
      </c:layout>
      <c:pieChart>
        <c:varyColors val="1"/>
        <c:ser>
          <c:idx val="0"/>
          <c:order val="0"/>
          <c:explosion val="16"/>
          <c:dLbls>
            <c:dLbl>
              <c:idx val="0"/>
              <c:layout/>
              <c:tx>
                <c:rich>
                  <a:bodyPr/>
                  <a:lstStyle/>
                  <a:p>
                    <a:r>
                      <a:rPr lang="en-US"/>
                      <a:t>33.6, (25%)</a:t>
                    </a:r>
                  </a:p>
                </c:rich>
              </c:tx>
              <c:dLblPos val="outEnd"/>
              <c:showLegendKey val="0"/>
              <c:showVal val="1"/>
              <c:showCatName val="0"/>
              <c:showSerName val="0"/>
              <c:showPercent val="1"/>
              <c:showBubbleSize val="0"/>
            </c:dLbl>
            <c:dLbl>
              <c:idx val="1"/>
              <c:layout>
                <c:manualLayout>
                  <c:x val="0.0152905198776758"/>
                  <c:y val="0.0264725347452018"/>
                </c:manualLayout>
              </c:layout>
              <c:tx>
                <c:rich>
                  <a:bodyPr/>
                  <a:lstStyle/>
                  <a:p>
                    <a:r>
                      <a:rPr lang="en-US"/>
                      <a:t>15.2, </a:t>
                    </a:r>
                  </a:p>
                  <a:p>
                    <a:r>
                      <a:rPr lang="en-US"/>
                      <a:t>(11%)</a:t>
                    </a:r>
                  </a:p>
                </c:rich>
              </c:tx>
              <c:dLblPos val="bestFit"/>
              <c:showLegendKey val="0"/>
              <c:showVal val="1"/>
              <c:showCatName val="0"/>
              <c:showSerName val="0"/>
              <c:showPercent val="1"/>
              <c:showBubbleSize val="0"/>
            </c:dLbl>
            <c:dLbl>
              <c:idx val="2"/>
              <c:layout/>
              <c:tx>
                <c:rich>
                  <a:bodyPr/>
                  <a:lstStyle/>
                  <a:p>
                    <a:r>
                      <a:rPr lang="en-US"/>
                      <a:t>47.2, (35%)</a:t>
                    </a:r>
                  </a:p>
                </c:rich>
              </c:tx>
              <c:dLblPos val="outEnd"/>
              <c:showLegendKey val="0"/>
              <c:showVal val="1"/>
              <c:showCatName val="0"/>
              <c:showSerName val="0"/>
              <c:showPercent val="1"/>
              <c:showBubbleSize val="0"/>
            </c:dLbl>
            <c:dLbl>
              <c:idx val="3"/>
              <c:layout>
                <c:manualLayout>
                  <c:x val="0.0"/>
                  <c:y val="-0.145588269010715"/>
                </c:manualLayout>
              </c:layout>
              <c:tx>
                <c:rich>
                  <a:bodyPr/>
                  <a:lstStyle/>
                  <a:p>
                    <a:r>
                      <a:rPr lang="en-US"/>
                      <a:t>19.1, </a:t>
                    </a:r>
                  </a:p>
                  <a:p>
                    <a:r>
                      <a:rPr lang="en-US"/>
                      <a:t>(14%)</a:t>
                    </a:r>
                  </a:p>
                </c:rich>
              </c:tx>
              <c:dLblPos val="bestFit"/>
              <c:showLegendKey val="0"/>
              <c:showVal val="1"/>
              <c:showCatName val="0"/>
              <c:showSerName val="0"/>
              <c:showPercent val="1"/>
              <c:showBubbleSize val="0"/>
            </c:dLbl>
            <c:dLbl>
              <c:idx val="4"/>
              <c:layout/>
              <c:tx>
                <c:rich>
                  <a:bodyPr/>
                  <a:lstStyle/>
                  <a:p>
                    <a:r>
                      <a:rPr lang="en-US"/>
                      <a:t>17.2, (13%)</a:t>
                    </a:r>
                  </a:p>
                </c:rich>
              </c:tx>
              <c:dLblPos val="outEnd"/>
              <c:showLegendKey val="0"/>
              <c:showVal val="1"/>
              <c:showCatName val="0"/>
              <c:showSerName val="0"/>
              <c:showPercent val="1"/>
              <c:showBubbleSize val="0"/>
            </c:dLbl>
            <c:dLbl>
              <c:idx val="5"/>
              <c:layout/>
              <c:tx>
                <c:rich>
                  <a:bodyPr/>
                  <a:lstStyle/>
                  <a:p>
                    <a:r>
                      <a:rPr lang="en-US"/>
                      <a:t>2.3, (2%)</a:t>
                    </a:r>
                  </a:p>
                </c:rich>
              </c:tx>
              <c:dLblPos val="outEnd"/>
              <c:showLegendKey val="0"/>
              <c:showVal val="1"/>
              <c:showCatName val="0"/>
              <c:showSerName val="0"/>
              <c:showPercent val="1"/>
              <c:showBubbleSize val="0"/>
            </c:dLbl>
            <c:dLblPos val="outEnd"/>
            <c:showLegendKey val="0"/>
            <c:showVal val="1"/>
            <c:showCatName val="0"/>
            <c:showSerName val="0"/>
            <c:showPercent val="1"/>
            <c:showBubbleSize val="0"/>
            <c:showLeaderLines val="0"/>
          </c:dLbls>
          <c:cat>
            <c:strRef>
              <c:f>'Summary Tables + Charts'!$A$67:$F$67</c:f>
              <c:strCache>
                <c:ptCount val="6"/>
                <c:pt idx="0">
                  <c:v>Stand Alone Offices</c:v>
                </c:pt>
                <c:pt idx="1">
                  <c:v>Hotels</c:v>
                </c:pt>
                <c:pt idx="2">
                  <c:v>Retail</c:v>
                </c:pt>
                <c:pt idx="3">
                  <c:v>Hospitals</c:v>
                </c:pt>
                <c:pt idx="4">
                  <c:v>Education</c:v>
                </c:pt>
                <c:pt idx="5">
                  <c:v>Public Buildings</c:v>
                </c:pt>
              </c:strCache>
            </c:strRef>
          </c:cat>
          <c:val>
            <c:numRef>
              <c:f>'Summary Tables + Charts'!$A$68:$F$68</c:f>
              <c:numCache>
                <c:formatCode>0.0</c:formatCode>
                <c:ptCount val="6"/>
                <c:pt idx="0">
                  <c:v>33.60808689652741</c:v>
                </c:pt>
                <c:pt idx="1">
                  <c:v>15.17803731929073</c:v>
                </c:pt>
                <c:pt idx="2">
                  <c:v>47.23010286169644</c:v>
                </c:pt>
                <c:pt idx="3">
                  <c:v>19.12690258679611</c:v>
                </c:pt>
                <c:pt idx="4">
                  <c:v>17.15284538221272</c:v>
                </c:pt>
                <c:pt idx="5">
                  <c:v>2.258355576279819</c:v>
                </c:pt>
              </c:numCache>
            </c:numRef>
          </c:val>
        </c:ser>
        <c:dLbls>
          <c:showLegendKey val="0"/>
          <c:showVal val="1"/>
          <c:showCatName val="0"/>
          <c:showSerName val="0"/>
          <c:showPercent val="0"/>
          <c:showBubbleSize val="0"/>
          <c:showLeaderLines val="0"/>
        </c:dLbls>
        <c:firstSliceAng val="0"/>
      </c:pieChart>
    </c:plotArea>
    <c:legend>
      <c:legendPos val="r"/>
      <c:layout>
        <c:manualLayout>
          <c:xMode val="edge"/>
          <c:yMode val="edge"/>
          <c:x val="0.753933480345722"/>
          <c:y val="0.123902529852369"/>
          <c:w val="0.227718063693703"/>
          <c:h val="0.743371408840067"/>
        </c:manualLayout>
      </c:layout>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156703506233"/>
          <c:y val="0.117672187528284"/>
          <c:w val="0.503176676906418"/>
          <c:h val="0.773851027242287"/>
        </c:manualLayout>
      </c:layout>
      <c:pieChart>
        <c:varyColors val="1"/>
        <c:ser>
          <c:idx val="0"/>
          <c:order val="0"/>
          <c:explosion val="25"/>
          <c:dLbls>
            <c:dLbl>
              <c:idx val="0"/>
              <c:layout/>
              <c:tx>
                <c:rich>
                  <a:bodyPr/>
                  <a:lstStyle/>
                  <a:p>
                    <a:r>
                      <a:rPr lang="en-US"/>
                      <a:t>38.1, (23%)</a:t>
                    </a:r>
                  </a:p>
                </c:rich>
              </c:tx>
              <c:dLblPos val="outEnd"/>
              <c:showLegendKey val="0"/>
              <c:showVal val="1"/>
              <c:showCatName val="0"/>
              <c:showSerName val="0"/>
              <c:showPercent val="1"/>
              <c:showBubbleSize val="0"/>
            </c:dLbl>
            <c:dLbl>
              <c:idx val="1"/>
              <c:layout/>
              <c:tx>
                <c:rich>
                  <a:bodyPr/>
                  <a:lstStyle/>
                  <a:p>
                    <a:r>
                      <a:rPr lang="en-US"/>
                      <a:t>20.4, </a:t>
                    </a:r>
                  </a:p>
                  <a:p>
                    <a:r>
                      <a:rPr lang="en-US"/>
                      <a:t>(12%)</a:t>
                    </a:r>
                  </a:p>
                </c:rich>
              </c:tx>
              <c:dLblPos val="outEnd"/>
              <c:showLegendKey val="0"/>
              <c:showVal val="1"/>
              <c:showCatName val="0"/>
              <c:showSerName val="0"/>
              <c:showPercent val="1"/>
              <c:showBubbleSize val="0"/>
            </c:dLbl>
            <c:dLbl>
              <c:idx val="2"/>
              <c:layout/>
              <c:tx>
                <c:rich>
                  <a:bodyPr/>
                  <a:lstStyle/>
                  <a:p>
                    <a:r>
                      <a:rPr lang="en-US"/>
                      <a:t>61.6, (36%)</a:t>
                    </a:r>
                  </a:p>
                </c:rich>
              </c:tx>
              <c:dLblPos val="outEnd"/>
              <c:showLegendKey val="0"/>
              <c:showVal val="1"/>
              <c:showCatName val="0"/>
              <c:showSerName val="0"/>
              <c:showPercent val="1"/>
              <c:showBubbleSize val="0"/>
            </c:dLbl>
            <c:dLbl>
              <c:idx val="3"/>
              <c:layout>
                <c:manualLayout>
                  <c:x val="0.0"/>
                  <c:y val="-0.124137931034483"/>
                </c:manualLayout>
              </c:layout>
              <c:tx>
                <c:rich>
                  <a:bodyPr/>
                  <a:lstStyle/>
                  <a:p>
                    <a:r>
                      <a:rPr lang="en-US"/>
                      <a:t>24.2, (14%)</a:t>
                    </a:r>
                  </a:p>
                </c:rich>
              </c:tx>
              <c:dLblPos val="bestFit"/>
              <c:showLegendKey val="0"/>
              <c:showVal val="1"/>
              <c:showCatName val="0"/>
              <c:showSerName val="0"/>
              <c:showPercent val="1"/>
              <c:showBubbleSize val="0"/>
            </c:dLbl>
            <c:dLbl>
              <c:idx val="4"/>
              <c:layout/>
              <c:tx>
                <c:rich>
                  <a:bodyPr/>
                  <a:lstStyle/>
                  <a:p>
                    <a:r>
                      <a:rPr lang="en-US"/>
                      <a:t>23.2, (14%)</a:t>
                    </a:r>
                  </a:p>
                </c:rich>
              </c:tx>
              <c:dLblPos val="outEnd"/>
              <c:showLegendKey val="0"/>
              <c:showVal val="1"/>
              <c:showCatName val="0"/>
              <c:showSerName val="0"/>
              <c:showPercent val="1"/>
              <c:showBubbleSize val="0"/>
            </c:dLbl>
            <c:dLbl>
              <c:idx val="5"/>
              <c:layout/>
              <c:tx>
                <c:rich>
                  <a:bodyPr/>
                  <a:lstStyle/>
                  <a:p>
                    <a:r>
                      <a:rPr lang="en-US"/>
                      <a:t>2.2, (1%)</a:t>
                    </a:r>
                  </a:p>
                </c:rich>
              </c:tx>
              <c:dLblPos val="outEnd"/>
              <c:showLegendKey val="0"/>
              <c:showVal val="1"/>
              <c:showCatName val="0"/>
              <c:showSerName val="0"/>
              <c:showPercent val="1"/>
              <c:showBubbleSize val="0"/>
            </c:dLbl>
            <c:dLblPos val="outEnd"/>
            <c:showLegendKey val="0"/>
            <c:showVal val="1"/>
            <c:showCatName val="0"/>
            <c:showSerName val="0"/>
            <c:showPercent val="1"/>
            <c:showBubbleSize val="0"/>
            <c:showLeaderLines val="0"/>
          </c:dLbls>
          <c:cat>
            <c:strRef>
              <c:f>'Summary Tables + Charts'!$A$83:$F$83</c:f>
              <c:strCache>
                <c:ptCount val="6"/>
                <c:pt idx="0">
                  <c:v>Stand Alone Offices</c:v>
                </c:pt>
                <c:pt idx="1">
                  <c:v>Hotels</c:v>
                </c:pt>
                <c:pt idx="2">
                  <c:v>Retail</c:v>
                </c:pt>
                <c:pt idx="3">
                  <c:v>Hospitals</c:v>
                </c:pt>
                <c:pt idx="4">
                  <c:v>Education</c:v>
                </c:pt>
                <c:pt idx="5">
                  <c:v>Public Buildings</c:v>
                </c:pt>
              </c:strCache>
            </c:strRef>
          </c:cat>
          <c:val>
            <c:numRef>
              <c:f>'Summary Tables + Charts'!$A$84:$F$84</c:f>
              <c:numCache>
                <c:formatCode>0.0</c:formatCode>
                <c:ptCount val="6"/>
                <c:pt idx="0">
                  <c:v>38.08218206775609</c:v>
                </c:pt>
                <c:pt idx="1">
                  <c:v>20.38783123909326</c:v>
                </c:pt>
                <c:pt idx="2">
                  <c:v>61.56588522259001</c:v>
                </c:pt>
                <c:pt idx="3">
                  <c:v>24.21455224267259</c:v>
                </c:pt>
                <c:pt idx="4">
                  <c:v>23.17953195675504</c:v>
                </c:pt>
                <c:pt idx="5">
                  <c:v>2.180335104908893</c:v>
                </c:pt>
              </c:numCache>
            </c:numRef>
          </c:val>
        </c:ser>
        <c:dLbls>
          <c:showLegendKey val="0"/>
          <c:showVal val="1"/>
          <c:showCatName val="0"/>
          <c:showSerName val="0"/>
          <c:showPercent val="0"/>
          <c:showBubbleSize val="0"/>
          <c:showLeaderLines val="0"/>
        </c:dLbls>
        <c:firstSliceAng val="0"/>
      </c:pieChart>
    </c:plotArea>
    <c:legend>
      <c:legendPos val="r"/>
      <c:layout>
        <c:manualLayout>
          <c:xMode val="edge"/>
          <c:yMode val="edge"/>
          <c:x val="0.739359511549579"/>
          <c:y val="0.149431079735723"/>
          <c:w val="0.242342327847808"/>
          <c:h val="0.737919449723957"/>
        </c:manualLayout>
      </c:layout>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Lbls>
            <c:dLblPos val="outEnd"/>
            <c:showLegendKey val="0"/>
            <c:showVal val="1"/>
            <c:showCatName val="0"/>
            <c:showSerName val="0"/>
            <c:showPercent val="0"/>
            <c:showBubbleSize val="0"/>
            <c:showLeaderLines val="1"/>
          </c:dLbls>
          <c:cat>
            <c:strRef>
              <c:f>'Offices - Enduse'!$D$82:$H$82</c:f>
              <c:strCache>
                <c:ptCount val="5"/>
                <c:pt idx="0">
                  <c:v>HVAC</c:v>
                </c:pt>
                <c:pt idx="1">
                  <c:v>Lighting</c:v>
                </c:pt>
                <c:pt idx="2">
                  <c:v>Total Equipment</c:v>
                </c:pt>
                <c:pt idx="3">
                  <c:v>Domestic hot water</c:v>
                </c:pt>
                <c:pt idx="4">
                  <c:v>Other electrical process</c:v>
                </c:pt>
              </c:strCache>
            </c:strRef>
          </c:cat>
          <c:val>
            <c:numRef>
              <c:f>'Offices - Enduse'!$D$83:$H$83</c:f>
              <c:numCache>
                <c:formatCode>0%</c:formatCode>
                <c:ptCount val="5"/>
                <c:pt idx="0">
                  <c:v>0.429713481095469</c:v>
                </c:pt>
                <c:pt idx="1">
                  <c:v>0.2571743797878</c:v>
                </c:pt>
                <c:pt idx="2">
                  <c:v>0.198281223043869</c:v>
                </c:pt>
                <c:pt idx="3">
                  <c:v>0.0187908310525387</c:v>
                </c:pt>
                <c:pt idx="4">
                  <c:v>0.0960400850203271</c:v>
                </c:pt>
              </c:numCache>
            </c:numRef>
          </c:val>
        </c:ser>
        <c:dLbls>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4"/>
          <c:order val="4"/>
          <c:dLbls>
            <c:dLbl>
              <c:idx val="0"/>
              <c:layout/>
              <c:tx>
                <c:rich>
                  <a:bodyPr/>
                  <a:lstStyle/>
                  <a:p>
                    <a:r>
                      <a:rPr lang="en-US"/>
                      <a:t>1,136, (27%)</a:t>
                    </a:r>
                  </a:p>
                </c:rich>
              </c:tx>
              <c:showLegendKey val="0"/>
              <c:showVal val="1"/>
              <c:showCatName val="0"/>
              <c:showSerName val="0"/>
              <c:showPercent val="1"/>
              <c:showBubbleSize val="0"/>
            </c:dLbl>
            <c:dLbl>
              <c:idx val="1"/>
              <c:layout/>
              <c:tx>
                <c:rich>
                  <a:bodyPr/>
                  <a:lstStyle/>
                  <a:p>
                    <a:r>
                      <a:rPr lang="en-US"/>
                      <a:t>1,356, (33%)</a:t>
                    </a:r>
                  </a:p>
                </c:rich>
              </c:tx>
              <c:showLegendKey val="0"/>
              <c:showVal val="1"/>
              <c:showCatName val="0"/>
              <c:showSerName val="0"/>
              <c:showPercent val="1"/>
              <c:showBubbleSize val="0"/>
            </c:dLbl>
            <c:dLbl>
              <c:idx val="2"/>
              <c:layout/>
              <c:tx>
                <c:rich>
                  <a:bodyPr/>
                  <a:lstStyle/>
                  <a:p>
                    <a:r>
                      <a:rPr lang="en-US"/>
                      <a:t>29, (1%)</a:t>
                    </a:r>
                  </a:p>
                </c:rich>
              </c:tx>
              <c:showLegendKey val="0"/>
              <c:showVal val="1"/>
              <c:showCatName val="0"/>
              <c:showSerName val="0"/>
              <c:showPercent val="1"/>
              <c:showBubbleSize val="0"/>
            </c:dLbl>
            <c:dLbl>
              <c:idx val="3"/>
              <c:layout/>
              <c:tx>
                <c:rich>
                  <a:bodyPr/>
                  <a:lstStyle/>
                  <a:p>
                    <a:r>
                      <a:rPr lang="en-US"/>
                      <a:t>1,589, (39%)</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'1f Bank by equipment segment'!$AF$72:$AF$75</c:f>
              <c:strCache>
                <c:ptCount val="4"/>
                <c:pt idx="0">
                  <c:v>Stationary AC</c:v>
                </c:pt>
                <c:pt idx="1">
                  <c:v>Mobile AC</c:v>
                </c:pt>
                <c:pt idx="2">
                  <c:v>Domestic refrigeration</c:v>
                </c:pt>
                <c:pt idx="3">
                  <c:v>Refrigerated cold food chain</c:v>
                </c:pt>
              </c:strCache>
            </c:strRef>
          </c:cat>
          <c:val>
            <c:numRef>
              <c:f>'1f Bank by equipment segment'!$AH$72:$AH$75</c:f>
              <c:numCache>
                <c:formatCode>#,##0</c:formatCode>
                <c:ptCount val="4"/>
                <c:pt idx="0">
                  <c:v>1136.309732624534</c:v>
                </c:pt>
                <c:pt idx="1">
                  <c:v>1356.463089921318</c:v>
                </c:pt>
                <c:pt idx="2">
                  <c:v>28.65953350599078</c:v>
                </c:pt>
                <c:pt idx="3">
                  <c:v>1588.916572813365</c:v>
                </c:pt>
              </c:numCache>
            </c:numRef>
          </c:val>
        </c:ser>
        <c:ser>
          <c:idx val="5"/>
          <c:order val="5"/>
          <c:cat>
            <c:strRef>
              <c:f>'1f Bank by equipment segment'!$AF$72:$AF$75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6"/>
          <c:order val="6"/>
          <c:cat>
            <c:strRef>
              <c:f>'1f Bank by equipment segment'!$AF$72:$AF$75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7"/>
          <c:order val="7"/>
          <c:cat>
            <c:strRef>
              <c:f>'1f Bank by equipment segment'!$AF$72:$AF$75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2"/>
          <c:order val="2"/>
          <c:cat>
            <c:strRef>
              <c:f>'1f Bank by equipment segment'!$AF$72:$AF$75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3"/>
          <c:order val="3"/>
          <c:cat>
            <c:strRef>
              <c:f>'1f Bank by equipment segment'!$AF$72:$AF$75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1"/>
          <c:order val="1"/>
          <c:cat>
            <c:strRef>
              <c:f>'1f Bank by equipment segment'!$AF$72:$AF$75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0"/>
          <c:order val="0"/>
          <c:dLbls>
            <c:showLegendKey val="0"/>
            <c:showVal val="0"/>
            <c:showCatName val="0"/>
            <c:showSerName val="0"/>
            <c:showPercent val="1"/>
            <c:showBubbleSize val="0"/>
            <c:showLeaderLines val="1"/>
          </c:dLbls>
          <c:cat>
            <c:strRef>
              <c:f>'1f Bank by equipment segment'!$AF$72:$AF$75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4"/>
          <c:order val="4"/>
          <c:dLbls>
            <c:dLbl>
              <c:idx val="0"/>
              <c:layout/>
              <c:tx>
                <c:rich>
                  <a:bodyPr/>
                  <a:lstStyle/>
                  <a:p>
                    <a:r>
                      <a:rPr lang="en-US"/>
                      <a:t>1,177, (90%)</a:t>
                    </a:r>
                  </a:p>
                </c:rich>
              </c:tx>
              <c:showLegendKey val="0"/>
              <c:showVal val="1"/>
              <c:showCatName val="0"/>
              <c:showSerName val="0"/>
              <c:showPercent val="1"/>
              <c:showBubbleSize val="0"/>
            </c:dLbl>
            <c:dLbl>
              <c:idx val="1"/>
              <c:layout/>
              <c:tx>
                <c:rich>
                  <a:bodyPr/>
                  <a:lstStyle/>
                  <a:p>
                    <a:r>
                      <a:rPr lang="en-US"/>
                      <a:t>7, (1%)</a:t>
                    </a:r>
                  </a:p>
                </c:rich>
              </c:tx>
              <c:showLegendKey val="0"/>
              <c:showVal val="1"/>
              <c:showCatName val="0"/>
              <c:showSerName val="0"/>
              <c:showPercent val="1"/>
              <c:showBubbleSize val="0"/>
            </c:dLbl>
            <c:dLbl>
              <c:idx val="2"/>
              <c:delete val="1"/>
            </c:dLbl>
            <c:dLbl>
              <c:idx val="3"/>
              <c:layout/>
              <c:tx>
                <c:rich>
                  <a:bodyPr/>
                  <a:lstStyle/>
                  <a:p>
                    <a:r>
                      <a:rPr lang="en-US"/>
                      <a:t>119, (9%)</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'1f Bank by equipment segment'!$AF$72:$AF$75</c:f>
              <c:strCache>
                <c:ptCount val="4"/>
                <c:pt idx="0">
                  <c:v>Stationary AC</c:v>
                </c:pt>
                <c:pt idx="1">
                  <c:v>Mobile AC</c:v>
                </c:pt>
                <c:pt idx="2">
                  <c:v>Domestic refrigeration</c:v>
                </c:pt>
                <c:pt idx="3">
                  <c:v>Refrigerated cold food chain</c:v>
                </c:pt>
              </c:strCache>
            </c:strRef>
          </c:cat>
          <c:val>
            <c:numRef>
              <c:f>'1f Bank by equipment segment'!$AG$72:$AG$75</c:f>
              <c:numCache>
                <c:formatCode>#,##0</c:formatCode>
                <c:ptCount val="4"/>
                <c:pt idx="0">
                  <c:v>1177.00370535968</c:v>
                </c:pt>
                <c:pt idx="1">
                  <c:v>7.491149999999998</c:v>
                </c:pt>
                <c:pt idx="2">
                  <c:v>0.0</c:v>
                </c:pt>
                <c:pt idx="3">
                  <c:v>118.592586769156</c:v>
                </c:pt>
              </c:numCache>
            </c:numRef>
          </c:val>
        </c:ser>
        <c:ser>
          <c:idx val="5"/>
          <c:order val="5"/>
          <c:cat>
            <c:strRef>
              <c:f>'1f Bank by equipment segment'!$AF$72:$AF$75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6"/>
          <c:order val="6"/>
          <c:cat>
            <c:strRef>
              <c:f>'1f Bank by equipment segment'!$AF$72:$AF$75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7"/>
          <c:order val="7"/>
          <c:cat>
            <c:strRef>
              <c:f>'1f Bank by equipment segment'!$AF$72:$AF$75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2"/>
          <c:order val="2"/>
          <c:cat>
            <c:strRef>
              <c:f>'1f Bank by equipment segment'!$AF$72:$AF$75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3"/>
          <c:order val="3"/>
          <c:cat>
            <c:strRef>
              <c:f>'1f Bank by equipment segment'!$AF$72:$AF$75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1"/>
          <c:order val="1"/>
          <c:cat>
            <c:strRef>
              <c:f>'1f Bank by equipment segment'!$AF$72:$AF$75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0"/>
          <c:order val="0"/>
          <c:dLbls>
            <c:showLegendKey val="0"/>
            <c:showVal val="0"/>
            <c:showCatName val="0"/>
            <c:showSerName val="0"/>
            <c:showPercent val="1"/>
            <c:showBubbleSize val="0"/>
            <c:showLeaderLines val="1"/>
          </c:dLbls>
          <c:cat>
            <c:strRef>
              <c:f>'1f Bank by equipment segment'!$AF$72:$AF$75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'1e Emissions by segment'!$M$5</c:f>
              <c:strCache>
                <c:ptCount val="1"/>
                <c:pt idx="0">
                  <c:v>Indirect</c:v>
                </c:pt>
              </c:strCache>
            </c:strRef>
          </c:tx>
          <c:invertIfNegative val="0"/>
          <c:cat>
            <c:strRef>
              <c:f>'1e Emissions by segment'!$L$6:$L$9</c:f>
              <c:strCache>
                <c:ptCount val="4"/>
                <c:pt idx="0">
                  <c:v>Stationary AC</c:v>
                </c:pt>
                <c:pt idx="1">
                  <c:v>Mobile AC</c:v>
                </c:pt>
                <c:pt idx="2">
                  <c:v>Domestic refrigeration</c:v>
                </c:pt>
                <c:pt idx="3">
                  <c:v>Refrigerated cold food chain</c:v>
                </c:pt>
              </c:strCache>
            </c:strRef>
          </c:cat>
          <c:val>
            <c:numRef>
              <c:f>'1e Emissions by segment'!$M$6:$M$9</c:f>
              <c:numCache>
                <c:formatCode>#,##0.0</c:formatCode>
                <c:ptCount val="4"/>
                <c:pt idx="0">
                  <c:v>33.67164406548599</c:v>
                </c:pt>
                <c:pt idx="1">
                  <c:v>3.03320996533403</c:v>
                </c:pt>
                <c:pt idx="2">
                  <c:v>6.830081758547895</c:v>
                </c:pt>
                <c:pt idx="3">
                  <c:v>13.60243993552591</c:v>
                </c:pt>
              </c:numCache>
            </c:numRef>
          </c:val>
        </c:ser>
        <c:ser>
          <c:idx val="1"/>
          <c:order val="1"/>
          <c:tx>
            <c:strRef>
              <c:f>'1e Emissions by segment'!$N$5</c:f>
              <c:strCache>
                <c:ptCount val="1"/>
                <c:pt idx="0">
                  <c:v>Direct</c:v>
                </c:pt>
              </c:strCache>
            </c:strRef>
          </c:tx>
          <c:invertIfNegative val="0"/>
          <c:cat>
            <c:strRef>
              <c:f>'1e Emissions by segment'!$L$6:$L$9</c:f>
              <c:strCache>
                <c:ptCount val="4"/>
                <c:pt idx="0">
                  <c:v>Stationary AC</c:v>
                </c:pt>
                <c:pt idx="1">
                  <c:v>Mobile AC</c:v>
                </c:pt>
                <c:pt idx="2">
                  <c:v>Domestic refrigeration</c:v>
                </c:pt>
                <c:pt idx="3">
                  <c:v>Refrigerated cold food chain</c:v>
                </c:pt>
              </c:strCache>
            </c:strRef>
          </c:cat>
          <c:val>
            <c:numRef>
              <c:f>'1e Emissions by segment'!$N$6:$N$9</c:f>
              <c:numCache>
                <c:formatCode>#,##0.0</c:formatCode>
                <c:ptCount val="4"/>
                <c:pt idx="0">
                  <c:v>2.313313437984214</c:v>
                </c:pt>
                <c:pt idx="1">
                  <c:v>1.363954239921318</c:v>
                </c:pt>
                <c:pt idx="2">
                  <c:v>0.0286595335059908</c:v>
                </c:pt>
                <c:pt idx="3" formatCode="#,##0.00">
                  <c:v>1.707509159582521</c:v>
                </c:pt>
              </c:numCache>
            </c:numRef>
          </c:val>
        </c:ser>
        <c:dLbls>
          <c:showLegendKey val="0"/>
          <c:showVal val="0"/>
          <c:showCatName val="0"/>
          <c:showSerName val="0"/>
          <c:showPercent val="0"/>
          <c:showBubbleSize val="0"/>
        </c:dLbls>
        <c:gapWidth val="75"/>
        <c:overlap val="100"/>
        <c:axId val="-2091114008"/>
        <c:axId val="-2091111064"/>
      </c:barChart>
      <c:catAx>
        <c:axId val="-2091114008"/>
        <c:scaling>
          <c:orientation val="minMax"/>
        </c:scaling>
        <c:delete val="0"/>
        <c:axPos val="b"/>
        <c:majorTickMark val="out"/>
        <c:minorTickMark val="none"/>
        <c:tickLblPos val="nextTo"/>
        <c:crossAx val="-2091111064"/>
        <c:crosses val="autoZero"/>
        <c:auto val="1"/>
        <c:lblAlgn val="ctr"/>
        <c:lblOffset val="100"/>
        <c:noMultiLvlLbl val="0"/>
      </c:catAx>
      <c:valAx>
        <c:axId val="-2091111064"/>
        <c:scaling>
          <c:orientation val="minMax"/>
        </c:scaling>
        <c:delete val="0"/>
        <c:axPos val="l"/>
        <c:majorGridlines/>
        <c:title>
          <c:tx>
            <c:rich>
              <a:bodyPr rot="-5400000" vert="horz"/>
              <a:lstStyle/>
              <a:p>
                <a:pPr>
                  <a:defRPr sz="800" b="1"/>
                </a:pPr>
                <a:r>
                  <a:rPr lang="en-US" sz="800" b="1"/>
                  <a:t>Emissions</a:t>
                </a:r>
                <a:r>
                  <a:rPr lang="en-US" sz="800" b="1" baseline="0"/>
                  <a:t> (Mt CO2-e)</a:t>
                </a:r>
                <a:endParaRPr lang="en-US" sz="800" b="1"/>
              </a:p>
            </c:rich>
          </c:tx>
          <c:layout/>
          <c:overlay val="0"/>
        </c:title>
        <c:numFmt formatCode="#,##0.0" sourceLinked="1"/>
        <c:majorTickMark val="out"/>
        <c:minorTickMark val="none"/>
        <c:tickLblPos val="nextTo"/>
        <c:crossAx val="-2091114008"/>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Lbls>
            <c:showLegendKey val="0"/>
            <c:showVal val="0"/>
            <c:showCatName val="0"/>
            <c:showSerName val="0"/>
            <c:showPercent val="1"/>
            <c:showBubbleSize val="0"/>
            <c:showLeaderLines val="1"/>
          </c:dLbls>
          <c:cat>
            <c:strRef>
              <c:f>'1e Emissions by segment'!$L$6:$L$9</c:f>
              <c:strCache>
                <c:ptCount val="4"/>
                <c:pt idx="0">
                  <c:v>Stationary AC</c:v>
                </c:pt>
                <c:pt idx="1">
                  <c:v>Mobile AC</c:v>
                </c:pt>
                <c:pt idx="2">
                  <c:v>Domestic refrigeration</c:v>
                </c:pt>
                <c:pt idx="3">
                  <c:v>Refrigerated cold food chain</c:v>
                </c:pt>
              </c:strCache>
            </c:strRef>
          </c:cat>
          <c:val>
            <c:numRef>
              <c:f>'1e Emissions by segment'!$O$6:$O$9</c:f>
              <c:numCache>
                <c:formatCode>#,##0.0</c:formatCode>
                <c:ptCount val="4"/>
                <c:pt idx="0">
                  <c:v>1.596358038352307</c:v>
                </c:pt>
                <c:pt idx="1">
                  <c:v>0.285102770480705</c:v>
                </c:pt>
                <c:pt idx="2">
                  <c:v>0.126011871729822</c:v>
                </c:pt>
                <c:pt idx="3">
                  <c:v>0.699928965001454</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Lbls>
            <c:dLbl>
              <c:idx val="1"/>
              <c:delete val="1"/>
            </c:dLbl>
            <c:dLbl>
              <c:idx val="6"/>
              <c:delete val="1"/>
            </c:dLbl>
            <c:showLegendKey val="0"/>
            <c:showVal val="0"/>
            <c:showCatName val="0"/>
            <c:showSerName val="0"/>
            <c:showPercent val="1"/>
            <c:showBubbleSize val="0"/>
            <c:showLeaderLines val="1"/>
          </c:dLbls>
          <c:cat>
            <c:strRef>
              <c:f>'1f Bank by equipment segment'!$B$61:$B$67</c:f>
              <c:strCache>
                <c:ptCount val="7"/>
                <c:pt idx="0">
                  <c:v>HCFC-22</c:v>
                </c:pt>
                <c:pt idx="1">
                  <c:v>HCFC Mix</c:v>
                </c:pt>
                <c:pt idx="2">
                  <c:v>HFC-134a</c:v>
                </c:pt>
                <c:pt idx="3">
                  <c:v>HFC-404A</c:v>
                </c:pt>
                <c:pt idx="4">
                  <c:v>HFC-407C</c:v>
                </c:pt>
                <c:pt idx="5">
                  <c:v>HFC-410A</c:v>
                </c:pt>
                <c:pt idx="6">
                  <c:v>HFC-Mix</c:v>
                </c:pt>
              </c:strCache>
            </c:strRef>
          </c:cat>
          <c:val>
            <c:numRef>
              <c:f>'1f Bank by equipment segment'!$C$61:$C$67</c:f>
              <c:numCache>
                <c:formatCode>#,##0</c:formatCode>
                <c:ptCount val="7"/>
                <c:pt idx="0">
                  <c:v>11227.3050263152</c:v>
                </c:pt>
                <c:pt idx="1">
                  <c:v>200.854</c:v>
                </c:pt>
                <c:pt idx="2">
                  <c:v>13431.50213525011</c:v>
                </c:pt>
                <c:pt idx="3">
                  <c:v>3305.534495955771</c:v>
                </c:pt>
                <c:pt idx="4">
                  <c:v>1016.820742135784</c:v>
                </c:pt>
                <c:pt idx="5">
                  <c:v>14340.75874013964</c:v>
                </c:pt>
                <c:pt idx="6">
                  <c:v>0.0</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Lbls>
            <c:dLblPos val="outEnd"/>
            <c:showLegendKey val="0"/>
            <c:showVal val="1"/>
            <c:showCatName val="0"/>
            <c:showSerName val="0"/>
            <c:showPercent val="0"/>
            <c:showBubbleSize val="0"/>
            <c:showLeaderLines val="1"/>
          </c:dLbls>
          <c:cat>
            <c:strRef>
              <c:f>'Hospitals - Enduse'!$D$14:$H$14</c:f>
              <c:strCache>
                <c:ptCount val="5"/>
                <c:pt idx="0">
                  <c:v>HVAC</c:v>
                </c:pt>
                <c:pt idx="1">
                  <c:v>Lighting</c:v>
                </c:pt>
                <c:pt idx="2">
                  <c:v>Total Equipment</c:v>
                </c:pt>
                <c:pt idx="3">
                  <c:v>Domestic Hot Water</c:v>
                </c:pt>
                <c:pt idx="4">
                  <c:v>Other electrical process</c:v>
                </c:pt>
              </c:strCache>
            </c:strRef>
          </c:cat>
          <c:val>
            <c:numRef>
              <c:f>'Hospitals - Enduse'!$D$15:$H$15</c:f>
              <c:numCache>
                <c:formatCode>0%</c:formatCode>
                <c:ptCount val="5"/>
                <c:pt idx="0">
                  <c:v>0.465984531648375</c:v>
                </c:pt>
                <c:pt idx="1">
                  <c:v>0.174023930603756</c:v>
                </c:pt>
                <c:pt idx="2">
                  <c:v>0.071485084477402</c:v>
                </c:pt>
                <c:pt idx="3">
                  <c:v>0.0159242551639075</c:v>
                </c:pt>
                <c:pt idx="4">
                  <c:v>0.272582198106565</c:v>
                </c:pt>
              </c:numCache>
            </c:numRef>
          </c:val>
        </c:ser>
        <c:dLbls>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Lbls>
            <c:dLblPos val="outEnd"/>
            <c:showLegendKey val="0"/>
            <c:showVal val="1"/>
            <c:showCatName val="0"/>
            <c:showSerName val="0"/>
            <c:showPercent val="0"/>
            <c:showBubbleSize val="0"/>
            <c:showLeaderLines val="1"/>
          </c:dLbls>
          <c:cat>
            <c:strRef>
              <c:f>'Hospitals - Enduse'!$I$14:$M$14</c:f>
              <c:strCache>
                <c:ptCount val="5"/>
                <c:pt idx="0">
                  <c:v>Space Heating</c:v>
                </c:pt>
                <c:pt idx="1">
                  <c:v>Domestic Hot Water</c:v>
                </c:pt>
                <c:pt idx="2">
                  <c:v>Pool heating</c:v>
                </c:pt>
                <c:pt idx="3">
                  <c:v>Sterilisation equipment</c:v>
                </c:pt>
                <c:pt idx="4">
                  <c:v>Other gas use</c:v>
                </c:pt>
              </c:strCache>
            </c:strRef>
          </c:cat>
          <c:val>
            <c:numRef>
              <c:f>'Hospitals - Enduse'!$I$15:$M$15</c:f>
              <c:numCache>
                <c:formatCode>0%</c:formatCode>
                <c:ptCount val="5"/>
                <c:pt idx="0">
                  <c:v>0.324389532614065</c:v>
                </c:pt>
                <c:pt idx="1">
                  <c:v>0.11544205679851</c:v>
                </c:pt>
                <c:pt idx="2">
                  <c:v>0.0337986260479752</c:v>
                </c:pt>
                <c:pt idx="3">
                  <c:v>0.0628426976873743</c:v>
                </c:pt>
                <c:pt idx="4">
                  <c:v>0.463527086852089</c:v>
                </c:pt>
              </c:numCache>
            </c:numRef>
          </c:val>
        </c:ser>
        <c:dLbls>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8"/>
          <c:order val="8"/>
          <c:dLbls>
            <c:showLegendKey val="0"/>
            <c:showVal val="0"/>
            <c:showCatName val="0"/>
            <c:showSerName val="0"/>
            <c:showPercent val="1"/>
            <c:showBubbleSize val="0"/>
            <c:showLeaderLines val="1"/>
          </c:dLbls>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9"/>
          <c:order val="9"/>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10"/>
          <c:order val="10"/>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11"/>
          <c:order val="11"/>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12"/>
          <c:order val="12"/>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13"/>
          <c:order val="13"/>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14"/>
          <c:order val="14"/>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15"/>
          <c:order val="15"/>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4"/>
          <c:order val="4"/>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5"/>
          <c:order val="5"/>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6"/>
          <c:order val="6"/>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7"/>
          <c:order val="7"/>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2"/>
          <c:order val="2"/>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3"/>
          <c:order val="3"/>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1"/>
          <c:order val="1"/>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0"/>
          <c:order val="0"/>
          <c:dLbls>
            <c:showLegendKey val="0"/>
            <c:showVal val="0"/>
            <c:showCatName val="0"/>
            <c:showSerName val="0"/>
            <c:showPercent val="1"/>
            <c:showBubbleSize val="0"/>
            <c:showLeaderLines val="1"/>
          </c:dLbls>
          <c:cat>
            <c:strRef>
              <c:f>'1f Bank by equipment segment'!$B$72:$B$75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'2a HFC Bulk imports'!$F$20</c:f>
              <c:strCache>
                <c:ptCount val="1"/>
                <c:pt idx="0">
                  <c:v>2012</c:v>
                </c:pt>
              </c:strCache>
            </c:strRef>
          </c:tx>
          <c:dLbls>
            <c:dLbl>
              <c:idx val="6"/>
              <c:delete val="1"/>
            </c:dLbl>
            <c:showLegendKey val="0"/>
            <c:showVal val="0"/>
            <c:showCatName val="0"/>
            <c:showSerName val="0"/>
            <c:showPercent val="1"/>
            <c:showBubbleSize val="0"/>
            <c:showLeaderLines val="1"/>
          </c:dLbls>
          <c:cat>
            <c:strRef>
              <c:f>'2a HFC Bulk imports'!$B$21:$B$27</c:f>
              <c:strCache>
                <c:ptCount val="7"/>
                <c:pt idx="0">
                  <c:v>HFC-134a</c:v>
                </c:pt>
                <c:pt idx="1">
                  <c:v>HFC-404A</c:v>
                </c:pt>
                <c:pt idx="2">
                  <c:v>HFC-407C</c:v>
                </c:pt>
                <c:pt idx="3">
                  <c:v>HFC-407F</c:v>
                </c:pt>
                <c:pt idx="4">
                  <c:v>HFC-410A</c:v>
                </c:pt>
                <c:pt idx="5">
                  <c:v>HFC-Mix</c:v>
                </c:pt>
                <c:pt idx="6">
                  <c:v>Exotic</c:v>
                </c:pt>
              </c:strCache>
            </c:strRef>
          </c:cat>
          <c:val>
            <c:numRef>
              <c:f>'2a HFC Bulk imports'!$F$21:$F$27</c:f>
              <c:numCache>
                <c:formatCode>0</c:formatCode>
                <c:ptCount val="7"/>
                <c:pt idx="0">
                  <c:v>4185.441699999998</c:v>
                </c:pt>
                <c:pt idx="1">
                  <c:v>2154.7716</c:v>
                </c:pt>
                <c:pt idx="2">
                  <c:v>240.898</c:v>
                </c:pt>
                <c:pt idx="3">
                  <c:v>114.325</c:v>
                </c:pt>
                <c:pt idx="4">
                  <c:v>2064.9966</c:v>
                </c:pt>
                <c:pt idx="5">
                  <c:v>417.6220999999999</c:v>
                </c:pt>
                <c:pt idx="6">
                  <c:v>0.6557</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'2a HFC Bulk imports'!$T$106</c:f>
              <c:strCache>
                <c:ptCount val="1"/>
                <c:pt idx="0">
                  <c:v>HFC-134a</c:v>
                </c:pt>
              </c:strCache>
            </c:strRef>
          </c:tx>
          <c:invertIfNegative val="0"/>
          <c:cat>
            <c:numRef>
              <c:f>'2a HFC Bulk imports'!$U$105:$W$105</c:f>
              <c:numCache>
                <c:formatCode>General</c:formatCode>
                <c:ptCount val="3"/>
                <c:pt idx="0">
                  <c:v>2006.0</c:v>
                </c:pt>
                <c:pt idx="1">
                  <c:v>2010.0</c:v>
                </c:pt>
                <c:pt idx="2">
                  <c:v>2012.0</c:v>
                </c:pt>
              </c:numCache>
            </c:numRef>
          </c:cat>
          <c:val>
            <c:numRef>
              <c:f>'2a HFC Bulk imports'!$U$106:$W$106</c:f>
              <c:numCache>
                <c:formatCode>0</c:formatCode>
                <c:ptCount val="3"/>
                <c:pt idx="0">
                  <c:v>1640.469230769231</c:v>
                </c:pt>
                <c:pt idx="1">
                  <c:v>1650.0</c:v>
                </c:pt>
                <c:pt idx="2">
                  <c:v>1650.0</c:v>
                </c:pt>
              </c:numCache>
            </c:numRef>
          </c:val>
        </c:ser>
        <c:ser>
          <c:idx val="1"/>
          <c:order val="1"/>
          <c:tx>
            <c:strRef>
              <c:f>'2a HFC Bulk imports'!$T$107</c:f>
              <c:strCache>
                <c:ptCount val="1"/>
                <c:pt idx="0">
                  <c:v>HFC-404A</c:v>
                </c:pt>
              </c:strCache>
            </c:strRef>
          </c:tx>
          <c:invertIfNegative val="0"/>
          <c:cat>
            <c:numRef>
              <c:f>'2a HFC Bulk imports'!$U$105:$W$105</c:f>
              <c:numCache>
                <c:formatCode>General</c:formatCode>
                <c:ptCount val="3"/>
                <c:pt idx="0">
                  <c:v>2006.0</c:v>
                </c:pt>
                <c:pt idx="1">
                  <c:v>2010.0</c:v>
                </c:pt>
                <c:pt idx="2">
                  <c:v>2012.0</c:v>
                </c:pt>
              </c:numCache>
            </c:numRef>
          </c:cat>
          <c:val>
            <c:numRef>
              <c:f>'2a HFC Bulk imports'!$U$107:$W$107</c:f>
              <c:numCache>
                <c:formatCode>0</c:formatCode>
                <c:ptCount val="3"/>
                <c:pt idx="0">
                  <c:v>700.0</c:v>
                </c:pt>
                <c:pt idx="1">
                  <c:v>800.0</c:v>
                </c:pt>
                <c:pt idx="2">
                  <c:v>640.0</c:v>
                </c:pt>
              </c:numCache>
            </c:numRef>
          </c:val>
        </c:ser>
        <c:ser>
          <c:idx val="2"/>
          <c:order val="2"/>
          <c:tx>
            <c:strRef>
              <c:f>'2a HFC Bulk imports'!$T$108</c:f>
              <c:strCache>
                <c:ptCount val="1"/>
                <c:pt idx="0">
                  <c:v>HFC-407C</c:v>
                </c:pt>
              </c:strCache>
            </c:strRef>
          </c:tx>
          <c:invertIfNegative val="0"/>
          <c:cat>
            <c:numRef>
              <c:f>'2a HFC Bulk imports'!$U$105:$W$105</c:f>
              <c:numCache>
                <c:formatCode>General</c:formatCode>
                <c:ptCount val="3"/>
                <c:pt idx="0">
                  <c:v>2006.0</c:v>
                </c:pt>
                <c:pt idx="1">
                  <c:v>2010.0</c:v>
                </c:pt>
                <c:pt idx="2">
                  <c:v>2012.0</c:v>
                </c:pt>
              </c:numCache>
            </c:numRef>
          </c:cat>
          <c:val>
            <c:numRef>
              <c:f>'2a HFC Bulk imports'!$U$108:$W$108</c:f>
              <c:numCache>
                <c:formatCode>0</c:formatCode>
                <c:ptCount val="3"/>
                <c:pt idx="0">
                  <c:v>85.0</c:v>
                </c:pt>
                <c:pt idx="1">
                  <c:v>150.0</c:v>
                </c:pt>
                <c:pt idx="2">
                  <c:v>85.0</c:v>
                </c:pt>
              </c:numCache>
            </c:numRef>
          </c:val>
        </c:ser>
        <c:ser>
          <c:idx val="3"/>
          <c:order val="3"/>
          <c:tx>
            <c:strRef>
              <c:f>'2a HFC Bulk imports'!$T$109</c:f>
              <c:strCache>
                <c:ptCount val="1"/>
                <c:pt idx="0">
                  <c:v>HFC-407F</c:v>
                </c:pt>
              </c:strCache>
            </c:strRef>
          </c:tx>
          <c:invertIfNegative val="0"/>
          <c:dLbls>
            <c:delete val="1"/>
          </c:dLbls>
          <c:cat>
            <c:numRef>
              <c:f>'2a HFC Bulk imports'!$U$105:$W$105</c:f>
              <c:numCache>
                <c:formatCode>General</c:formatCode>
                <c:ptCount val="3"/>
                <c:pt idx="0">
                  <c:v>2006.0</c:v>
                </c:pt>
                <c:pt idx="1">
                  <c:v>2010.0</c:v>
                </c:pt>
                <c:pt idx="2">
                  <c:v>2012.0</c:v>
                </c:pt>
              </c:numCache>
            </c:numRef>
          </c:cat>
          <c:val>
            <c:numRef>
              <c:f>'2a HFC Bulk imports'!$U$109:$W$109</c:f>
              <c:numCache>
                <c:formatCode>0</c:formatCode>
                <c:ptCount val="3"/>
                <c:pt idx="0">
                  <c:v>0.0</c:v>
                </c:pt>
                <c:pt idx="1">
                  <c:v>0.0</c:v>
                </c:pt>
                <c:pt idx="2">
                  <c:v>50.0</c:v>
                </c:pt>
              </c:numCache>
            </c:numRef>
          </c:val>
        </c:ser>
        <c:ser>
          <c:idx val="4"/>
          <c:order val="4"/>
          <c:tx>
            <c:strRef>
              <c:f>'2a HFC Bulk imports'!$T$110</c:f>
              <c:strCache>
                <c:ptCount val="1"/>
                <c:pt idx="0">
                  <c:v>HFC-410A</c:v>
                </c:pt>
              </c:strCache>
            </c:strRef>
          </c:tx>
          <c:invertIfNegative val="0"/>
          <c:cat>
            <c:numRef>
              <c:f>'2a HFC Bulk imports'!$U$105:$W$105</c:f>
              <c:numCache>
                <c:formatCode>General</c:formatCode>
                <c:ptCount val="3"/>
                <c:pt idx="0">
                  <c:v>2006.0</c:v>
                </c:pt>
                <c:pt idx="1">
                  <c:v>2010.0</c:v>
                </c:pt>
                <c:pt idx="2">
                  <c:v>2012.0</c:v>
                </c:pt>
              </c:numCache>
            </c:numRef>
          </c:cat>
          <c:val>
            <c:numRef>
              <c:f>'2a HFC Bulk imports'!$U$110:$W$110</c:f>
              <c:numCache>
                <c:formatCode>0</c:formatCode>
                <c:ptCount val="3"/>
                <c:pt idx="0">
                  <c:v>130.0</c:v>
                </c:pt>
                <c:pt idx="1">
                  <c:v>510.0</c:v>
                </c:pt>
                <c:pt idx="2">
                  <c:v>700.0</c:v>
                </c:pt>
              </c:numCache>
            </c:numRef>
          </c:val>
        </c:ser>
        <c:ser>
          <c:idx val="5"/>
          <c:order val="5"/>
          <c:tx>
            <c:strRef>
              <c:f>'2a HFC Bulk imports'!$T$111</c:f>
              <c:strCache>
                <c:ptCount val="1"/>
                <c:pt idx="0">
                  <c:v>HFC-Mix</c:v>
                </c:pt>
              </c:strCache>
            </c:strRef>
          </c:tx>
          <c:invertIfNegative val="0"/>
          <c:cat>
            <c:numRef>
              <c:f>'2a HFC Bulk imports'!$U$105:$W$105</c:f>
              <c:numCache>
                <c:formatCode>General</c:formatCode>
                <c:ptCount val="3"/>
                <c:pt idx="0">
                  <c:v>2006.0</c:v>
                </c:pt>
                <c:pt idx="1">
                  <c:v>2010.0</c:v>
                </c:pt>
                <c:pt idx="2">
                  <c:v>2012.0</c:v>
                </c:pt>
              </c:numCache>
            </c:numRef>
          </c:cat>
          <c:val>
            <c:numRef>
              <c:f>'2a HFC Bulk imports'!$U$111:$W$111</c:f>
              <c:numCache>
                <c:formatCode>0</c:formatCode>
                <c:ptCount val="3"/>
                <c:pt idx="0">
                  <c:v>100.0</c:v>
                </c:pt>
                <c:pt idx="1">
                  <c:v>235.0</c:v>
                </c:pt>
                <c:pt idx="2">
                  <c:v>203.0</c:v>
                </c:pt>
              </c:numCache>
            </c:numRef>
          </c:val>
        </c:ser>
        <c:ser>
          <c:idx val="6"/>
          <c:order val="6"/>
          <c:tx>
            <c:strRef>
              <c:f>'2a HFC Bulk imports'!$T$112</c:f>
              <c:strCache>
                <c:ptCount val="1"/>
                <c:pt idx="0">
                  <c:v>Exotic</c:v>
                </c:pt>
              </c:strCache>
            </c:strRef>
          </c:tx>
          <c:invertIfNegative val="0"/>
          <c:dLbls>
            <c:delete val="1"/>
          </c:dLbls>
          <c:cat>
            <c:numRef>
              <c:f>'2a HFC Bulk imports'!$U$105:$W$105</c:f>
              <c:numCache>
                <c:formatCode>General</c:formatCode>
                <c:ptCount val="3"/>
                <c:pt idx="0">
                  <c:v>2006.0</c:v>
                </c:pt>
                <c:pt idx="1">
                  <c:v>2010.0</c:v>
                </c:pt>
                <c:pt idx="2">
                  <c:v>2012.0</c:v>
                </c:pt>
              </c:numCache>
            </c:numRef>
          </c:cat>
          <c:val>
            <c:numRef>
              <c:f>'2a HFC Bulk imports'!$U$112:$W$112</c:f>
              <c:numCache>
                <c:formatCode>0</c:formatCode>
                <c:ptCount val="3"/>
                <c:pt idx="0">
                  <c:v>10.0</c:v>
                </c:pt>
                <c:pt idx="1">
                  <c:v>2.0</c:v>
                </c:pt>
                <c:pt idx="2">
                  <c:v>1.0</c:v>
                </c:pt>
              </c:numCache>
            </c:numRef>
          </c:val>
        </c:ser>
        <c:dLbls>
          <c:showLegendKey val="0"/>
          <c:showVal val="1"/>
          <c:showCatName val="0"/>
          <c:showSerName val="0"/>
          <c:showPercent val="0"/>
          <c:showBubbleSize val="0"/>
        </c:dLbls>
        <c:gapWidth val="150"/>
        <c:overlap val="100"/>
        <c:axId val="-2066125400"/>
        <c:axId val="-2066122456"/>
      </c:barChart>
      <c:catAx>
        <c:axId val="-2066125400"/>
        <c:scaling>
          <c:orientation val="minMax"/>
        </c:scaling>
        <c:delete val="0"/>
        <c:axPos val="b"/>
        <c:numFmt formatCode="General" sourceLinked="1"/>
        <c:majorTickMark val="out"/>
        <c:minorTickMark val="none"/>
        <c:tickLblPos val="nextTo"/>
        <c:crossAx val="-2066122456"/>
        <c:crosses val="autoZero"/>
        <c:auto val="1"/>
        <c:lblAlgn val="ctr"/>
        <c:lblOffset val="100"/>
        <c:noMultiLvlLbl val="0"/>
      </c:catAx>
      <c:valAx>
        <c:axId val="-2066122456"/>
        <c:scaling>
          <c:orientation val="minMax"/>
          <c:max val="3500.0"/>
        </c:scaling>
        <c:delete val="0"/>
        <c:axPos val="l"/>
        <c:majorGridlines/>
        <c:title>
          <c:tx>
            <c:rich>
              <a:bodyPr rot="-5400000" vert="horz"/>
              <a:lstStyle/>
              <a:p>
                <a:pPr>
                  <a:defRPr/>
                </a:pPr>
                <a:r>
                  <a:rPr lang="en-US"/>
                  <a:t>Tonnes</a:t>
                </a:r>
              </a:p>
            </c:rich>
          </c:tx>
          <c:layout/>
          <c:overlay val="0"/>
        </c:title>
        <c:numFmt formatCode="#,##0" sourceLinked="0"/>
        <c:majorTickMark val="out"/>
        <c:minorTickMark val="none"/>
        <c:tickLblPos val="nextTo"/>
        <c:crossAx val="-2066125400"/>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4"/>
          <c:order val="4"/>
          <c:dLbls>
            <c:dLbl>
              <c:idx val="0"/>
              <c:layout/>
              <c:tx>
                <c:rich>
                  <a:bodyPr/>
                  <a:lstStyle/>
                  <a:p>
                    <a:r>
                      <a:rPr lang="en-US"/>
                      <a:t>1,470, (47%)</a:t>
                    </a:r>
                  </a:p>
                </c:rich>
              </c:tx>
              <c:showLegendKey val="0"/>
              <c:showVal val="1"/>
              <c:showCatName val="0"/>
              <c:showSerName val="0"/>
              <c:showPercent val="1"/>
              <c:showBubbleSize val="0"/>
            </c:dLbl>
            <c:dLbl>
              <c:idx val="1"/>
              <c:layout/>
              <c:tx>
                <c:rich>
                  <a:bodyPr/>
                  <a:lstStyle/>
                  <a:p>
                    <a:r>
                      <a:rPr lang="en-US"/>
                      <a:t>1,048, (33%)</a:t>
                    </a:r>
                  </a:p>
                </c:rich>
              </c:tx>
              <c:showLegendKey val="0"/>
              <c:showVal val="1"/>
              <c:showCatName val="0"/>
              <c:showSerName val="0"/>
              <c:showPercent val="1"/>
              <c:showBubbleSize val="0"/>
            </c:dLbl>
            <c:dLbl>
              <c:idx val="2"/>
              <c:layout/>
              <c:tx>
                <c:rich>
                  <a:bodyPr/>
                  <a:lstStyle/>
                  <a:p>
                    <a:r>
                      <a:rPr lang="en-US"/>
                      <a:t>22, (1%)</a:t>
                    </a:r>
                  </a:p>
                </c:rich>
              </c:tx>
              <c:showLegendKey val="0"/>
              <c:showVal val="1"/>
              <c:showCatName val="0"/>
              <c:showSerName val="0"/>
              <c:showPercent val="1"/>
              <c:showBubbleSize val="0"/>
            </c:dLbl>
            <c:dLbl>
              <c:idx val="3"/>
              <c:layout/>
              <c:tx>
                <c:rich>
                  <a:bodyPr/>
                  <a:lstStyle/>
                  <a:p>
                    <a:r>
                      <a:rPr lang="en-US"/>
                      <a:t>614, (19%)</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'1f Bank by equipment segment'!$U$72:$U$75</c:f>
              <c:strCache>
                <c:ptCount val="4"/>
                <c:pt idx="0">
                  <c:v>Stationary AC</c:v>
                </c:pt>
                <c:pt idx="1">
                  <c:v>Mobile AC</c:v>
                </c:pt>
                <c:pt idx="2">
                  <c:v>Domestic refrigeration</c:v>
                </c:pt>
                <c:pt idx="3">
                  <c:v>Refrigerated cold food chain</c:v>
                </c:pt>
              </c:strCache>
            </c:strRef>
          </c:cat>
          <c:val>
            <c:numRef>
              <c:f>'1f Bank by equipment segment'!$V$72:$V$75</c:f>
              <c:numCache>
                <c:formatCode>#,##0</c:formatCode>
                <c:ptCount val="4"/>
                <c:pt idx="0">
                  <c:v>1470.37697662891</c:v>
                </c:pt>
                <c:pt idx="1">
                  <c:v>1047.52086555486</c:v>
                </c:pt>
                <c:pt idx="2">
                  <c:v>22.04579500460829</c:v>
                </c:pt>
                <c:pt idx="3">
                  <c:v>613.8989490110268</c:v>
                </c:pt>
              </c:numCache>
            </c:numRef>
          </c:val>
        </c:ser>
        <c:ser>
          <c:idx val="5"/>
          <c:order val="5"/>
          <c:cat>
            <c:strRef>
              <c:f>'1f Bank by equipment segment'!$U$72:$U$75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6"/>
          <c:order val="6"/>
          <c:cat>
            <c:strRef>
              <c:f>'1f Bank by equipment segment'!$U$72:$U$75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7"/>
          <c:order val="7"/>
          <c:cat>
            <c:strRef>
              <c:f>'1f Bank by equipment segment'!$U$72:$U$75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2"/>
          <c:order val="2"/>
          <c:cat>
            <c:strRef>
              <c:f>'1f Bank by equipment segment'!$U$72:$U$75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3"/>
          <c:order val="3"/>
          <c:cat>
            <c:strRef>
              <c:f>'1f Bank by equipment segment'!$U$72:$U$75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1"/>
          <c:order val="1"/>
          <c:cat>
            <c:strRef>
              <c:f>'1f Bank by equipment segment'!$U$72:$U$75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ser>
          <c:idx val="0"/>
          <c:order val="0"/>
          <c:dLbls>
            <c:showLegendKey val="0"/>
            <c:showVal val="0"/>
            <c:showCatName val="0"/>
            <c:showSerName val="0"/>
            <c:showPercent val="1"/>
            <c:showBubbleSize val="0"/>
            <c:showLeaderLines val="1"/>
          </c:dLbls>
          <c:cat>
            <c:strRef>
              <c:f>'1f Bank by equipment segment'!$U$72:$U$75</c:f>
              <c:strCache>
                <c:ptCount val="4"/>
                <c:pt idx="0">
                  <c:v>Stationary AC</c:v>
                </c:pt>
                <c:pt idx="1">
                  <c:v>Mobile AC</c:v>
                </c:pt>
                <c:pt idx="2">
                  <c:v>Domestic refrigeration</c:v>
                </c:pt>
                <c:pt idx="3">
                  <c:v>Refrigerated cold food chain</c:v>
                </c:pt>
              </c:strCache>
            </c:strRef>
          </c:cat>
          <c:val>
            <c:numRef>
              <c:f>'1f Bank by equipment segment'!$C$72:$C$75</c:f>
              <c:numCache>
                <c:formatCode>#,##0</c:formatCode>
                <c:ptCount val="4"/>
                <c:pt idx="0">
                  <c:v>27217.97561962677</c:v>
                </c:pt>
                <c:pt idx="1">
                  <c:v>9101.738500969435</c:v>
                </c:pt>
                <c:pt idx="2">
                  <c:v>2204.579500460829</c:v>
                </c:pt>
                <c:pt idx="3">
                  <c:v>4998.481518739469</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invertIfNegative val="0"/>
          <c:dPt>
            <c:idx val="0"/>
            <c:invertIfNegative val="0"/>
            <c:bubble3D val="0"/>
            <c:spPr>
              <a:solidFill>
                <a:srgbClr val="008000"/>
              </a:solidFill>
            </c:spPr>
          </c:dPt>
          <c:dPt>
            <c:idx val="9"/>
            <c:invertIfNegative val="0"/>
            <c:bubble3D val="0"/>
            <c:spPr>
              <a:solidFill>
                <a:srgbClr val="008000"/>
              </a:solidFill>
            </c:spPr>
          </c:dPt>
          <c:dPt>
            <c:idx val="11"/>
            <c:invertIfNegative val="0"/>
            <c:bubble3D val="0"/>
            <c:spPr>
              <a:solidFill>
                <a:srgbClr val="008000"/>
              </a:solidFill>
            </c:spPr>
          </c:dPt>
          <c:dPt>
            <c:idx val="12"/>
            <c:invertIfNegative val="0"/>
            <c:bubble3D val="0"/>
            <c:spPr>
              <a:solidFill>
                <a:srgbClr val="008000"/>
              </a:solidFill>
            </c:spPr>
          </c:dPt>
          <c:dPt>
            <c:idx val="13"/>
            <c:invertIfNegative val="0"/>
            <c:bubble3D val="0"/>
            <c:spPr>
              <a:solidFill>
                <a:srgbClr val="008000"/>
              </a:solidFill>
            </c:spPr>
          </c:dPt>
          <c:dPt>
            <c:idx val="14"/>
            <c:invertIfNegative val="0"/>
            <c:bubble3D val="0"/>
            <c:spPr>
              <a:solidFill>
                <a:srgbClr val="008000"/>
              </a:solidFill>
            </c:spPr>
          </c:dPt>
          <c:dPt>
            <c:idx val="15"/>
            <c:invertIfNegative val="0"/>
            <c:bubble3D val="0"/>
            <c:spPr>
              <a:solidFill>
                <a:srgbClr val="008000"/>
              </a:solidFill>
            </c:spPr>
          </c:dPt>
          <c:dPt>
            <c:idx val="16"/>
            <c:invertIfNegative val="0"/>
            <c:bubble3D val="0"/>
            <c:spPr>
              <a:solidFill>
                <a:srgbClr val="008000"/>
              </a:solidFill>
            </c:spPr>
          </c:dPt>
          <c:dPt>
            <c:idx val="17"/>
            <c:invertIfNegative val="0"/>
            <c:bubble3D val="0"/>
            <c:spPr>
              <a:solidFill>
                <a:srgbClr val="008000"/>
              </a:solidFill>
            </c:spPr>
          </c:dPt>
          <c:cat>
            <c:strRef>
              <c:f>'PCE 2012'!$C$6:$C$49</c:f>
              <c:strCache>
                <c:ptCount val="44"/>
                <c:pt idx="0">
                  <c:v>Other</c:v>
                </c:pt>
                <c:pt idx="1">
                  <c:v>Portable fire extinguishers </c:v>
                </c:pt>
                <c:pt idx="2">
                  <c:v>Fixed fire systems and components</c:v>
                </c:pt>
                <c:pt idx="3">
                  <c:v>Medical, scientific, or electrical equipment</c:v>
                </c:pt>
                <c:pt idx="4">
                  <c:v>Components and parts for use in ODS equipment or SGG equipment</c:v>
                </c:pt>
                <c:pt idx="5">
                  <c:v>Electrical switchgear</c:v>
                </c:pt>
                <c:pt idx="6">
                  <c:v>Consumer goods</c:v>
                </c:pt>
                <c:pt idx="7">
                  <c:v>Novelty use and other aerosols</c:v>
                </c:pt>
                <c:pt idx="8">
                  <c:v>Metered dose inhalers</c:v>
                </c:pt>
                <c:pt idx="9">
                  <c:v>Industrial, safety or technical use aerosols</c:v>
                </c:pt>
                <c:pt idx="10">
                  <c:v>Food, household and personal use aerosols</c:v>
                </c:pt>
                <c:pt idx="11">
                  <c:v>Motor Vehicle, watercraft or aircraft Refrigeration</c:v>
                </c:pt>
                <c:pt idx="12">
                  <c:v>Domestic use Refrigeration</c:v>
                </c:pt>
                <c:pt idx="13">
                  <c:v>Commercial use Refrigeration</c:v>
                </c:pt>
                <c:pt idx="14">
                  <c:v>Commercial or domestic use heat pumps</c:v>
                </c:pt>
                <c:pt idx="15">
                  <c:v>Motor Vehicle, watercraft or aircraft air-conditioning</c:v>
                </c:pt>
                <c:pt idx="16">
                  <c:v>Domestic use air-conditioning</c:v>
                </c:pt>
                <c:pt idx="17">
                  <c:v>Commercial use air-conditioning</c:v>
                </c:pt>
                <c:pt idx="18">
                  <c:v>Vessel</c:v>
                </c:pt>
                <c:pt idx="19">
                  <c:v>Refrigeration - Other commercial Refrigeration equipment</c:v>
                </c:pt>
                <c:pt idx="20">
                  <c:v>Other</c:v>
                </c:pt>
                <c:pt idx="21">
                  <c:v>A/C - Vehicle - more than 3.5 tonnes gross Vehicle mass (GVM)</c:v>
                </c:pt>
                <c:pt idx="22">
                  <c:v>A/C - Vehicle - less than 3.5 tonnes gross Vehicle mass (GVM)</c:v>
                </c:pt>
                <c:pt idx="23">
                  <c:v>Scientific or medical equipment</c:v>
                </c:pt>
                <c:pt idx="24">
                  <c:v>Refrigeration - Vehicle Powered Truck Refrigerator</c:v>
                </c:pt>
                <c:pt idx="25">
                  <c:v>Refrigeration - Self Powered Truck or Trailer Refrigerator</c:v>
                </c:pt>
                <c:pt idx="26">
                  <c:v>Refrigeration - Commercial Portable Refrigerators</c:v>
                </c:pt>
                <c:pt idx="27">
                  <c:v>Refrigeration - Other</c:v>
                </c:pt>
                <c:pt idx="28">
                  <c:v>Refrigeration - Ice and Ice Cream Making Machines</c:v>
                </c:pt>
                <c:pt idx="29">
                  <c:v>Refrigeration - Post-mix drinks/vending machines and water coolers</c:v>
                </c:pt>
                <c:pt idx="30">
                  <c:v>Refrigeration - Domestic Refrigerators and Freezers</c:v>
                </c:pt>
                <c:pt idx="31">
                  <c:v>Refrigeration - Commercial Refrigerated Cabinets</c:v>
                </c:pt>
                <c:pt idx="32">
                  <c:v>Parts - Pre-charged compressors and other parts</c:v>
                </c:pt>
                <c:pt idx="33">
                  <c:v>Heat Pumps - other than split system A/C</c:v>
                </c:pt>
                <c:pt idx="34">
                  <c:v>Aircraft</c:v>
                </c:pt>
                <c:pt idx="35">
                  <c:v>A/C - Split system - Single head</c:v>
                </c:pt>
                <c:pt idx="36">
                  <c:v>A/C - Splt system - Multi head/variable reverse flow (vrf)</c:v>
                </c:pt>
                <c:pt idx="37">
                  <c:v>A/C - Refrigerated Portable</c:v>
                </c:pt>
                <c:pt idx="38">
                  <c:v>A/C - Packaged - Window</c:v>
                </c:pt>
                <c:pt idx="39">
                  <c:v>A/C - Packaged - Water Cooled</c:v>
                </c:pt>
                <c:pt idx="40">
                  <c:v>A/C - Packaged - Air Cooled</c:v>
                </c:pt>
                <c:pt idx="41">
                  <c:v>A/C - Other</c:v>
                </c:pt>
                <c:pt idx="42">
                  <c:v>A/C - Chillers - Low Pressure</c:v>
                </c:pt>
                <c:pt idx="43">
                  <c:v>A/C - Chillers - High Pressure</c:v>
                </c:pt>
              </c:strCache>
            </c:strRef>
          </c:cat>
          <c:val>
            <c:numRef>
              <c:f>'PCE 2012'!$D$6:$D$49</c:f>
              <c:numCache>
                <c:formatCode>0.0</c:formatCode>
                <c:ptCount val="44"/>
                <c:pt idx="0">
                  <c:v>8.819659</c:v>
                </c:pt>
                <c:pt idx="1">
                  <c:v>0.001731</c:v>
                </c:pt>
                <c:pt idx="2">
                  <c:v>1.239892</c:v>
                </c:pt>
                <c:pt idx="3">
                  <c:v>0.950224</c:v>
                </c:pt>
                <c:pt idx="4">
                  <c:v>0.875067</c:v>
                </c:pt>
                <c:pt idx="5">
                  <c:v>6.713469</c:v>
                </c:pt>
                <c:pt idx="6">
                  <c:v>3.126671</c:v>
                </c:pt>
                <c:pt idx="7">
                  <c:v>0.001</c:v>
                </c:pt>
                <c:pt idx="8">
                  <c:v>1.432936</c:v>
                </c:pt>
                <c:pt idx="9">
                  <c:v>9.4905</c:v>
                </c:pt>
                <c:pt idx="10">
                  <c:v>0.305083</c:v>
                </c:pt>
                <c:pt idx="11">
                  <c:v>40.206906</c:v>
                </c:pt>
                <c:pt idx="12">
                  <c:v>41.603847</c:v>
                </c:pt>
                <c:pt idx="13">
                  <c:v>29.4803</c:v>
                </c:pt>
                <c:pt idx="14">
                  <c:v>7.531277</c:v>
                </c:pt>
                <c:pt idx="15">
                  <c:v>271.4915079999986</c:v>
                </c:pt>
                <c:pt idx="16">
                  <c:v>782.208746</c:v>
                </c:pt>
                <c:pt idx="17">
                  <c:v>149.411491</c:v>
                </c:pt>
                <c:pt idx="18">
                  <c:v>2.377765</c:v>
                </c:pt>
                <c:pt idx="19">
                  <c:v>5.267500999999985</c:v>
                </c:pt>
                <c:pt idx="20">
                  <c:v>3.943145</c:v>
                </c:pt>
                <c:pt idx="21">
                  <c:v>34.905578</c:v>
                </c:pt>
                <c:pt idx="22">
                  <c:v>249.963232</c:v>
                </c:pt>
                <c:pt idx="23">
                  <c:v>0.140449</c:v>
                </c:pt>
                <c:pt idx="24">
                  <c:v>0.094066</c:v>
                </c:pt>
                <c:pt idx="25">
                  <c:v>3.691769</c:v>
                </c:pt>
                <c:pt idx="26">
                  <c:v>2.279512</c:v>
                </c:pt>
                <c:pt idx="27">
                  <c:v>12.761001</c:v>
                </c:pt>
                <c:pt idx="28">
                  <c:v>2.404043</c:v>
                </c:pt>
                <c:pt idx="29">
                  <c:v>1.44583</c:v>
                </c:pt>
                <c:pt idx="30">
                  <c:v>34.064967</c:v>
                </c:pt>
                <c:pt idx="31">
                  <c:v>15.151538</c:v>
                </c:pt>
                <c:pt idx="32">
                  <c:v>0.038701</c:v>
                </c:pt>
                <c:pt idx="33">
                  <c:v>10.480657</c:v>
                </c:pt>
                <c:pt idx="34">
                  <c:v>0.059654</c:v>
                </c:pt>
                <c:pt idx="35">
                  <c:v>605.621574</c:v>
                </c:pt>
                <c:pt idx="36">
                  <c:v>83.27256999999998</c:v>
                </c:pt>
                <c:pt idx="37">
                  <c:v>2.186837</c:v>
                </c:pt>
                <c:pt idx="38">
                  <c:v>28.476307</c:v>
                </c:pt>
                <c:pt idx="39">
                  <c:v>3.845292</c:v>
                </c:pt>
                <c:pt idx="40">
                  <c:v>13.377987</c:v>
                </c:pt>
                <c:pt idx="41">
                  <c:v>8.773809</c:v>
                </c:pt>
                <c:pt idx="42">
                  <c:v>35.116184</c:v>
                </c:pt>
                <c:pt idx="43">
                  <c:v>42.845944</c:v>
                </c:pt>
              </c:numCache>
            </c:numRef>
          </c:val>
        </c:ser>
        <c:dLbls>
          <c:showLegendKey val="0"/>
          <c:showVal val="0"/>
          <c:showCatName val="0"/>
          <c:showSerName val="0"/>
          <c:showPercent val="0"/>
          <c:showBubbleSize val="0"/>
        </c:dLbls>
        <c:gapWidth val="150"/>
        <c:axId val="-2066036552"/>
        <c:axId val="-2066033608"/>
      </c:barChart>
      <c:catAx>
        <c:axId val="-2066036552"/>
        <c:scaling>
          <c:orientation val="minMax"/>
        </c:scaling>
        <c:delete val="0"/>
        <c:axPos val="l"/>
        <c:majorTickMark val="out"/>
        <c:minorTickMark val="none"/>
        <c:tickLblPos val="nextTo"/>
        <c:txPr>
          <a:bodyPr/>
          <a:lstStyle/>
          <a:p>
            <a:pPr>
              <a:defRPr sz="800"/>
            </a:pPr>
            <a:endParaRPr lang="en-US"/>
          </a:p>
        </c:txPr>
        <c:crossAx val="-2066033608"/>
        <c:crosses val="autoZero"/>
        <c:auto val="1"/>
        <c:lblAlgn val="ctr"/>
        <c:lblOffset val="100"/>
        <c:noMultiLvlLbl val="0"/>
      </c:catAx>
      <c:valAx>
        <c:axId val="-2066033608"/>
        <c:scaling>
          <c:orientation val="minMax"/>
          <c:max val="800.0"/>
        </c:scaling>
        <c:delete val="0"/>
        <c:axPos val="b"/>
        <c:majorGridlines/>
        <c:numFmt formatCode="0" sourceLinked="0"/>
        <c:majorTickMark val="out"/>
        <c:minorTickMark val="none"/>
        <c:tickLblPos val="nextTo"/>
        <c:crossAx val="-2066036552"/>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dPt>
            <c:idx val="0"/>
            <c:bubble3D val="0"/>
            <c:spPr>
              <a:solidFill>
                <a:srgbClr val="008000"/>
              </a:solidFill>
            </c:spPr>
          </c:dPt>
          <c:dPt>
            <c:idx val="3"/>
            <c:bubble3D val="0"/>
            <c:spPr>
              <a:solidFill>
                <a:schemeClr val="tx2">
                  <a:lumMod val="40000"/>
                  <a:lumOff val="60000"/>
                </a:schemeClr>
              </a:solidFill>
            </c:spPr>
          </c:dPt>
          <c:dPt>
            <c:idx val="4"/>
            <c:bubble3D val="0"/>
            <c:spPr>
              <a:solidFill>
                <a:schemeClr val="accent6">
                  <a:lumMod val="75000"/>
                </a:schemeClr>
              </a:solidFill>
            </c:spPr>
          </c:dPt>
          <c:dPt>
            <c:idx val="5"/>
            <c:bubble3D val="0"/>
            <c:spPr>
              <a:solidFill>
                <a:schemeClr val="accent6">
                  <a:lumMod val="50000"/>
                </a:schemeClr>
              </a:solidFill>
            </c:spPr>
          </c:dPt>
          <c:dPt>
            <c:idx val="6"/>
            <c:bubble3D val="0"/>
            <c:spPr>
              <a:solidFill>
                <a:srgbClr val="FF6FCF">
                  <a:alpha val="45000"/>
                </a:srgbClr>
              </a:solidFill>
            </c:spPr>
          </c:dPt>
          <c:dLbls>
            <c:dLbl>
              <c:idx val="1"/>
              <c:delete val="1"/>
            </c:dLbl>
            <c:dLbl>
              <c:idx val="7"/>
              <c:delete val="1"/>
            </c:dLbl>
            <c:showLegendKey val="0"/>
            <c:showVal val="0"/>
            <c:showCatName val="0"/>
            <c:showSerName val="0"/>
            <c:showPercent val="1"/>
            <c:showBubbleSize val="0"/>
            <c:showLeaderLines val="1"/>
          </c:dLbls>
          <c:cat>
            <c:strRef>
              <c:f>'2c PCE imports'!$O$137:$O$144</c:f>
              <c:strCache>
                <c:ptCount val="8"/>
                <c:pt idx="0">
                  <c:v>HCFC-22</c:v>
                </c:pt>
                <c:pt idx="1">
                  <c:v>HCFC-Mix (excl. 123)</c:v>
                </c:pt>
                <c:pt idx="2">
                  <c:v>HCFC-123</c:v>
                </c:pt>
                <c:pt idx="3">
                  <c:v>HFC-134a</c:v>
                </c:pt>
                <c:pt idx="4">
                  <c:v>HFC-404A</c:v>
                </c:pt>
                <c:pt idx="5">
                  <c:v>HFC-407C</c:v>
                </c:pt>
                <c:pt idx="6">
                  <c:v>HFC-410A</c:v>
                </c:pt>
                <c:pt idx="7">
                  <c:v>HFC-Mix</c:v>
                </c:pt>
              </c:strCache>
            </c:strRef>
          </c:cat>
          <c:val>
            <c:numRef>
              <c:f>'2c PCE imports'!$P$137:$P$144</c:f>
              <c:numCache>
                <c:formatCode>_-* #,##0_-;\-* #,##0_-;_-* "-"??_-;_-@_-</c:formatCode>
                <c:ptCount val="8"/>
                <c:pt idx="0">
                  <c:v>2.0076995E7</c:v>
                </c:pt>
                <c:pt idx="1">
                  <c:v>472528.0</c:v>
                </c:pt>
                <c:pt idx="2">
                  <c:v>1.634813E7</c:v>
                </c:pt>
                <c:pt idx="3">
                  <c:v>8.03960134E8</c:v>
                </c:pt>
                <c:pt idx="4">
                  <c:v>3.0462543E7</c:v>
                </c:pt>
                <c:pt idx="5">
                  <c:v>2.8249057E7</c:v>
                </c:pt>
                <c:pt idx="6">
                  <c:v>1.638259397E9</c:v>
                </c:pt>
                <c:pt idx="7">
                  <c:v>1.0996487E7</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areaChart>
        <c:grouping val="stacked"/>
        <c:varyColors val="0"/>
        <c:ser>
          <c:idx val="0"/>
          <c:order val="0"/>
          <c:tx>
            <c:strRef>
              <c:f>Bank!$S$6</c:f>
              <c:strCache>
                <c:ptCount val="1"/>
                <c:pt idx="0">
                  <c:v>HCFC-22</c:v>
                </c:pt>
              </c:strCache>
            </c:strRef>
          </c:tx>
          <c:spPr>
            <a:solidFill>
              <a:srgbClr val="FF0000"/>
            </a:solidFill>
          </c:spPr>
          <c:cat>
            <c:numRef>
              <c:f>Bank!$R$7:$R$14</c:f>
              <c:numCache>
                <c:formatCode>General</c:formatCode>
                <c:ptCount val="8"/>
                <c:pt idx="0">
                  <c:v>2010.0</c:v>
                </c:pt>
                <c:pt idx="1">
                  <c:v>2011.0</c:v>
                </c:pt>
                <c:pt idx="2">
                  <c:v>2012.0</c:v>
                </c:pt>
                <c:pt idx="3">
                  <c:v>2013.0</c:v>
                </c:pt>
                <c:pt idx="4">
                  <c:v>2014.0</c:v>
                </c:pt>
                <c:pt idx="5">
                  <c:v>2015.0</c:v>
                </c:pt>
                <c:pt idx="6">
                  <c:v>2016.0</c:v>
                </c:pt>
                <c:pt idx="7">
                  <c:v>2017.0</c:v>
                </c:pt>
              </c:numCache>
            </c:numRef>
          </c:cat>
          <c:val>
            <c:numRef>
              <c:f>Bank!$S$7:$S$14</c:f>
              <c:numCache>
                <c:formatCode>#,##0</c:formatCode>
                <c:ptCount val="8"/>
                <c:pt idx="0">
                  <c:v>1.2757820834E7</c:v>
                </c:pt>
                <c:pt idx="1">
                  <c:v>1.1314699542106E7</c:v>
                </c:pt>
                <c:pt idx="2">
                  <c:v>1.00370266893479E7</c:v>
                </c:pt>
                <c:pt idx="3">
                  <c:v>8.91095830275904E6</c:v>
                </c:pt>
                <c:pt idx="4">
                  <c:v>7.91786115655306E6</c:v>
                </c:pt>
                <c:pt idx="5">
                  <c:v>7.04145464204498E6</c:v>
                </c:pt>
                <c:pt idx="6">
                  <c:v>6.26750650669955E6</c:v>
                </c:pt>
                <c:pt idx="7">
                  <c:v>5.58356895438146E6</c:v>
                </c:pt>
              </c:numCache>
            </c:numRef>
          </c:val>
        </c:ser>
        <c:ser>
          <c:idx val="1"/>
          <c:order val="1"/>
          <c:tx>
            <c:strRef>
              <c:f>Bank!$T$6</c:f>
              <c:strCache>
                <c:ptCount val="1"/>
                <c:pt idx="0">
                  <c:v>HCFC Mix</c:v>
                </c:pt>
              </c:strCache>
            </c:strRef>
          </c:tx>
          <c:cat>
            <c:numRef>
              <c:f>Bank!$R$7:$R$14</c:f>
              <c:numCache>
                <c:formatCode>General</c:formatCode>
                <c:ptCount val="8"/>
                <c:pt idx="0">
                  <c:v>2010.0</c:v>
                </c:pt>
                <c:pt idx="1">
                  <c:v>2011.0</c:v>
                </c:pt>
                <c:pt idx="2">
                  <c:v>2012.0</c:v>
                </c:pt>
                <c:pt idx="3">
                  <c:v>2013.0</c:v>
                </c:pt>
                <c:pt idx="4">
                  <c:v>2014.0</c:v>
                </c:pt>
                <c:pt idx="5">
                  <c:v>2015.0</c:v>
                </c:pt>
                <c:pt idx="6">
                  <c:v>2016.0</c:v>
                </c:pt>
                <c:pt idx="7">
                  <c:v>2017.0</c:v>
                </c:pt>
              </c:numCache>
            </c:numRef>
          </c:cat>
          <c:val>
            <c:numRef>
              <c:f>Bank!$T$7:$T$14</c:f>
              <c:numCache>
                <c:formatCode>#,##0</c:formatCode>
                <c:ptCount val="8"/>
                <c:pt idx="0">
                  <c:v>252084.704</c:v>
                </c:pt>
                <c:pt idx="1">
                  <c:v>272835.538</c:v>
                </c:pt>
                <c:pt idx="2">
                  <c:v>292548.8303</c:v>
                </c:pt>
                <c:pt idx="3">
                  <c:v>302937.690685</c:v>
                </c:pt>
                <c:pt idx="4">
                  <c:v>296129.57345075</c:v>
                </c:pt>
                <c:pt idx="5">
                  <c:v>281323.0947782125</c:v>
                </c:pt>
                <c:pt idx="6">
                  <c:v>267256.9400393019</c:v>
                </c:pt>
                <c:pt idx="7">
                  <c:v>253894.0930373368</c:v>
                </c:pt>
              </c:numCache>
            </c:numRef>
          </c:val>
        </c:ser>
        <c:ser>
          <c:idx val="2"/>
          <c:order val="2"/>
          <c:tx>
            <c:strRef>
              <c:f>Bank!$U$6</c:f>
              <c:strCache>
                <c:ptCount val="1"/>
                <c:pt idx="0">
                  <c:v>HFC-134a</c:v>
                </c:pt>
              </c:strCache>
            </c:strRef>
          </c:tx>
          <c:spPr>
            <a:solidFill>
              <a:schemeClr val="tx2">
                <a:lumMod val="40000"/>
                <a:lumOff val="60000"/>
              </a:schemeClr>
            </a:solidFill>
          </c:spPr>
          <c:cat>
            <c:numRef>
              <c:f>Bank!$R$7:$R$14</c:f>
              <c:numCache>
                <c:formatCode>General</c:formatCode>
                <c:ptCount val="8"/>
                <c:pt idx="0">
                  <c:v>2010.0</c:v>
                </c:pt>
                <c:pt idx="1">
                  <c:v>2011.0</c:v>
                </c:pt>
                <c:pt idx="2">
                  <c:v>2012.0</c:v>
                </c:pt>
                <c:pt idx="3">
                  <c:v>2013.0</c:v>
                </c:pt>
                <c:pt idx="4">
                  <c:v>2014.0</c:v>
                </c:pt>
                <c:pt idx="5">
                  <c:v>2015.0</c:v>
                </c:pt>
                <c:pt idx="6">
                  <c:v>2016.0</c:v>
                </c:pt>
                <c:pt idx="7">
                  <c:v>2017.0</c:v>
                </c:pt>
              </c:numCache>
            </c:numRef>
          </c:cat>
          <c:val>
            <c:numRef>
              <c:f>Bank!$U$7:$U$14</c:f>
              <c:numCache>
                <c:formatCode>#,##0</c:formatCode>
                <c:ptCount val="8"/>
                <c:pt idx="0">
                  <c:v>1.284863195892E7</c:v>
                </c:pt>
                <c:pt idx="1">
                  <c:v>1.34844532951977E7</c:v>
                </c:pt>
                <c:pt idx="2">
                  <c:v>1.41107720721238E7</c:v>
                </c:pt>
                <c:pt idx="3">
                  <c:v>1.47900912635578E7</c:v>
                </c:pt>
                <c:pt idx="4">
                  <c:v>1.54211287699766E7</c:v>
                </c:pt>
                <c:pt idx="5">
                  <c:v>1.59298999478155E7</c:v>
                </c:pt>
                <c:pt idx="6">
                  <c:v>1.62540764089775E7</c:v>
                </c:pt>
                <c:pt idx="7">
                  <c:v>1.63683566126535E7</c:v>
                </c:pt>
              </c:numCache>
            </c:numRef>
          </c:val>
        </c:ser>
        <c:ser>
          <c:idx val="3"/>
          <c:order val="3"/>
          <c:tx>
            <c:strRef>
              <c:f>Bank!$V$6</c:f>
              <c:strCache>
                <c:ptCount val="1"/>
                <c:pt idx="0">
                  <c:v>HFC-404A</c:v>
                </c:pt>
              </c:strCache>
            </c:strRef>
          </c:tx>
          <c:spPr>
            <a:solidFill>
              <a:schemeClr val="accent6">
                <a:lumMod val="75000"/>
              </a:schemeClr>
            </a:solidFill>
          </c:spPr>
          <c:cat>
            <c:numRef>
              <c:f>Bank!$R$7:$R$14</c:f>
              <c:numCache>
                <c:formatCode>General</c:formatCode>
                <c:ptCount val="8"/>
                <c:pt idx="0">
                  <c:v>2010.0</c:v>
                </c:pt>
                <c:pt idx="1">
                  <c:v>2011.0</c:v>
                </c:pt>
                <c:pt idx="2">
                  <c:v>2012.0</c:v>
                </c:pt>
                <c:pt idx="3">
                  <c:v>2013.0</c:v>
                </c:pt>
                <c:pt idx="4">
                  <c:v>2014.0</c:v>
                </c:pt>
                <c:pt idx="5">
                  <c:v>2015.0</c:v>
                </c:pt>
                <c:pt idx="6">
                  <c:v>2016.0</c:v>
                </c:pt>
                <c:pt idx="7">
                  <c:v>2017.0</c:v>
                </c:pt>
              </c:numCache>
            </c:numRef>
          </c:cat>
          <c:val>
            <c:numRef>
              <c:f>Bank!$V$7:$V$14</c:f>
              <c:numCache>
                <c:formatCode>#,##0</c:formatCode>
                <c:ptCount val="8"/>
                <c:pt idx="0">
                  <c:v>3.78311738E6</c:v>
                </c:pt>
                <c:pt idx="1">
                  <c:v>3.63529255279376E6</c:v>
                </c:pt>
                <c:pt idx="2">
                  <c:v>3.46451492987345E6</c:v>
                </c:pt>
                <c:pt idx="3">
                  <c:v>3.27341432196917E6</c:v>
                </c:pt>
                <c:pt idx="4">
                  <c:v>3.07776845719943E6</c:v>
                </c:pt>
                <c:pt idx="5">
                  <c:v>2.88886907434306E6</c:v>
                </c:pt>
                <c:pt idx="6">
                  <c:v>2.70544234221815E6</c:v>
                </c:pt>
                <c:pt idx="7">
                  <c:v>2.52214607392079E6</c:v>
                </c:pt>
              </c:numCache>
            </c:numRef>
          </c:val>
        </c:ser>
        <c:ser>
          <c:idx val="4"/>
          <c:order val="4"/>
          <c:tx>
            <c:strRef>
              <c:f>Bank!$W$6</c:f>
              <c:strCache>
                <c:ptCount val="1"/>
                <c:pt idx="0">
                  <c:v>HFC-407C</c:v>
                </c:pt>
              </c:strCache>
            </c:strRef>
          </c:tx>
          <c:spPr>
            <a:solidFill>
              <a:schemeClr val="accent6">
                <a:lumMod val="50000"/>
              </a:schemeClr>
            </a:solidFill>
          </c:spPr>
          <c:cat>
            <c:numRef>
              <c:f>Bank!$R$7:$R$14</c:f>
              <c:numCache>
                <c:formatCode>General</c:formatCode>
                <c:ptCount val="8"/>
                <c:pt idx="0">
                  <c:v>2010.0</c:v>
                </c:pt>
                <c:pt idx="1">
                  <c:v>2011.0</c:v>
                </c:pt>
                <c:pt idx="2">
                  <c:v>2012.0</c:v>
                </c:pt>
                <c:pt idx="3">
                  <c:v>2013.0</c:v>
                </c:pt>
                <c:pt idx="4">
                  <c:v>2014.0</c:v>
                </c:pt>
                <c:pt idx="5">
                  <c:v>2015.0</c:v>
                </c:pt>
                <c:pt idx="6">
                  <c:v>2016.0</c:v>
                </c:pt>
                <c:pt idx="7">
                  <c:v>2017.0</c:v>
                </c:pt>
              </c:numCache>
            </c:numRef>
          </c:cat>
          <c:val>
            <c:numRef>
              <c:f>Bank!$W$7:$W$14</c:f>
              <c:numCache>
                <c:formatCode>#,##0</c:formatCode>
                <c:ptCount val="8"/>
                <c:pt idx="0">
                  <c:v>1.45851270375E6</c:v>
                </c:pt>
                <c:pt idx="1">
                  <c:v>1.6056173772495E6</c:v>
                </c:pt>
                <c:pt idx="2">
                  <c:v>1.68135492047634E6</c:v>
                </c:pt>
                <c:pt idx="3">
                  <c:v>1.67811843330331E6</c:v>
                </c:pt>
                <c:pt idx="4">
                  <c:v>1.62010136207345E6</c:v>
                </c:pt>
                <c:pt idx="5">
                  <c:v>1.51812538148256E6</c:v>
                </c:pt>
                <c:pt idx="6">
                  <c:v>1.41179651403796E6</c:v>
                </c:pt>
                <c:pt idx="7">
                  <c:v>1.30718436529268E6</c:v>
                </c:pt>
              </c:numCache>
            </c:numRef>
          </c:val>
        </c:ser>
        <c:ser>
          <c:idx val="5"/>
          <c:order val="5"/>
          <c:tx>
            <c:strRef>
              <c:f>Bank!$X$6</c:f>
              <c:strCache>
                <c:ptCount val="1"/>
                <c:pt idx="0">
                  <c:v>HFC-410A</c:v>
                </c:pt>
              </c:strCache>
            </c:strRef>
          </c:tx>
          <c:spPr>
            <a:solidFill>
              <a:schemeClr val="accent2">
                <a:lumMod val="40000"/>
                <a:lumOff val="60000"/>
              </a:schemeClr>
            </a:solidFill>
          </c:spPr>
          <c:cat>
            <c:numRef>
              <c:f>Bank!$R$7:$R$14</c:f>
              <c:numCache>
                <c:formatCode>General</c:formatCode>
                <c:ptCount val="8"/>
                <c:pt idx="0">
                  <c:v>2010.0</c:v>
                </c:pt>
                <c:pt idx="1">
                  <c:v>2011.0</c:v>
                </c:pt>
                <c:pt idx="2">
                  <c:v>2012.0</c:v>
                </c:pt>
                <c:pt idx="3">
                  <c:v>2013.0</c:v>
                </c:pt>
                <c:pt idx="4">
                  <c:v>2014.0</c:v>
                </c:pt>
                <c:pt idx="5">
                  <c:v>2015.0</c:v>
                </c:pt>
                <c:pt idx="6">
                  <c:v>2016.0</c:v>
                </c:pt>
                <c:pt idx="7">
                  <c:v>2017.0</c:v>
                </c:pt>
              </c:numCache>
            </c:numRef>
          </c:cat>
          <c:val>
            <c:numRef>
              <c:f>Bank!$X$7:$X$14</c:f>
              <c:numCache>
                <c:formatCode>#,##0</c:formatCode>
                <c:ptCount val="8"/>
                <c:pt idx="0">
                  <c:v>8.91111619075E6</c:v>
                </c:pt>
                <c:pt idx="1">
                  <c:v>1.03876267370345E7</c:v>
                </c:pt>
                <c:pt idx="2">
                  <c:v>1.17763750681632E7</c:v>
                </c:pt>
                <c:pt idx="3">
                  <c:v>1.3046593528647E7</c:v>
                </c:pt>
                <c:pt idx="4">
                  <c:v>1.41946129080125E7</c:v>
                </c:pt>
                <c:pt idx="5">
                  <c:v>1.51269608989139E7</c:v>
                </c:pt>
                <c:pt idx="6">
                  <c:v>1.57500275877884E7</c:v>
                </c:pt>
                <c:pt idx="7">
                  <c:v>1.59062881817384E7</c:v>
                </c:pt>
              </c:numCache>
            </c:numRef>
          </c:val>
        </c:ser>
        <c:ser>
          <c:idx val="6"/>
          <c:order val="6"/>
          <c:tx>
            <c:strRef>
              <c:f>Bank!$Y$6</c:f>
              <c:strCache>
                <c:ptCount val="1"/>
                <c:pt idx="0">
                  <c:v>HFC-32</c:v>
                </c:pt>
              </c:strCache>
            </c:strRef>
          </c:tx>
          <c:cat>
            <c:numRef>
              <c:f>Bank!$R$7:$R$14</c:f>
              <c:numCache>
                <c:formatCode>General</c:formatCode>
                <c:ptCount val="8"/>
                <c:pt idx="0">
                  <c:v>2010.0</c:v>
                </c:pt>
                <c:pt idx="1">
                  <c:v>2011.0</c:v>
                </c:pt>
                <c:pt idx="2">
                  <c:v>2012.0</c:v>
                </c:pt>
                <c:pt idx="3">
                  <c:v>2013.0</c:v>
                </c:pt>
                <c:pt idx="4">
                  <c:v>2014.0</c:v>
                </c:pt>
                <c:pt idx="5">
                  <c:v>2015.0</c:v>
                </c:pt>
                <c:pt idx="6">
                  <c:v>2016.0</c:v>
                </c:pt>
                <c:pt idx="7">
                  <c:v>2017.0</c:v>
                </c:pt>
              </c:numCache>
            </c:numRef>
          </c:cat>
          <c:val>
            <c:numRef>
              <c:f>Bank!$Y$7:$Y$14</c:f>
              <c:numCache>
                <c:formatCode>#,##0</c:formatCode>
                <c:ptCount val="8"/>
                <c:pt idx="0">
                  <c:v>0.0</c:v>
                </c:pt>
                <c:pt idx="1">
                  <c:v>0.0</c:v>
                </c:pt>
                <c:pt idx="2">
                  <c:v>0.0</c:v>
                </c:pt>
                <c:pt idx="3">
                  <c:v>6082.15413618177</c:v>
                </c:pt>
                <c:pt idx="4">
                  <c:v>18041.99378552985</c:v>
                </c:pt>
                <c:pt idx="5">
                  <c:v>41905.39349548316</c:v>
                </c:pt>
                <c:pt idx="6">
                  <c:v>101522.4825116313</c:v>
                </c:pt>
                <c:pt idx="7">
                  <c:v>188827.0875570152</c:v>
                </c:pt>
              </c:numCache>
            </c:numRef>
          </c:val>
        </c:ser>
        <c:ser>
          <c:idx val="7"/>
          <c:order val="7"/>
          <c:tx>
            <c:strRef>
              <c:f>Bank!$Z$6</c:f>
              <c:strCache>
                <c:ptCount val="1"/>
                <c:pt idx="0">
                  <c:v>HFO</c:v>
                </c:pt>
              </c:strCache>
            </c:strRef>
          </c:tx>
          <c:spPr>
            <a:solidFill>
              <a:srgbClr val="008000"/>
            </a:solidFill>
          </c:spPr>
          <c:cat>
            <c:numRef>
              <c:f>Bank!$R$7:$R$14</c:f>
              <c:numCache>
                <c:formatCode>General</c:formatCode>
                <c:ptCount val="8"/>
                <c:pt idx="0">
                  <c:v>2010.0</c:v>
                </c:pt>
                <c:pt idx="1">
                  <c:v>2011.0</c:v>
                </c:pt>
                <c:pt idx="2">
                  <c:v>2012.0</c:v>
                </c:pt>
                <c:pt idx="3">
                  <c:v>2013.0</c:v>
                </c:pt>
                <c:pt idx="4">
                  <c:v>2014.0</c:v>
                </c:pt>
                <c:pt idx="5">
                  <c:v>2015.0</c:v>
                </c:pt>
                <c:pt idx="6">
                  <c:v>2016.0</c:v>
                </c:pt>
                <c:pt idx="7">
                  <c:v>2017.0</c:v>
                </c:pt>
              </c:numCache>
            </c:numRef>
          </c:cat>
          <c:val>
            <c:numRef>
              <c:f>Bank!$Z$7:$Z$14</c:f>
              <c:numCache>
                <c:formatCode>#,##0</c:formatCode>
                <c:ptCount val="8"/>
                <c:pt idx="0">
                  <c:v>0.0</c:v>
                </c:pt>
                <c:pt idx="1">
                  <c:v>0.0</c:v>
                </c:pt>
                <c:pt idx="2">
                  <c:v>0.0</c:v>
                </c:pt>
                <c:pt idx="3">
                  <c:v>716.3634490084354</c:v>
                </c:pt>
                <c:pt idx="4">
                  <c:v>70886.16159189616</c:v>
                </c:pt>
                <c:pt idx="5">
                  <c:v>325564.4064929468</c:v>
                </c:pt>
                <c:pt idx="6">
                  <c:v>839174.7909778953</c:v>
                </c:pt>
                <c:pt idx="7">
                  <c:v>1.75309153699022E6</c:v>
                </c:pt>
              </c:numCache>
            </c:numRef>
          </c:val>
        </c:ser>
        <c:ser>
          <c:idx val="8"/>
          <c:order val="8"/>
          <c:tx>
            <c:strRef>
              <c:f>Bank!$AA$6</c:f>
              <c:strCache>
                <c:ptCount val="1"/>
                <c:pt idx="0">
                  <c:v>Hydrocarbons</c:v>
                </c:pt>
              </c:strCache>
            </c:strRef>
          </c:tx>
          <c:spPr>
            <a:ln w="25400">
              <a:noFill/>
            </a:ln>
          </c:spPr>
          <c:cat>
            <c:numRef>
              <c:f>Bank!$R$7:$R$14</c:f>
              <c:numCache>
                <c:formatCode>General</c:formatCode>
                <c:ptCount val="8"/>
                <c:pt idx="0">
                  <c:v>2010.0</c:v>
                </c:pt>
                <c:pt idx="1">
                  <c:v>2011.0</c:v>
                </c:pt>
                <c:pt idx="2">
                  <c:v>2012.0</c:v>
                </c:pt>
                <c:pt idx="3">
                  <c:v>2013.0</c:v>
                </c:pt>
                <c:pt idx="4">
                  <c:v>2014.0</c:v>
                </c:pt>
                <c:pt idx="5">
                  <c:v>2015.0</c:v>
                </c:pt>
                <c:pt idx="6">
                  <c:v>2016.0</c:v>
                </c:pt>
                <c:pt idx="7">
                  <c:v>2017.0</c:v>
                </c:pt>
              </c:numCache>
            </c:numRef>
          </c:cat>
          <c:val>
            <c:numRef>
              <c:f>Bank!$AA$7:$AA$14</c:f>
              <c:numCache>
                <c:formatCode>#,##0</c:formatCode>
                <c:ptCount val="8"/>
                <c:pt idx="0">
                  <c:v>310837.97048</c:v>
                </c:pt>
                <c:pt idx="1">
                  <c:v>434717.8989893189</c:v>
                </c:pt>
                <c:pt idx="2">
                  <c:v>599548.9430652526</c:v>
                </c:pt>
                <c:pt idx="3">
                  <c:v>794603.327074018</c:v>
                </c:pt>
                <c:pt idx="4">
                  <c:v>1.0285367983407E6</c:v>
                </c:pt>
                <c:pt idx="5">
                  <c:v>1.33253760224375E6</c:v>
                </c:pt>
                <c:pt idx="6">
                  <c:v>1.74111911555136E6</c:v>
                </c:pt>
                <c:pt idx="7">
                  <c:v>2.31962405158972E6</c:v>
                </c:pt>
              </c:numCache>
            </c:numRef>
          </c:val>
        </c:ser>
        <c:ser>
          <c:idx val="9"/>
          <c:order val="9"/>
          <c:tx>
            <c:strRef>
              <c:f>Bank!$AB$6</c:f>
              <c:strCache>
                <c:ptCount val="1"/>
                <c:pt idx="0">
                  <c:v>CO2 (R744)</c:v>
                </c:pt>
              </c:strCache>
            </c:strRef>
          </c:tx>
          <c:spPr>
            <a:solidFill>
              <a:srgbClr val="FFFF00"/>
            </a:solidFill>
            <a:ln w="25400">
              <a:noFill/>
            </a:ln>
          </c:spPr>
          <c:cat>
            <c:numRef>
              <c:f>Bank!$R$7:$R$14</c:f>
              <c:numCache>
                <c:formatCode>General</c:formatCode>
                <c:ptCount val="8"/>
                <c:pt idx="0">
                  <c:v>2010.0</c:v>
                </c:pt>
                <c:pt idx="1">
                  <c:v>2011.0</c:v>
                </c:pt>
                <c:pt idx="2">
                  <c:v>2012.0</c:v>
                </c:pt>
                <c:pt idx="3">
                  <c:v>2013.0</c:v>
                </c:pt>
                <c:pt idx="4">
                  <c:v>2014.0</c:v>
                </c:pt>
                <c:pt idx="5">
                  <c:v>2015.0</c:v>
                </c:pt>
                <c:pt idx="6">
                  <c:v>2016.0</c:v>
                </c:pt>
                <c:pt idx="7">
                  <c:v>2017.0</c:v>
                </c:pt>
              </c:numCache>
            </c:numRef>
          </c:cat>
          <c:val>
            <c:numRef>
              <c:f>Bank!$AB$7:$AB$14</c:f>
              <c:numCache>
                <c:formatCode>#,##0</c:formatCode>
                <c:ptCount val="8"/>
                <c:pt idx="0">
                  <c:v>0.0</c:v>
                </c:pt>
                <c:pt idx="1">
                  <c:v>38476.70311539605</c:v>
                </c:pt>
                <c:pt idx="2">
                  <c:v>85016.4122475599</c:v>
                </c:pt>
                <c:pt idx="3">
                  <c:v>138405.1525058955</c:v>
                </c:pt>
                <c:pt idx="4">
                  <c:v>202219.8236110999</c:v>
                </c:pt>
                <c:pt idx="5">
                  <c:v>281144.5658701868</c:v>
                </c:pt>
                <c:pt idx="6">
                  <c:v>374872.9404700358</c:v>
                </c:pt>
                <c:pt idx="7">
                  <c:v>478024.2282366267</c:v>
                </c:pt>
              </c:numCache>
            </c:numRef>
          </c:val>
        </c:ser>
        <c:dLbls>
          <c:showLegendKey val="0"/>
          <c:showVal val="0"/>
          <c:showCatName val="0"/>
          <c:showSerName val="0"/>
          <c:showPercent val="0"/>
          <c:showBubbleSize val="0"/>
        </c:dLbls>
        <c:axId val="-2065730392"/>
        <c:axId val="-2065727640"/>
      </c:areaChart>
      <c:catAx>
        <c:axId val="-2065730392"/>
        <c:scaling>
          <c:orientation val="minMax"/>
        </c:scaling>
        <c:delete val="0"/>
        <c:axPos val="b"/>
        <c:numFmt formatCode="General" sourceLinked="1"/>
        <c:majorTickMark val="out"/>
        <c:minorTickMark val="none"/>
        <c:tickLblPos val="nextTo"/>
        <c:crossAx val="-2065727640"/>
        <c:crosses val="autoZero"/>
        <c:auto val="1"/>
        <c:lblAlgn val="ctr"/>
        <c:lblOffset val="100"/>
        <c:noMultiLvlLbl val="0"/>
      </c:catAx>
      <c:valAx>
        <c:axId val="-2065727640"/>
        <c:scaling>
          <c:orientation val="minMax"/>
        </c:scaling>
        <c:delete val="0"/>
        <c:axPos val="l"/>
        <c:majorGridlines/>
        <c:title>
          <c:tx>
            <c:rich>
              <a:bodyPr rot="-5400000" vert="horz"/>
              <a:lstStyle/>
              <a:p>
                <a:pPr>
                  <a:defRPr/>
                </a:pPr>
                <a:r>
                  <a:rPr lang="en-US"/>
                  <a:t>Tonnes</a:t>
                </a:r>
              </a:p>
            </c:rich>
          </c:tx>
          <c:layout/>
          <c:overlay val="0"/>
        </c:title>
        <c:numFmt formatCode="#,##0" sourceLinked="0"/>
        <c:majorTickMark val="out"/>
        <c:minorTickMark val="none"/>
        <c:tickLblPos val="nextTo"/>
        <c:crossAx val="-2065730392"/>
        <c:crosses val="autoZero"/>
        <c:crossBetween val="midCat"/>
        <c:dispUnits>
          <c:builtInUnit val="thousands"/>
        </c:dispUnits>
      </c:valAx>
    </c:plotArea>
    <c:legend>
      <c:legendPos val="r"/>
      <c:layout/>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BC4F3-4085-8B44-B8B2-6FA0E74A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134</Pages>
  <Words>48726</Words>
  <Characters>277740</Characters>
  <Application>Microsoft Macintosh Word</Application>
  <DocSecurity>0</DocSecurity>
  <Lines>2314</Lines>
  <Paragraphs>651</Paragraphs>
  <ScaleCrop>false</ScaleCrop>
  <HeadingPairs>
    <vt:vector size="2" baseType="variant">
      <vt:variant>
        <vt:lpstr>Title</vt:lpstr>
      </vt:variant>
      <vt:variant>
        <vt:i4>1</vt:i4>
      </vt:variant>
    </vt:vector>
  </HeadingPairs>
  <TitlesOfParts>
    <vt:vector size="1" baseType="lpstr">
      <vt:lpstr>Cold Hard Facts 2</vt:lpstr>
    </vt:vector>
  </TitlesOfParts>
  <Company>Expert Group</Company>
  <LinksUpToDate>false</LinksUpToDate>
  <CharactersWithSpaces>325815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Cold Hard Facts 2</dc:title>
  <dc:creator>Peter Brodribb</dc:creator>
  <cp:lastModifiedBy>Peter Brodribb</cp:lastModifiedBy>
  <cp:revision>3</cp:revision>
  <cp:lastPrinted>2013-11-12T23:23:00Z</cp:lastPrinted>
  <dcterms:created xsi:type="dcterms:W3CDTF">2013-11-12T23:23:00Z</dcterms:created>
  <dcterms:modified xsi:type="dcterms:W3CDTF">2013-11-12T23:24:00Z</dcterms:modified>
</cp:coreProperties>
</file>